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D207B" w14:textId="7F0293D3" w:rsidR="00F92A00" w:rsidRDefault="00356C42" w:rsidP="00356C42">
      <w:pPr>
        <w:jc w:val="center"/>
        <w:rPr>
          <w:rFonts w:ascii="Times New Roman" w:hAnsi="Times New Roman" w:cs="Times New Roman"/>
          <w:b/>
          <w:bCs/>
          <w:color w:val="000000"/>
          <w:sz w:val="28"/>
          <w:szCs w:val="28"/>
          <w:shd w:val="clear" w:color="auto" w:fill="FFFFFF"/>
        </w:rPr>
      </w:pPr>
      <w:r w:rsidRPr="00356C42">
        <w:rPr>
          <w:rFonts w:ascii="Times New Roman" w:hAnsi="Times New Roman" w:cs="Times New Roman"/>
          <w:b/>
          <w:bCs/>
          <w:color w:val="000000"/>
          <w:sz w:val="28"/>
          <w:szCs w:val="28"/>
          <w:shd w:val="clear" w:color="auto" w:fill="FFFFFF"/>
        </w:rPr>
        <w:t>Federal Reserve System in U.S</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1"/>
        <w:gridCol w:w="4243"/>
      </w:tblGrid>
      <w:tr w:rsidR="00FE6ED6" w14:paraId="30BE7D64" w14:textId="7E15A55D" w:rsidTr="00D2048F">
        <w:tblPrEx>
          <w:tblCellMar>
            <w:top w:w="0" w:type="dxa"/>
            <w:bottom w:w="0" w:type="dxa"/>
          </w:tblCellMar>
        </w:tblPrEx>
        <w:trPr>
          <w:trHeight w:val="562"/>
        </w:trPr>
        <w:tc>
          <w:tcPr>
            <w:tcW w:w="4331" w:type="dxa"/>
          </w:tcPr>
          <w:p w14:paraId="1FF5B8C7" w14:textId="736D273D" w:rsidR="00FE6ED6" w:rsidRDefault="00FE6ED6" w:rsidP="00356C42">
            <w:pPr>
              <w:jc w:val="center"/>
              <w:rPr>
                <w:rFonts w:ascii="Times New Roman" w:hAnsi="Times New Roman" w:cs="Times New Roman"/>
                <w:sz w:val="24"/>
                <w:szCs w:val="24"/>
              </w:rPr>
            </w:pPr>
            <w:r>
              <w:rPr>
                <w:rFonts w:ascii="Times New Roman" w:hAnsi="Times New Roman" w:cs="Times New Roman"/>
                <w:sz w:val="24"/>
                <w:szCs w:val="24"/>
              </w:rPr>
              <w:t>Category</w:t>
            </w:r>
          </w:p>
        </w:tc>
        <w:tc>
          <w:tcPr>
            <w:tcW w:w="4243" w:type="dxa"/>
          </w:tcPr>
          <w:p w14:paraId="1F75DCA5" w14:textId="43F35E68" w:rsidR="00FE6ED6" w:rsidRDefault="00FE6ED6" w:rsidP="00356C42">
            <w:pPr>
              <w:jc w:val="center"/>
              <w:rPr>
                <w:rFonts w:ascii="Times New Roman" w:hAnsi="Times New Roman" w:cs="Times New Roman"/>
                <w:sz w:val="24"/>
                <w:szCs w:val="24"/>
              </w:rPr>
            </w:pPr>
            <w:r>
              <w:rPr>
                <w:rFonts w:ascii="Times New Roman" w:hAnsi="Times New Roman" w:cs="Times New Roman"/>
                <w:sz w:val="24"/>
                <w:szCs w:val="24"/>
              </w:rPr>
              <w:t>Data Points</w:t>
            </w:r>
          </w:p>
        </w:tc>
      </w:tr>
      <w:tr w:rsidR="00FE6ED6" w14:paraId="720AF0CB" w14:textId="77777777" w:rsidTr="00D2048F">
        <w:tblPrEx>
          <w:tblCellMar>
            <w:top w:w="0" w:type="dxa"/>
            <w:bottom w:w="0" w:type="dxa"/>
          </w:tblCellMar>
        </w:tblPrEx>
        <w:trPr>
          <w:trHeight w:val="635"/>
        </w:trPr>
        <w:tc>
          <w:tcPr>
            <w:tcW w:w="4331" w:type="dxa"/>
          </w:tcPr>
          <w:p w14:paraId="7D9398CE" w14:textId="6606F23E"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Establishment Year</w:t>
            </w:r>
          </w:p>
        </w:tc>
        <w:tc>
          <w:tcPr>
            <w:tcW w:w="4243" w:type="dxa"/>
          </w:tcPr>
          <w:p w14:paraId="225A01FC" w14:textId="7B887E0E"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1913</w:t>
            </w:r>
          </w:p>
        </w:tc>
      </w:tr>
      <w:tr w:rsidR="00FE6ED6" w14:paraId="2727A30B" w14:textId="77777777" w:rsidTr="00D2048F">
        <w:tblPrEx>
          <w:tblCellMar>
            <w:top w:w="0" w:type="dxa"/>
            <w:bottom w:w="0" w:type="dxa"/>
          </w:tblCellMar>
        </w:tblPrEx>
        <w:trPr>
          <w:trHeight w:val="594"/>
        </w:trPr>
        <w:tc>
          <w:tcPr>
            <w:tcW w:w="4331" w:type="dxa"/>
          </w:tcPr>
          <w:p w14:paraId="01781D53" w14:textId="7681D238"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Structure</w:t>
            </w:r>
          </w:p>
        </w:tc>
        <w:tc>
          <w:tcPr>
            <w:tcW w:w="4243" w:type="dxa"/>
          </w:tcPr>
          <w:p w14:paraId="7809B312" w14:textId="0F8D29C1"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12 regional federal reserve banks and a central board of governors</w:t>
            </w:r>
          </w:p>
        </w:tc>
      </w:tr>
      <w:tr w:rsidR="00FE6ED6" w14:paraId="1266D014" w14:textId="77777777" w:rsidTr="00D2048F">
        <w:tblPrEx>
          <w:tblCellMar>
            <w:top w:w="0" w:type="dxa"/>
            <w:bottom w:w="0" w:type="dxa"/>
          </w:tblCellMar>
        </w:tblPrEx>
        <w:trPr>
          <w:trHeight w:val="562"/>
        </w:trPr>
        <w:tc>
          <w:tcPr>
            <w:tcW w:w="4331" w:type="dxa"/>
          </w:tcPr>
          <w:p w14:paraId="11B3120A" w14:textId="3E0C6598"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Chair of the Federal Reserve</w:t>
            </w:r>
          </w:p>
        </w:tc>
        <w:tc>
          <w:tcPr>
            <w:tcW w:w="4243" w:type="dxa"/>
          </w:tcPr>
          <w:p w14:paraId="1DC7BB3D" w14:textId="640EE589"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Jerome Powell (2023)</w:t>
            </w:r>
          </w:p>
        </w:tc>
      </w:tr>
      <w:tr w:rsidR="00FE6ED6" w14:paraId="68807C31" w14:textId="77777777" w:rsidTr="00D2048F">
        <w:tblPrEx>
          <w:tblCellMar>
            <w:top w:w="0" w:type="dxa"/>
            <w:bottom w:w="0" w:type="dxa"/>
          </w:tblCellMar>
        </w:tblPrEx>
        <w:trPr>
          <w:trHeight w:val="551"/>
        </w:trPr>
        <w:tc>
          <w:tcPr>
            <w:tcW w:w="4331" w:type="dxa"/>
          </w:tcPr>
          <w:p w14:paraId="7946EE54" w14:textId="72BAF52B" w:rsidR="00FE6ED6" w:rsidRPr="00A670E8" w:rsidRDefault="00FE6ED6" w:rsidP="00FE6ED6">
            <w:pPr>
              <w:jc w:val="both"/>
              <w:rPr>
                <w:rFonts w:ascii="Times New Roman" w:hAnsi="Times New Roman" w:cs="Times New Roman"/>
                <w:b/>
                <w:sz w:val="24"/>
                <w:szCs w:val="24"/>
              </w:rPr>
            </w:pPr>
            <w:r w:rsidRPr="00A670E8">
              <w:rPr>
                <w:rFonts w:ascii="Times New Roman" w:hAnsi="Times New Roman" w:cs="Times New Roman"/>
                <w:b/>
                <w:sz w:val="24"/>
                <w:szCs w:val="24"/>
              </w:rPr>
              <w:t>Monetary Policy tools</w:t>
            </w:r>
          </w:p>
        </w:tc>
        <w:tc>
          <w:tcPr>
            <w:tcW w:w="4243" w:type="dxa"/>
          </w:tcPr>
          <w:p w14:paraId="31320F44" w14:textId="77777777" w:rsidR="00FE6ED6" w:rsidRDefault="00FE6ED6" w:rsidP="00356C42">
            <w:pPr>
              <w:jc w:val="center"/>
              <w:rPr>
                <w:rFonts w:ascii="Times New Roman" w:hAnsi="Times New Roman" w:cs="Times New Roman"/>
                <w:sz w:val="24"/>
                <w:szCs w:val="24"/>
              </w:rPr>
            </w:pPr>
          </w:p>
        </w:tc>
      </w:tr>
      <w:tr w:rsidR="00FE6ED6" w14:paraId="00CB8E60" w14:textId="77777777" w:rsidTr="00D2048F">
        <w:tblPrEx>
          <w:tblCellMar>
            <w:top w:w="0" w:type="dxa"/>
            <w:bottom w:w="0" w:type="dxa"/>
          </w:tblCellMar>
        </w:tblPrEx>
        <w:trPr>
          <w:trHeight w:val="667"/>
        </w:trPr>
        <w:tc>
          <w:tcPr>
            <w:tcW w:w="4331" w:type="dxa"/>
          </w:tcPr>
          <w:p w14:paraId="04F7A3AB" w14:textId="452DC48E"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Federal funds rate</w:t>
            </w:r>
          </w:p>
        </w:tc>
        <w:tc>
          <w:tcPr>
            <w:tcW w:w="4243" w:type="dxa"/>
          </w:tcPr>
          <w:p w14:paraId="2B4E958A" w14:textId="0ADC801E"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5.25% (2024)</w:t>
            </w:r>
          </w:p>
        </w:tc>
      </w:tr>
      <w:tr w:rsidR="00FE6ED6" w14:paraId="75A765E3" w14:textId="77777777" w:rsidTr="00D2048F">
        <w:tblPrEx>
          <w:tblCellMar>
            <w:top w:w="0" w:type="dxa"/>
            <w:bottom w:w="0" w:type="dxa"/>
          </w:tblCellMar>
        </w:tblPrEx>
        <w:trPr>
          <w:trHeight w:val="583"/>
        </w:trPr>
        <w:tc>
          <w:tcPr>
            <w:tcW w:w="4331" w:type="dxa"/>
          </w:tcPr>
          <w:p w14:paraId="5491E3FB" w14:textId="77DF29C9"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Discount rate</w:t>
            </w:r>
          </w:p>
        </w:tc>
        <w:tc>
          <w:tcPr>
            <w:tcW w:w="4243" w:type="dxa"/>
          </w:tcPr>
          <w:p w14:paraId="7BE4052C" w14:textId="2865963C"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5.75% (2024)</w:t>
            </w:r>
          </w:p>
        </w:tc>
      </w:tr>
      <w:tr w:rsidR="00FE6ED6" w14:paraId="01913E22" w14:textId="77777777" w:rsidTr="00D2048F">
        <w:tblPrEx>
          <w:tblCellMar>
            <w:top w:w="0" w:type="dxa"/>
            <w:bottom w:w="0" w:type="dxa"/>
          </w:tblCellMar>
        </w:tblPrEx>
        <w:trPr>
          <w:trHeight w:val="572"/>
        </w:trPr>
        <w:tc>
          <w:tcPr>
            <w:tcW w:w="4331" w:type="dxa"/>
          </w:tcPr>
          <w:p w14:paraId="3C5B4A61" w14:textId="2EC7A123" w:rsidR="00FE6ED6" w:rsidRPr="00A670E8" w:rsidRDefault="00FE6ED6" w:rsidP="00FE6ED6">
            <w:pPr>
              <w:jc w:val="both"/>
              <w:rPr>
                <w:rFonts w:ascii="Times New Roman" w:hAnsi="Times New Roman" w:cs="Times New Roman"/>
                <w:b/>
                <w:sz w:val="24"/>
                <w:szCs w:val="24"/>
              </w:rPr>
            </w:pPr>
            <w:r w:rsidRPr="00A670E8">
              <w:rPr>
                <w:rFonts w:ascii="Times New Roman" w:hAnsi="Times New Roman" w:cs="Times New Roman"/>
                <w:b/>
                <w:sz w:val="24"/>
                <w:szCs w:val="24"/>
              </w:rPr>
              <w:t>Financial Performance and Market Impact</w:t>
            </w:r>
          </w:p>
        </w:tc>
        <w:tc>
          <w:tcPr>
            <w:tcW w:w="4243" w:type="dxa"/>
          </w:tcPr>
          <w:p w14:paraId="154134BF" w14:textId="77777777" w:rsidR="00FE6ED6" w:rsidRDefault="00FE6ED6" w:rsidP="00356C42">
            <w:pPr>
              <w:jc w:val="center"/>
              <w:rPr>
                <w:rFonts w:ascii="Times New Roman" w:hAnsi="Times New Roman" w:cs="Times New Roman"/>
                <w:sz w:val="24"/>
                <w:szCs w:val="24"/>
              </w:rPr>
            </w:pPr>
          </w:p>
        </w:tc>
      </w:tr>
      <w:tr w:rsidR="00FE6ED6" w14:paraId="3320AECD" w14:textId="77777777" w:rsidTr="00D2048F">
        <w:tblPrEx>
          <w:tblCellMar>
            <w:top w:w="0" w:type="dxa"/>
            <w:bottom w:w="0" w:type="dxa"/>
          </w:tblCellMar>
        </w:tblPrEx>
        <w:trPr>
          <w:trHeight w:val="509"/>
        </w:trPr>
        <w:tc>
          <w:tcPr>
            <w:tcW w:w="4331" w:type="dxa"/>
          </w:tcPr>
          <w:p w14:paraId="24F1650D" w14:textId="1DD17954"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Total Assets</w:t>
            </w:r>
          </w:p>
        </w:tc>
        <w:tc>
          <w:tcPr>
            <w:tcW w:w="4243" w:type="dxa"/>
          </w:tcPr>
          <w:p w14:paraId="5BBE6B21" w14:textId="33D9CFC2"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$8.8 trillion (Q1 2024)</w:t>
            </w:r>
          </w:p>
        </w:tc>
      </w:tr>
      <w:tr w:rsidR="00FE6ED6" w14:paraId="1D51A550" w14:textId="77777777" w:rsidTr="00D2048F">
        <w:tblPrEx>
          <w:tblCellMar>
            <w:top w:w="0" w:type="dxa"/>
            <w:bottom w:w="0" w:type="dxa"/>
          </w:tblCellMar>
        </w:tblPrEx>
        <w:trPr>
          <w:trHeight w:val="551"/>
        </w:trPr>
        <w:tc>
          <w:tcPr>
            <w:tcW w:w="4331" w:type="dxa"/>
          </w:tcPr>
          <w:p w14:paraId="46CECC7D" w14:textId="34B4D653"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Treasury Securities Held</w:t>
            </w:r>
          </w:p>
        </w:tc>
        <w:tc>
          <w:tcPr>
            <w:tcW w:w="4243" w:type="dxa"/>
          </w:tcPr>
          <w:p w14:paraId="0687A856" w14:textId="331F46C9" w:rsidR="00FE6ED6" w:rsidRDefault="00C246B0" w:rsidP="00FE6ED6">
            <w:pPr>
              <w:jc w:val="both"/>
              <w:rPr>
                <w:rFonts w:ascii="Times New Roman" w:hAnsi="Times New Roman" w:cs="Times New Roman"/>
                <w:sz w:val="24"/>
                <w:szCs w:val="24"/>
              </w:rPr>
            </w:pPr>
            <w:r>
              <w:rPr>
                <w:rFonts w:ascii="Times New Roman" w:hAnsi="Times New Roman" w:cs="Times New Roman"/>
                <w:sz w:val="24"/>
                <w:szCs w:val="24"/>
              </w:rPr>
              <w:t>$5.2 trillion (Q1 2024)</w:t>
            </w:r>
          </w:p>
        </w:tc>
      </w:tr>
      <w:tr w:rsidR="00FE6ED6" w14:paraId="6EB2051D" w14:textId="77777777" w:rsidTr="00D2048F">
        <w:tblPrEx>
          <w:tblCellMar>
            <w:top w:w="0" w:type="dxa"/>
            <w:bottom w:w="0" w:type="dxa"/>
          </w:tblCellMar>
        </w:tblPrEx>
        <w:trPr>
          <w:trHeight w:val="594"/>
        </w:trPr>
        <w:tc>
          <w:tcPr>
            <w:tcW w:w="4331" w:type="dxa"/>
          </w:tcPr>
          <w:p w14:paraId="40A8A70A" w14:textId="1BDADF21" w:rsidR="00FE6ED6" w:rsidRDefault="00FE6ED6" w:rsidP="00FE6ED6">
            <w:pPr>
              <w:jc w:val="both"/>
              <w:rPr>
                <w:rFonts w:ascii="Times New Roman" w:hAnsi="Times New Roman" w:cs="Times New Roman"/>
                <w:sz w:val="24"/>
                <w:szCs w:val="24"/>
              </w:rPr>
            </w:pPr>
            <w:r>
              <w:rPr>
                <w:rFonts w:ascii="Times New Roman" w:hAnsi="Times New Roman" w:cs="Times New Roman"/>
                <w:sz w:val="24"/>
                <w:szCs w:val="24"/>
              </w:rPr>
              <w:t>Mortgage Backed Securities Held</w:t>
            </w:r>
          </w:p>
        </w:tc>
        <w:tc>
          <w:tcPr>
            <w:tcW w:w="4243" w:type="dxa"/>
          </w:tcPr>
          <w:p w14:paraId="211CF364" w14:textId="68E2451A"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$2.7 trillion (Q1 2024)</w:t>
            </w:r>
          </w:p>
        </w:tc>
      </w:tr>
      <w:tr w:rsidR="00FE6ED6" w14:paraId="1EF8F50D" w14:textId="77777777" w:rsidTr="00D2048F">
        <w:tblPrEx>
          <w:tblCellMar>
            <w:top w:w="0" w:type="dxa"/>
            <w:bottom w:w="0" w:type="dxa"/>
          </w:tblCellMar>
        </w:tblPrEx>
        <w:trPr>
          <w:trHeight w:val="657"/>
        </w:trPr>
        <w:tc>
          <w:tcPr>
            <w:tcW w:w="4331" w:type="dxa"/>
          </w:tcPr>
          <w:p w14:paraId="1234B43A" w14:textId="03AACC91" w:rsidR="00FE6ED6" w:rsidRPr="00A670E8" w:rsidRDefault="00C246B0" w:rsidP="00C246B0">
            <w:pPr>
              <w:jc w:val="both"/>
              <w:rPr>
                <w:rFonts w:ascii="Times New Roman" w:hAnsi="Times New Roman" w:cs="Times New Roman"/>
                <w:b/>
                <w:sz w:val="24"/>
                <w:szCs w:val="24"/>
              </w:rPr>
            </w:pPr>
            <w:r w:rsidRPr="00A670E8">
              <w:rPr>
                <w:rFonts w:ascii="Times New Roman" w:hAnsi="Times New Roman" w:cs="Times New Roman"/>
                <w:b/>
                <w:sz w:val="24"/>
                <w:szCs w:val="24"/>
              </w:rPr>
              <w:t>Economic Indicators</w:t>
            </w:r>
          </w:p>
        </w:tc>
        <w:tc>
          <w:tcPr>
            <w:tcW w:w="4243" w:type="dxa"/>
          </w:tcPr>
          <w:p w14:paraId="0AF2C840" w14:textId="77777777" w:rsidR="00FE6ED6" w:rsidRDefault="00FE6ED6" w:rsidP="00356C42">
            <w:pPr>
              <w:jc w:val="center"/>
              <w:rPr>
                <w:rFonts w:ascii="Times New Roman" w:hAnsi="Times New Roman" w:cs="Times New Roman"/>
                <w:sz w:val="24"/>
                <w:szCs w:val="24"/>
              </w:rPr>
            </w:pPr>
          </w:p>
        </w:tc>
      </w:tr>
      <w:tr w:rsidR="00FE6ED6" w14:paraId="54E35D4C" w14:textId="77777777" w:rsidTr="00D2048F">
        <w:tblPrEx>
          <w:tblCellMar>
            <w:top w:w="0" w:type="dxa"/>
            <w:bottom w:w="0" w:type="dxa"/>
          </w:tblCellMar>
        </w:tblPrEx>
        <w:trPr>
          <w:trHeight w:val="583"/>
        </w:trPr>
        <w:tc>
          <w:tcPr>
            <w:tcW w:w="4331" w:type="dxa"/>
          </w:tcPr>
          <w:p w14:paraId="1C36FF85" w14:textId="31EDCFA3"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Inflation Rate</w:t>
            </w:r>
          </w:p>
        </w:tc>
        <w:tc>
          <w:tcPr>
            <w:tcW w:w="4243" w:type="dxa"/>
          </w:tcPr>
          <w:p w14:paraId="04F562FE" w14:textId="4342BBF7"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4.9% (2024)</w:t>
            </w:r>
          </w:p>
        </w:tc>
      </w:tr>
      <w:tr w:rsidR="00FE6ED6" w14:paraId="32D2EE0F" w14:textId="77777777" w:rsidTr="00D2048F">
        <w:tblPrEx>
          <w:tblCellMar>
            <w:top w:w="0" w:type="dxa"/>
            <w:bottom w:w="0" w:type="dxa"/>
          </w:tblCellMar>
        </w:tblPrEx>
        <w:trPr>
          <w:trHeight w:val="604"/>
        </w:trPr>
        <w:tc>
          <w:tcPr>
            <w:tcW w:w="4331" w:type="dxa"/>
          </w:tcPr>
          <w:p w14:paraId="51522F22" w14:textId="329B6F5C"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Unemployment Rate</w:t>
            </w:r>
          </w:p>
        </w:tc>
        <w:tc>
          <w:tcPr>
            <w:tcW w:w="4243" w:type="dxa"/>
          </w:tcPr>
          <w:p w14:paraId="58E70C62" w14:textId="732F978E"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3.7% (2024)</w:t>
            </w:r>
          </w:p>
        </w:tc>
      </w:tr>
      <w:tr w:rsidR="00FE6ED6" w14:paraId="74D76901" w14:textId="77777777" w:rsidTr="00D2048F">
        <w:tblPrEx>
          <w:tblCellMar>
            <w:top w:w="0" w:type="dxa"/>
            <w:bottom w:w="0" w:type="dxa"/>
          </w:tblCellMar>
        </w:tblPrEx>
        <w:trPr>
          <w:trHeight w:val="604"/>
        </w:trPr>
        <w:tc>
          <w:tcPr>
            <w:tcW w:w="4331" w:type="dxa"/>
          </w:tcPr>
          <w:p w14:paraId="7AF7061F" w14:textId="7046D547"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GDP Growth Rate</w:t>
            </w:r>
          </w:p>
        </w:tc>
        <w:tc>
          <w:tcPr>
            <w:tcW w:w="4243" w:type="dxa"/>
          </w:tcPr>
          <w:p w14:paraId="71B2D662" w14:textId="2B725EFE"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2.1% (Q1 2024)</w:t>
            </w:r>
          </w:p>
        </w:tc>
      </w:tr>
      <w:tr w:rsidR="00FE6ED6" w14:paraId="1DD060AA" w14:textId="77777777" w:rsidTr="00D2048F">
        <w:tblPrEx>
          <w:tblCellMar>
            <w:top w:w="0" w:type="dxa"/>
            <w:bottom w:w="0" w:type="dxa"/>
          </w:tblCellMar>
        </w:tblPrEx>
        <w:trPr>
          <w:trHeight w:val="541"/>
        </w:trPr>
        <w:tc>
          <w:tcPr>
            <w:tcW w:w="4331" w:type="dxa"/>
          </w:tcPr>
          <w:p w14:paraId="302A8D69" w14:textId="26E1F58C" w:rsidR="00FE6ED6" w:rsidRPr="00A670E8" w:rsidRDefault="00C246B0" w:rsidP="00C246B0">
            <w:pPr>
              <w:jc w:val="both"/>
              <w:rPr>
                <w:rFonts w:ascii="Times New Roman" w:hAnsi="Times New Roman" w:cs="Times New Roman"/>
                <w:b/>
                <w:sz w:val="24"/>
                <w:szCs w:val="24"/>
              </w:rPr>
            </w:pPr>
            <w:r w:rsidRPr="00A670E8">
              <w:rPr>
                <w:rFonts w:ascii="Times New Roman" w:hAnsi="Times New Roman" w:cs="Times New Roman"/>
                <w:b/>
                <w:sz w:val="24"/>
                <w:szCs w:val="24"/>
              </w:rPr>
              <w:t>Banking Sector Statistics</w:t>
            </w:r>
          </w:p>
        </w:tc>
        <w:tc>
          <w:tcPr>
            <w:tcW w:w="4243" w:type="dxa"/>
          </w:tcPr>
          <w:p w14:paraId="6B7FB85B" w14:textId="77777777" w:rsidR="00FE6ED6" w:rsidRDefault="00FE6ED6" w:rsidP="00356C42">
            <w:pPr>
              <w:jc w:val="center"/>
              <w:rPr>
                <w:rFonts w:ascii="Times New Roman" w:hAnsi="Times New Roman" w:cs="Times New Roman"/>
                <w:sz w:val="24"/>
                <w:szCs w:val="24"/>
              </w:rPr>
            </w:pPr>
          </w:p>
        </w:tc>
      </w:tr>
      <w:tr w:rsidR="00FE6ED6" w14:paraId="769E7E3E" w14:textId="77777777" w:rsidTr="00D2048F">
        <w:tblPrEx>
          <w:tblCellMar>
            <w:top w:w="0" w:type="dxa"/>
            <w:bottom w:w="0" w:type="dxa"/>
          </w:tblCellMar>
        </w:tblPrEx>
        <w:trPr>
          <w:trHeight w:val="594"/>
        </w:trPr>
        <w:tc>
          <w:tcPr>
            <w:tcW w:w="4331" w:type="dxa"/>
          </w:tcPr>
          <w:p w14:paraId="74F1C3EC" w14:textId="14200EAE"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Total Loan</w:t>
            </w:r>
          </w:p>
        </w:tc>
        <w:tc>
          <w:tcPr>
            <w:tcW w:w="4243" w:type="dxa"/>
          </w:tcPr>
          <w:p w14:paraId="79F63D66" w14:textId="7BA68DF6"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$10.7 trillion (Q1 2024)</w:t>
            </w:r>
          </w:p>
        </w:tc>
      </w:tr>
      <w:tr w:rsidR="00FE6ED6" w14:paraId="3EA72CB5" w14:textId="77777777" w:rsidTr="00D2048F">
        <w:tblPrEx>
          <w:tblCellMar>
            <w:top w:w="0" w:type="dxa"/>
            <w:bottom w:w="0" w:type="dxa"/>
          </w:tblCellMar>
        </w:tblPrEx>
        <w:trPr>
          <w:trHeight w:val="594"/>
        </w:trPr>
        <w:tc>
          <w:tcPr>
            <w:tcW w:w="4331" w:type="dxa"/>
          </w:tcPr>
          <w:p w14:paraId="32EA7118" w14:textId="10A2E404"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Total Deposits</w:t>
            </w:r>
          </w:p>
        </w:tc>
        <w:tc>
          <w:tcPr>
            <w:tcW w:w="4243" w:type="dxa"/>
          </w:tcPr>
          <w:p w14:paraId="670179B6" w14:textId="09942911"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$17.5 trillion (Q1 2024)</w:t>
            </w:r>
          </w:p>
        </w:tc>
      </w:tr>
      <w:tr w:rsidR="00FE6ED6" w14:paraId="2B95212A" w14:textId="77777777" w:rsidTr="00D2048F">
        <w:tblPrEx>
          <w:tblCellMar>
            <w:top w:w="0" w:type="dxa"/>
            <w:bottom w:w="0" w:type="dxa"/>
          </w:tblCellMar>
        </w:tblPrEx>
        <w:trPr>
          <w:trHeight w:val="689"/>
        </w:trPr>
        <w:tc>
          <w:tcPr>
            <w:tcW w:w="4331" w:type="dxa"/>
          </w:tcPr>
          <w:p w14:paraId="6F3E5CA9" w14:textId="699F305D" w:rsidR="00FE6ED6" w:rsidRPr="00A670E8" w:rsidRDefault="00C246B0" w:rsidP="00C246B0">
            <w:pPr>
              <w:jc w:val="both"/>
              <w:rPr>
                <w:rFonts w:ascii="Times New Roman" w:hAnsi="Times New Roman" w:cs="Times New Roman"/>
                <w:b/>
                <w:sz w:val="24"/>
                <w:szCs w:val="24"/>
              </w:rPr>
            </w:pPr>
            <w:r w:rsidRPr="00A670E8">
              <w:rPr>
                <w:rFonts w:ascii="Times New Roman" w:hAnsi="Times New Roman" w:cs="Times New Roman"/>
                <w:b/>
                <w:sz w:val="24"/>
                <w:szCs w:val="24"/>
              </w:rPr>
              <w:t>Consumer Protection</w:t>
            </w:r>
          </w:p>
        </w:tc>
        <w:tc>
          <w:tcPr>
            <w:tcW w:w="4243" w:type="dxa"/>
          </w:tcPr>
          <w:p w14:paraId="4675ADB0" w14:textId="77777777" w:rsidR="00FE6ED6" w:rsidRDefault="00FE6ED6" w:rsidP="00356C42">
            <w:pPr>
              <w:jc w:val="center"/>
              <w:rPr>
                <w:rFonts w:ascii="Times New Roman" w:hAnsi="Times New Roman" w:cs="Times New Roman"/>
                <w:sz w:val="24"/>
                <w:szCs w:val="24"/>
              </w:rPr>
            </w:pPr>
          </w:p>
        </w:tc>
      </w:tr>
      <w:tr w:rsidR="00FE6ED6" w14:paraId="471CA959" w14:textId="77777777" w:rsidTr="00D2048F">
        <w:tblPrEx>
          <w:tblCellMar>
            <w:top w:w="0" w:type="dxa"/>
            <w:bottom w:w="0" w:type="dxa"/>
          </w:tblCellMar>
        </w:tblPrEx>
        <w:trPr>
          <w:trHeight w:val="615"/>
        </w:trPr>
        <w:tc>
          <w:tcPr>
            <w:tcW w:w="4331" w:type="dxa"/>
          </w:tcPr>
          <w:p w14:paraId="6E03386A" w14:textId="0F1E3EE7"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lastRenderedPageBreak/>
              <w:t>Consumer financial protection Bureau</w:t>
            </w:r>
          </w:p>
        </w:tc>
        <w:tc>
          <w:tcPr>
            <w:tcW w:w="4243" w:type="dxa"/>
          </w:tcPr>
          <w:p w14:paraId="0C983B03" w14:textId="43BAFE22" w:rsidR="00FE6ED6" w:rsidRDefault="00C246B0" w:rsidP="00C246B0">
            <w:pPr>
              <w:jc w:val="both"/>
              <w:rPr>
                <w:rFonts w:ascii="Times New Roman" w:hAnsi="Times New Roman" w:cs="Times New Roman"/>
                <w:sz w:val="24"/>
                <w:szCs w:val="24"/>
              </w:rPr>
            </w:pPr>
            <w:r>
              <w:rPr>
                <w:rFonts w:ascii="Times New Roman" w:hAnsi="Times New Roman" w:cs="Times New Roman"/>
                <w:sz w:val="24"/>
                <w:szCs w:val="24"/>
              </w:rPr>
              <w:t>Enforces federal consumer financial laws and oversees financial markets for consumers</w:t>
            </w:r>
          </w:p>
        </w:tc>
      </w:tr>
    </w:tbl>
    <w:tbl>
      <w:tblPr>
        <w:tblpPr w:leftFromText="180" w:rightFromText="180" w:vertAnchor="text" w:horzAnchor="page" w:tblpX="1941"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0"/>
        <w:gridCol w:w="4050"/>
      </w:tblGrid>
      <w:tr w:rsidR="00D2048F" w14:paraId="61274213" w14:textId="1B3FA844" w:rsidTr="00D2048F">
        <w:tblPrEx>
          <w:tblCellMar>
            <w:top w:w="0" w:type="dxa"/>
            <w:bottom w:w="0" w:type="dxa"/>
          </w:tblCellMar>
        </w:tblPrEx>
        <w:trPr>
          <w:trHeight w:val="556"/>
        </w:trPr>
        <w:tc>
          <w:tcPr>
            <w:tcW w:w="4590" w:type="dxa"/>
          </w:tcPr>
          <w:p w14:paraId="0D1E5ECB" w14:textId="378EDD07" w:rsidR="00D2048F" w:rsidRPr="00A670E8" w:rsidRDefault="00D2048F" w:rsidP="00D2048F">
            <w:pPr>
              <w:jc w:val="both"/>
              <w:rPr>
                <w:rFonts w:ascii="Times New Roman" w:hAnsi="Times New Roman" w:cs="Times New Roman"/>
                <w:b/>
                <w:sz w:val="24"/>
                <w:szCs w:val="24"/>
              </w:rPr>
            </w:pPr>
            <w:r w:rsidRPr="00A670E8">
              <w:rPr>
                <w:rFonts w:ascii="Times New Roman" w:hAnsi="Times New Roman" w:cs="Times New Roman"/>
                <w:b/>
                <w:sz w:val="24"/>
                <w:szCs w:val="24"/>
              </w:rPr>
              <w:t>Technological Initiatives</w:t>
            </w:r>
          </w:p>
        </w:tc>
        <w:tc>
          <w:tcPr>
            <w:tcW w:w="4050" w:type="dxa"/>
          </w:tcPr>
          <w:p w14:paraId="7426FF82" w14:textId="77777777" w:rsidR="00D2048F" w:rsidRDefault="00D2048F" w:rsidP="00D2048F">
            <w:pPr>
              <w:jc w:val="center"/>
              <w:rPr>
                <w:rFonts w:ascii="Times New Roman" w:hAnsi="Times New Roman" w:cs="Times New Roman"/>
                <w:sz w:val="24"/>
                <w:szCs w:val="24"/>
              </w:rPr>
            </w:pPr>
          </w:p>
        </w:tc>
      </w:tr>
      <w:tr w:rsidR="00D2048F" w14:paraId="64499D1C" w14:textId="77777777" w:rsidTr="00D2048F">
        <w:tblPrEx>
          <w:tblCellMar>
            <w:top w:w="0" w:type="dxa"/>
            <w:bottom w:w="0" w:type="dxa"/>
          </w:tblCellMar>
        </w:tblPrEx>
        <w:trPr>
          <w:trHeight w:val="644"/>
        </w:trPr>
        <w:tc>
          <w:tcPr>
            <w:tcW w:w="4590" w:type="dxa"/>
          </w:tcPr>
          <w:p w14:paraId="3DAA27C5" w14:textId="3F7455C9" w:rsidR="00D2048F" w:rsidRDefault="00D2048F" w:rsidP="00D2048F">
            <w:pPr>
              <w:jc w:val="both"/>
              <w:rPr>
                <w:rFonts w:ascii="Times New Roman" w:hAnsi="Times New Roman" w:cs="Times New Roman"/>
                <w:sz w:val="24"/>
                <w:szCs w:val="24"/>
              </w:rPr>
            </w:pPr>
            <w:proofErr w:type="spellStart"/>
            <w:r>
              <w:rPr>
                <w:rFonts w:ascii="Times New Roman" w:hAnsi="Times New Roman" w:cs="Times New Roman"/>
                <w:sz w:val="24"/>
                <w:szCs w:val="24"/>
              </w:rPr>
              <w:t>Fednow</w:t>
            </w:r>
            <w:proofErr w:type="spellEnd"/>
            <w:r>
              <w:rPr>
                <w:rFonts w:ascii="Times New Roman" w:hAnsi="Times New Roman" w:cs="Times New Roman"/>
                <w:sz w:val="24"/>
                <w:szCs w:val="24"/>
              </w:rPr>
              <w:t xml:space="preserve"> service</w:t>
            </w:r>
          </w:p>
        </w:tc>
        <w:tc>
          <w:tcPr>
            <w:tcW w:w="4050" w:type="dxa"/>
          </w:tcPr>
          <w:p w14:paraId="43C47F04" w14:textId="0851F0DB" w:rsidR="00D2048F" w:rsidRDefault="00D2048F" w:rsidP="00D2048F">
            <w:pPr>
              <w:jc w:val="both"/>
              <w:rPr>
                <w:rFonts w:ascii="Times New Roman" w:hAnsi="Times New Roman" w:cs="Times New Roman"/>
                <w:sz w:val="24"/>
                <w:szCs w:val="24"/>
              </w:rPr>
            </w:pPr>
            <w:r>
              <w:rPr>
                <w:rFonts w:ascii="Times New Roman" w:hAnsi="Times New Roman" w:cs="Times New Roman"/>
                <w:sz w:val="24"/>
                <w:szCs w:val="24"/>
              </w:rPr>
              <w:t>Real time payments and settlements service launched to enhance payment speed and efficiency</w:t>
            </w:r>
          </w:p>
        </w:tc>
      </w:tr>
      <w:tr w:rsidR="00D2048F" w14:paraId="2E2EF4ED" w14:textId="77777777" w:rsidTr="00D2048F">
        <w:tblPrEx>
          <w:tblCellMar>
            <w:top w:w="0" w:type="dxa"/>
            <w:bottom w:w="0" w:type="dxa"/>
          </w:tblCellMar>
        </w:tblPrEx>
        <w:trPr>
          <w:trHeight w:val="677"/>
        </w:trPr>
        <w:tc>
          <w:tcPr>
            <w:tcW w:w="4590" w:type="dxa"/>
          </w:tcPr>
          <w:p w14:paraId="58F94584" w14:textId="1AE557AA" w:rsidR="00D2048F" w:rsidRPr="00A670E8" w:rsidRDefault="00D2048F" w:rsidP="00D2048F">
            <w:pPr>
              <w:jc w:val="both"/>
              <w:rPr>
                <w:rFonts w:ascii="Times New Roman" w:hAnsi="Times New Roman" w:cs="Times New Roman"/>
                <w:b/>
                <w:sz w:val="24"/>
                <w:szCs w:val="24"/>
              </w:rPr>
            </w:pPr>
            <w:r w:rsidRPr="00A670E8">
              <w:rPr>
                <w:rFonts w:ascii="Times New Roman" w:hAnsi="Times New Roman" w:cs="Times New Roman"/>
                <w:b/>
                <w:sz w:val="24"/>
                <w:szCs w:val="24"/>
              </w:rPr>
              <w:t>Pandemic Response</w:t>
            </w:r>
          </w:p>
        </w:tc>
        <w:tc>
          <w:tcPr>
            <w:tcW w:w="4050" w:type="dxa"/>
          </w:tcPr>
          <w:p w14:paraId="6DECBD81" w14:textId="77777777" w:rsidR="00D2048F" w:rsidRDefault="00D2048F" w:rsidP="00D2048F">
            <w:pPr>
              <w:jc w:val="center"/>
              <w:rPr>
                <w:rFonts w:ascii="Times New Roman" w:hAnsi="Times New Roman" w:cs="Times New Roman"/>
                <w:sz w:val="24"/>
                <w:szCs w:val="24"/>
              </w:rPr>
            </w:pPr>
          </w:p>
        </w:tc>
      </w:tr>
      <w:tr w:rsidR="00D2048F" w14:paraId="27E49B87" w14:textId="77777777" w:rsidTr="00D2048F">
        <w:tblPrEx>
          <w:tblCellMar>
            <w:top w:w="0" w:type="dxa"/>
            <w:bottom w:w="0" w:type="dxa"/>
          </w:tblCellMar>
        </w:tblPrEx>
        <w:trPr>
          <w:trHeight w:val="829"/>
        </w:trPr>
        <w:tc>
          <w:tcPr>
            <w:tcW w:w="4590" w:type="dxa"/>
          </w:tcPr>
          <w:p w14:paraId="0380AB17" w14:textId="42EDCF51" w:rsidR="00D2048F" w:rsidRDefault="00D2048F" w:rsidP="00D2048F">
            <w:pPr>
              <w:jc w:val="both"/>
              <w:rPr>
                <w:rFonts w:ascii="Times New Roman" w:hAnsi="Times New Roman" w:cs="Times New Roman"/>
                <w:sz w:val="24"/>
                <w:szCs w:val="24"/>
              </w:rPr>
            </w:pPr>
            <w:r>
              <w:rPr>
                <w:rFonts w:ascii="Times New Roman" w:hAnsi="Times New Roman" w:cs="Times New Roman"/>
                <w:sz w:val="24"/>
                <w:szCs w:val="24"/>
              </w:rPr>
              <w:t>Covid-19 Emergency lending programs</w:t>
            </w:r>
          </w:p>
        </w:tc>
        <w:tc>
          <w:tcPr>
            <w:tcW w:w="4050" w:type="dxa"/>
          </w:tcPr>
          <w:p w14:paraId="7A303EC2" w14:textId="2B4CC5E2" w:rsidR="00D2048F" w:rsidRDefault="00D2048F" w:rsidP="00D2048F">
            <w:pPr>
              <w:jc w:val="both"/>
              <w:rPr>
                <w:rFonts w:ascii="Times New Roman" w:hAnsi="Times New Roman" w:cs="Times New Roman"/>
                <w:sz w:val="24"/>
                <w:szCs w:val="24"/>
              </w:rPr>
            </w:pPr>
            <w:r>
              <w:rPr>
                <w:rFonts w:ascii="Times New Roman" w:hAnsi="Times New Roman" w:cs="Times New Roman"/>
                <w:sz w:val="24"/>
                <w:szCs w:val="24"/>
              </w:rPr>
              <w:t>Several programs including the paycheck protection program liquidity facility</w:t>
            </w:r>
          </w:p>
        </w:tc>
      </w:tr>
      <w:tr w:rsidR="00D2048F" w14:paraId="662FDBE7" w14:textId="77777777" w:rsidTr="00D2048F">
        <w:tblPrEx>
          <w:tblCellMar>
            <w:top w:w="0" w:type="dxa"/>
            <w:bottom w:w="0" w:type="dxa"/>
          </w:tblCellMar>
        </w:tblPrEx>
        <w:trPr>
          <w:trHeight w:val="709"/>
        </w:trPr>
        <w:tc>
          <w:tcPr>
            <w:tcW w:w="4590" w:type="dxa"/>
          </w:tcPr>
          <w:p w14:paraId="1FF07899" w14:textId="3D863BDB" w:rsidR="00D2048F" w:rsidRDefault="00D2048F" w:rsidP="00D2048F">
            <w:pPr>
              <w:jc w:val="both"/>
              <w:rPr>
                <w:rFonts w:ascii="Times New Roman" w:hAnsi="Times New Roman" w:cs="Times New Roman"/>
                <w:sz w:val="24"/>
                <w:szCs w:val="24"/>
              </w:rPr>
            </w:pPr>
            <w:r>
              <w:rPr>
                <w:rFonts w:ascii="Times New Roman" w:hAnsi="Times New Roman" w:cs="Times New Roman"/>
                <w:sz w:val="24"/>
                <w:szCs w:val="24"/>
              </w:rPr>
              <w:t>Total Emergency lending</w:t>
            </w:r>
          </w:p>
        </w:tc>
        <w:tc>
          <w:tcPr>
            <w:tcW w:w="4050" w:type="dxa"/>
          </w:tcPr>
          <w:p w14:paraId="674F3EFA" w14:textId="1F83C3E1" w:rsidR="00D2048F" w:rsidRDefault="00D2048F" w:rsidP="00D2048F">
            <w:pPr>
              <w:jc w:val="both"/>
              <w:rPr>
                <w:rFonts w:ascii="Times New Roman" w:hAnsi="Times New Roman" w:cs="Times New Roman"/>
                <w:sz w:val="24"/>
                <w:szCs w:val="24"/>
              </w:rPr>
            </w:pPr>
            <w:r>
              <w:rPr>
                <w:rFonts w:ascii="Times New Roman" w:hAnsi="Times New Roman" w:cs="Times New Roman"/>
                <w:sz w:val="24"/>
                <w:szCs w:val="24"/>
              </w:rPr>
              <w:t>Over $2 trillion in various facilities during the peak of the covis-19 pandemic</w:t>
            </w:r>
          </w:p>
        </w:tc>
      </w:tr>
      <w:tr w:rsidR="00D2048F" w14:paraId="3523D6BB" w14:textId="77777777" w:rsidTr="000622DF">
        <w:tblPrEx>
          <w:tblCellMar>
            <w:top w:w="0" w:type="dxa"/>
            <w:bottom w:w="0" w:type="dxa"/>
          </w:tblCellMar>
        </w:tblPrEx>
        <w:trPr>
          <w:trHeight w:val="591"/>
        </w:trPr>
        <w:tc>
          <w:tcPr>
            <w:tcW w:w="4590" w:type="dxa"/>
          </w:tcPr>
          <w:p w14:paraId="74F96317" w14:textId="74F39855" w:rsidR="00D2048F" w:rsidRPr="00A670E8" w:rsidRDefault="00D2048F" w:rsidP="00D2048F">
            <w:pPr>
              <w:jc w:val="both"/>
              <w:rPr>
                <w:rFonts w:ascii="Times New Roman" w:hAnsi="Times New Roman" w:cs="Times New Roman"/>
                <w:b/>
                <w:sz w:val="24"/>
                <w:szCs w:val="24"/>
              </w:rPr>
            </w:pPr>
            <w:bookmarkStart w:id="0" w:name="_GoBack"/>
            <w:r w:rsidRPr="00A670E8">
              <w:rPr>
                <w:rFonts w:ascii="Times New Roman" w:hAnsi="Times New Roman" w:cs="Times New Roman"/>
                <w:b/>
                <w:sz w:val="24"/>
                <w:szCs w:val="24"/>
              </w:rPr>
              <w:t>Market Prices and Financial Stability</w:t>
            </w:r>
            <w:bookmarkEnd w:id="0"/>
          </w:p>
        </w:tc>
        <w:tc>
          <w:tcPr>
            <w:tcW w:w="4050" w:type="dxa"/>
          </w:tcPr>
          <w:p w14:paraId="1E5B71A7" w14:textId="77777777" w:rsidR="00D2048F" w:rsidRDefault="00D2048F" w:rsidP="00D2048F">
            <w:pPr>
              <w:jc w:val="center"/>
              <w:rPr>
                <w:rFonts w:ascii="Times New Roman" w:hAnsi="Times New Roman" w:cs="Times New Roman"/>
                <w:sz w:val="24"/>
                <w:szCs w:val="24"/>
              </w:rPr>
            </w:pPr>
          </w:p>
        </w:tc>
      </w:tr>
      <w:tr w:rsidR="00D2048F" w14:paraId="68F6DACC" w14:textId="77777777" w:rsidTr="00D2048F">
        <w:tblPrEx>
          <w:tblCellMar>
            <w:top w:w="0" w:type="dxa"/>
            <w:bottom w:w="0" w:type="dxa"/>
          </w:tblCellMar>
        </w:tblPrEx>
        <w:trPr>
          <w:trHeight w:val="905"/>
        </w:trPr>
        <w:tc>
          <w:tcPr>
            <w:tcW w:w="4590" w:type="dxa"/>
          </w:tcPr>
          <w:p w14:paraId="60F5317F" w14:textId="7769986F" w:rsidR="00D2048F" w:rsidRDefault="00D2048F" w:rsidP="00D2048F">
            <w:pPr>
              <w:jc w:val="both"/>
              <w:rPr>
                <w:rFonts w:ascii="Times New Roman" w:hAnsi="Times New Roman" w:cs="Times New Roman"/>
                <w:sz w:val="24"/>
                <w:szCs w:val="24"/>
              </w:rPr>
            </w:pPr>
            <w:r>
              <w:rPr>
                <w:rFonts w:ascii="Times New Roman" w:hAnsi="Times New Roman" w:cs="Times New Roman"/>
                <w:sz w:val="24"/>
                <w:szCs w:val="24"/>
              </w:rPr>
              <w:t>Average Return on Assets</w:t>
            </w:r>
          </w:p>
        </w:tc>
        <w:tc>
          <w:tcPr>
            <w:tcW w:w="4050" w:type="dxa"/>
          </w:tcPr>
          <w:p w14:paraId="3978C3A8" w14:textId="4061CFD8" w:rsidR="00D2048F" w:rsidRDefault="000622DF" w:rsidP="000622DF">
            <w:pPr>
              <w:jc w:val="both"/>
              <w:rPr>
                <w:rFonts w:ascii="Times New Roman" w:hAnsi="Times New Roman" w:cs="Times New Roman"/>
                <w:sz w:val="24"/>
                <w:szCs w:val="24"/>
              </w:rPr>
            </w:pPr>
            <w:r>
              <w:rPr>
                <w:rFonts w:ascii="Times New Roman" w:hAnsi="Times New Roman" w:cs="Times New Roman"/>
                <w:sz w:val="24"/>
                <w:szCs w:val="24"/>
              </w:rPr>
              <w:t>1.1% for commercial banks (Q1 2024)</w:t>
            </w:r>
          </w:p>
        </w:tc>
      </w:tr>
      <w:tr w:rsidR="00D2048F" w14:paraId="2908694B" w14:textId="77777777" w:rsidTr="00D2048F">
        <w:tblPrEx>
          <w:tblCellMar>
            <w:top w:w="0" w:type="dxa"/>
            <w:bottom w:w="0" w:type="dxa"/>
          </w:tblCellMar>
        </w:tblPrEx>
        <w:trPr>
          <w:trHeight w:val="775"/>
        </w:trPr>
        <w:tc>
          <w:tcPr>
            <w:tcW w:w="4590" w:type="dxa"/>
          </w:tcPr>
          <w:p w14:paraId="0BE9F0A5" w14:textId="37C20FBA" w:rsidR="00D2048F" w:rsidRDefault="00D2048F" w:rsidP="00D2048F">
            <w:pPr>
              <w:jc w:val="both"/>
              <w:rPr>
                <w:rFonts w:ascii="Times New Roman" w:hAnsi="Times New Roman" w:cs="Times New Roman"/>
                <w:sz w:val="24"/>
                <w:szCs w:val="24"/>
              </w:rPr>
            </w:pPr>
            <w:r>
              <w:rPr>
                <w:rFonts w:ascii="Times New Roman" w:hAnsi="Times New Roman" w:cs="Times New Roman"/>
                <w:sz w:val="24"/>
                <w:szCs w:val="24"/>
              </w:rPr>
              <w:t>Average Return on Equity</w:t>
            </w:r>
          </w:p>
        </w:tc>
        <w:tc>
          <w:tcPr>
            <w:tcW w:w="4050" w:type="dxa"/>
          </w:tcPr>
          <w:p w14:paraId="28C1ACA1" w14:textId="66703299" w:rsidR="00D2048F" w:rsidRDefault="000622DF" w:rsidP="000622DF">
            <w:pPr>
              <w:jc w:val="both"/>
              <w:rPr>
                <w:rFonts w:ascii="Times New Roman" w:hAnsi="Times New Roman" w:cs="Times New Roman"/>
                <w:sz w:val="24"/>
                <w:szCs w:val="24"/>
              </w:rPr>
            </w:pPr>
            <w:r>
              <w:rPr>
                <w:rFonts w:ascii="Times New Roman" w:hAnsi="Times New Roman" w:cs="Times New Roman"/>
                <w:sz w:val="24"/>
                <w:szCs w:val="24"/>
              </w:rPr>
              <w:t xml:space="preserve">11.3% </w:t>
            </w:r>
            <w:r>
              <w:rPr>
                <w:rFonts w:ascii="Times New Roman" w:hAnsi="Times New Roman" w:cs="Times New Roman"/>
                <w:sz w:val="24"/>
                <w:szCs w:val="24"/>
              </w:rPr>
              <w:t>for commercial banks (Q1 2024)</w:t>
            </w:r>
          </w:p>
        </w:tc>
      </w:tr>
      <w:tr w:rsidR="00D2048F" w14:paraId="1CADB721" w14:textId="77777777" w:rsidTr="00D2048F">
        <w:tblPrEx>
          <w:tblCellMar>
            <w:top w:w="0" w:type="dxa"/>
            <w:bottom w:w="0" w:type="dxa"/>
          </w:tblCellMar>
        </w:tblPrEx>
        <w:trPr>
          <w:trHeight w:val="938"/>
        </w:trPr>
        <w:tc>
          <w:tcPr>
            <w:tcW w:w="4590" w:type="dxa"/>
          </w:tcPr>
          <w:p w14:paraId="7926A7F5" w14:textId="050F05A5" w:rsidR="00D2048F" w:rsidRDefault="00D2048F" w:rsidP="00D2048F">
            <w:pPr>
              <w:jc w:val="both"/>
              <w:rPr>
                <w:rFonts w:ascii="Times New Roman" w:hAnsi="Times New Roman" w:cs="Times New Roman"/>
                <w:sz w:val="24"/>
                <w:szCs w:val="24"/>
              </w:rPr>
            </w:pPr>
            <w:r>
              <w:rPr>
                <w:rFonts w:ascii="Times New Roman" w:hAnsi="Times New Roman" w:cs="Times New Roman"/>
                <w:sz w:val="24"/>
                <w:szCs w:val="24"/>
              </w:rPr>
              <w:t>Noncurrent Loans Rate-Total Loans</w:t>
            </w:r>
          </w:p>
        </w:tc>
        <w:tc>
          <w:tcPr>
            <w:tcW w:w="4050" w:type="dxa"/>
          </w:tcPr>
          <w:p w14:paraId="5B065312" w14:textId="7951FD55" w:rsidR="00D2048F" w:rsidRDefault="000622DF" w:rsidP="000622DF">
            <w:pPr>
              <w:jc w:val="both"/>
              <w:rPr>
                <w:rFonts w:ascii="Times New Roman" w:hAnsi="Times New Roman" w:cs="Times New Roman"/>
                <w:sz w:val="24"/>
                <w:szCs w:val="24"/>
              </w:rPr>
            </w:pPr>
            <w:r>
              <w:rPr>
                <w:rFonts w:ascii="Times New Roman" w:hAnsi="Times New Roman" w:cs="Times New Roman"/>
                <w:sz w:val="24"/>
                <w:szCs w:val="24"/>
              </w:rPr>
              <w:t xml:space="preserve">0.91% </w:t>
            </w:r>
            <w:r>
              <w:rPr>
                <w:rFonts w:ascii="Times New Roman" w:hAnsi="Times New Roman" w:cs="Times New Roman"/>
                <w:sz w:val="24"/>
                <w:szCs w:val="24"/>
              </w:rPr>
              <w:t>for commercial banks (Q1 2024)</w:t>
            </w:r>
          </w:p>
        </w:tc>
      </w:tr>
      <w:tr w:rsidR="00D2048F" w14:paraId="2ACD5321" w14:textId="77777777" w:rsidTr="00D2048F">
        <w:tblPrEx>
          <w:tblCellMar>
            <w:top w:w="0" w:type="dxa"/>
            <w:bottom w:w="0" w:type="dxa"/>
          </w:tblCellMar>
        </w:tblPrEx>
        <w:trPr>
          <w:trHeight w:val="851"/>
        </w:trPr>
        <w:tc>
          <w:tcPr>
            <w:tcW w:w="4590" w:type="dxa"/>
          </w:tcPr>
          <w:p w14:paraId="23902EA3" w14:textId="17AB54FE" w:rsidR="00D2048F" w:rsidRDefault="00D2048F" w:rsidP="00D2048F">
            <w:pPr>
              <w:jc w:val="both"/>
              <w:rPr>
                <w:rFonts w:ascii="Times New Roman" w:hAnsi="Times New Roman" w:cs="Times New Roman"/>
                <w:sz w:val="24"/>
                <w:szCs w:val="24"/>
              </w:rPr>
            </w:pPr>
            <w:r>
              <w:rPr>
                <w:rFonts w:ascii="Times New Roman" w:hAnsi="Times New Roman" w:cs="Times New Roman"/>
                <w:sz w:val="24"/>
                <w:szCs w:val="24"/>
              </w:rPr>
              <w:t>Net Charge</w:t>
            </w:r>
            <w:r w:rsidR="000622DF">
              <w:rPr>
                <w:rFonts w:ascii="Times New Roman" w:hAnsi="Times New Roman" w:cs="Times New Roman"/>
                <w:sz w:val="24"/>
                <w:szCs w:val="24"/>
              </w:rPr>
              <w:t>-Off Rate- All Loans</w:t>
            </w:r>
          </w:p>
        </w:tc>
        <w:tc>
          <w:tcPr>
            <w:tcW w:w="4050" w:type="dxa"/>
          </w:tcPr>
          <w:p w14:paraId="6D59D856" w14:textId="59709958" w:rsidR="00D2048F" w:rsidRDefault="000622DF" w:rsidP="000622DF">
            <w:pPr>
              <w:jc w:val="both"/>
              <w:rPr>
                <w:rFonts w:ascii="Times New Roman" w:hAnsi="Times New Roman" w:cs="Times New Roman"/>
                <w:sz w:val="24"/>
                <w:szCs w:val="24"/>
              </w:rPr>
            </w:pPr>
            <w:r>
              <w:rPr>
                <w:rFonts w:ascii="Times New Roman" w:hAnsi="Times New Roman" w:cs="Times New Roman"/>
                <w:sz w:val="24"/>
                <w:szCs w:val="24"/>
              </w:rPr>
              <w:t xml:space="preserve">0.65% </w:t>
            </w:r>
            <w:r>
              <w:rPr>
                <w:rFonts w:ascii="Times New Roman" w:hAnsi="Times New Roman" w:cs="Times New Roman"/>
                <w:sz w:val="24"/>
                <w:szCs w:val="24"/>
              </w:rPr>
              <w:t>for commercial banks (Q1 2024)</w:t>
            </w:r>
          </w:p>
        </w:tc>
      </w:tr>
      <w:tr w:rsidR="00D2048F" w14:paraId="01C652EF" w14:textId="77777777" w:rsidTr="000622DF">
        <w:tblPrEx>
          <w:tblCellMar>
            <w:top w:w="0" w:type="dxa"/>
            <w:bottom w:w="0" w:type="dxa"/>
          </w:tblCellMar>
        </w:tblPrEx>
        <w:trPr>
          <w:trHeight w:val="888"/>
        </w:trPr>
        <w:tc>
          <w:tcPr>
            <w:tcW w:w="4590" w:type="dxa"/>
          </w:tcPr>
          <w:p w14:paraId="64804E51" w14:textId="6C87A0D8" w:rsidR="00D2048F" w:rsidRDefault="000622DF" w:rsidP="00D2048F">
            <w:pPr>
              <w:jc w:val="both"/>
              <w:rPr>
                <w:rFonts w:ascii="Times New Roman" w:hAnsi="Times New Roman" w:cs="Times New Roman"/>
                <w:sz w:val="24"/>
                <w:szCs w:val="24"/>
              </w:rPr>
            </w:pPr>
            <w:r>
              <w:rPr>
                <w:rFonts w:ascii="Times New Roman" w:hAnsi="Times New Roman" w:cs="Times New Roman"/>
                <w:sz w:val="24"/>
                <w:szCs w:val="24"/>
              </w:rPr>
              <w:t>Net Interest Margin</w:t>
            </w:r>
          </w:p>
        </w:tc>
        <w:tc>
          <w:tcPr>
            <w:tcW w:w="4050" w:type="dxa"/>
          </w:tcPr>
          <w:p w14:paraId="294972D0" w14:textId="4FB79B5C" w:rsidR="00D2048F" w:rsidRDefault="000622DF" w:rsidP="000622DF">
            <w:pPr>
              <w:jc w:val="both"/>
              <w:rPr>
                <w:rFonts w:ascii="Times New Roman" w:hAnsi="Times New Roman" w:cs="Times New Roman"/>
                <w:sz w:val="24"/>
                <w:szCs w:val="24"/>
              </w:rPr>
            </w:pPr>
            <w:r>
              <w:rPr>
                <w:rFonts w:ascii="Times New Roman" w:hAnsi="Times New Roman" w:cs="Times New Roman"/>
                <w:sz w:val="24"/>
                <w:szCs w:val="24"/>
              </w:rPr>
              <w:t xml:space="preserve">3.17% </w:t>
            </w:r>
            <w:r>
              <w:rPr>
                <w:rFonts w:ascii="Times New Roman" w:hAnsi="Times New Roman" w:cs="Times New Roman"/>
                <w:sz w:val="24"/>
                <w:szCs w:val="24"/>
              </w:rPr>
              <w:t>for commercial banks (Q1 2024)</w:t>
            </w:r>
          </w:p>
        </w:tc>
      </w:tr>
    </w:tbl>
    <w:p w14:paraId="3B4EEF2D" w14:textId="3409096F" w:rsidR="00C246B0" w:rsidRDefault="00C246B0" w:rsidP="00356C42">
      <w:pPr>
        <w:jc w:val="center"/>
        <w:rPr>
          <w:rFonts w:ascii="Times New Roman" w:hAnsi="Times New Roman" w:cs="Times New Roman"/>
          <w:sz w:val="24"/>
          <w:szCs w:val="24"/>
        </w:rPr>
      </w:pPr>
    </w:p>
    <w:p w14:paraId="60AF9599" w14:textId="680B54C9" w:rsidR="000622DF" w:rsidRDefault="000622DF" w:rsidP="000622DF">
      <w:p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This table provides a comprehensive overview of the Federal Reserve System's key statistics, including its monetary policy tools, financial performance, economic indicators, consumer protection efforts, technological initiatives, pandemic response measures, and banking sector statistics.</w:t>
      </w:r>
    </w:p>
    <w:p w14:paraId="15C0A40D" w14:textId="77777777" w:rsidR="000622DF" w:rsidRPr="000622DF" w:rsidRDefault="000622DF" w:rsidP="000622DF">
      <w:pPr>
        <w:spacing w:before="100" w:beforeAutospacing="1" w:after="100" w:afterAutospacing="1" w:line="240" w:lineRule="auto"/>
        <w:jc w:val="both"/>
        <w:rPr>
          <w:rFonts w:ascii="Times New Roman" w:eastAsia="Times New Roman" w:hAnsi="Times New Roman" w:cs="Times New Roman"/>
          <w:sz w:val="24"/>
          <w:szCs w:val="24"/>
        </w:rPr>
      </w:pPr>
    </w:p>
    <w:p w14:paraId="41BDB58A" w14:textId="77777777" w:rsidR="000622DF" w:rsidRPr="000622DF" w:rsidRDefault="000622DF" w:rsidP="000622DF">
      <w:p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b/>
          <w:bCs/>
          <w:color w:val="0D1214"/>
          <w:spacing w:val="-3"/>
          <w:sz w:val="24"/>
          <w:szCs w:val="24"/>
        </w:rPr>
        <w:lastRenderedPageBreak/>
        <w:t>Structure and Functions</w:t>
      </w:r>
    </w:p>
    <w:p w14:paraId="25EA42FB" w14:textId="77777777" w:rsidR="000622DF" w:rsidRPr="000622DF" w:rsidRDefault="000622DF" w:rsidP="000622DF">
      <w:p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color w:val="0D1214"/>
          <w:spacing w:val="-3"/>
          <w:sz w:val="24"/>
          <w:szCs w:val="24"/>
        </w:rPr>
        <w:t>The Federal Reserve System is composed of three key groups:</w:t>
      </w:r>
    </w:p>
    <w:p w14:paraId="2718547A" w14:textId="77777777" w:rsidR="000622DF" w:rsidRPr="000622DF" w:rsidRDefault="000622DF" w:rsidP="000622DF">
      <w:pPr>
        <w:numPr>
          <w:ilvl w:val="0"/>
          <w:numId w:val="1"/>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b/>
          <w:bCs/>
          <w:color w:val="0D1214"/>
          <w:spacing w:val="-3"/>
          <w:sz w:val="24"/>
          <w:szCs w:val="24"/>
        </w:rPr>
        <w:t>Board of Governors</w:t>
      </w:r>
      <w:r w:rsidRPr="000622DF">
        <w:rPr>
          <w:rFonts w:ascii="Times New Roman" w:eastAsia="Times New Roman" w:hAnsi="Times New Roman" w:cs="Times New Roman"/>
          <w:color w:val="0D1214"/>
          <w:spacing w:val="-3"/>
          <w:sz w:val="24"/>
          <w:szCs w:val="24"/>
        </w:rPr>
        <w:t>: The Board of Governors, located in Washington, D.C., is the governing body of the Federal Reserve System. It is responsible for setting monetary policy and overseeing the entire system.</w:t>
      </w:r>
    </w:p>
    <w:p w14:paraId="6B6D961F" w14:textId="77777777" w:rsidR="000622DF" w:rsidRPr="000622DF" w:rsidRDefault="000622DF" w:rsidP="000622DF">
      <w:pPr>
        <w:numPr>
          <w:ilvl w:val="0"/>
          <w:numId w:val="1"/>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b/>
          <w:bCs/>
          <w:color w:val="0D1214"/>
          <w:spacing w:val="-3"/>
          <w:sz w:val="24"/>
          <w:szCs w:val="24"/>
        </w:rPr>
        <w:t>Federal Reserve Banks</w:t>
      </w:r>
      <w:r w:rsidRPr="000622DF">
        <w:rPr>
          <w:rFonts w:ascii="Times New Roman" w:eastAsia="Times New Roman" w:hAnsi="Times New Roman" w:cs="Times New Roman"/>
          <w:color w:val="0D1214"/>
          <w:spacing w:val="-3"/>
          <w:sz w:val="24"/>
          <w:szCs w:val="24"/>
        </w:rPr>
        <w:t>: There are 12 Federal Reserve Banks, each serving a specific region of the country. These banks are responsible for implementing monetary policy, supervising and regulating banks, and providing financial services to banks and the government.</w:t>
      </w:r>
    </w:p>
    <w:p w14:paraId="6625203D" w14:textId="77777777" w:rsidR="000622DF" w:rsidRPr="000622DF" w:rsidRDefault="000622DF" w:rsidP="000622DF">
      <w:pPr>
        <w:numPr>
          <w:ilvl w:val="0"/>
          <w:numId w:val="1"/>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b/>
          <w:bCs/>
          <w:color w:val="0D1214"/>
          <w:spacing w:val="-3"/>
          <w:sz w:val="24"/>
          <w:szCs w:val="24"/>
        </w:rPr>
        <w:t>Federal Open Market Committee (FOMC)</w:t>
      </w:r>
      <w:r w:rsidRPr="000622DF">
        <w:rPr>
          <w:rFonts w:ascii="Times New Roman" w:eastAsia="Times New Roman" w:hAnsi="Times New Roman" w:cs="Times New Roman"/>
          <w:color w:val="0D1214"/>
          <w:spacing w:val="-3"/>
          <w:sz w:val="24"/>
          <w:szCs w:val="24"/>
        </w:rPr>
        <w:t>: The FOMC is a committee within the Federal Reserve System that sets monetary policy. It is composed of the seven members of the Board of Governors and the 12 presidents of the Federal Reserve Banks.</w:t>
      </w:r>
    </w:p>
    <w:p w14:paraId="3952C377" w14:textId="77777777" w:rsidR="000622DF" w:rsidRPr="000622DF" w:rsidRDefault="000622DF" w:rsidP="000622DF">
      <w:p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b/>
          <w:bCs/>
          <w:color w:val="0D1214"/>
          <w:spacing w:val="-3"/>
          <w:sz w:val="24"/>
          <w:szCs w:val="24"/>
        </w:rPr>
        <w:t>Key Functions</w:t>
      </w:r>
    </w:p>
    <w:p w14:paraId="37217703" w14:textId="77777777" w:rsidR="000622DF" w:rsidRPr="000622DF" w:rsidRDefault="000622DF" w:rsidP="000622DF">
      <w:pPr>
        <w:shd w:val="clear" w:color="auto" w:fill="FFFFFF"/>
        <w:spacing w:before="100" w:beforeAutospacing="1"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color w:val="0D1214"/>
          <w:spacing w:val="-3"/>
          <w:sz w:val="24"/>
          <w:szCs w:val="24"/>
        </w:rPr>
        <w:t>The Federal Reserve System performs several key functions:</w:t>
      </w:r>
    </w:p>
    <w:p w14:paraId="19DF6C35" w14:textId="77777777" w:rsidR="000622DF" w:rsidRPr="000622DF" w:rsidRDefault="000622DF" w:rsidP="000622DF">
      <w:pPr>
        <w:numPr>
          <w:ilvl w:val="0"/>
          <w:numId w:val="2"/>
        </w:numPr>
        <w:shd w:val="clear" w:color="auto" w:fill="FFFFFF"/>
        <w:spacing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b/>
          <w:bCs/>
          <w:color w:val="0D1214"/>
          <w:spacing w:val="-3"/>
          <w:sz w:val="24"/>
          <w:szCs w:val="24"/>
        </w:rPr>
        <w:t>Monetary Policy</w:t>
      </w:r>
      <w:r w:rsidRPr="000622DF">
        <w:rPr>
          <w:rFonts w:ascii="Times New Roman" w:eastAsia="Times New Roman" w:hAnsi="Times New Roman" w:cs="Times New Roman"/>
          <w:color w:val="0D1214"/>
          <w:spacing w:val="-3"/>
          <w:sz w:val="24"/>
          <w:szCs w:val="24"/>
        </w:rPr>
        <w:t>: The Fed sets interest rates and buys and sells government securities to influence the money supply and economic growth.</w:t>
      </w:r>
    </w:p>
    <w:p w14:paraId="2B46F6FC" w14:textId="77777777" w:rsidR="000622DF" w:rsidRPr="000622DF" w:rsidRDefault="000622DF" w:rsidP="000622DF">
      <w:pPr>
        <w:numPr>
          <w:ilvl w:val="0"/>
          <w:numId w:val="2"/>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b/>
          <w:bCs/>
          <w:color w:val="0D1214"/>
          <w:spacing w:val="-3"/>
          <w:sz w:val="24"/>
          <w:szCs w:val="24"/>
        </w:rPr>
        <w:t>Supervision and Regulation</w:t>
      </w:r>
      <w:r w:rsidRPr="000622DF">
        <w:rPr>
          <w:rFonts w:ascii="Times New Roman" w:eastAsia="Times New Roman" w:hAnsi="Times New Roman" w:cs="Times New Roman"/>
          <w:color w:val="0D1214"/>
          <w:spacing w:val="-3"/>
          <w:sz w:val="24"/>
          <w:szCs w:val="24"/>
        </w:rPr>
        <w:t>: The Fed supervises and regulates banks, thrifts, and other financial institutions to ensure their safety and soundness.</w:t>
      </w:r>
    </w:p>
    <w:p w14:paraId="5C7DF132" w14:textId="77777777" w:rsidR="000622DF" w:rsidRPr="000622DF" w:rsidRDefault="000622DF" w:rsidP="000622DF">
      <w:pPr>
        <w:numPr>
          <w:ilvl w:val="0"/>
          <w:numId w:val="2"/>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b/>
          <w:bCs/>
          <w:color w:val="0D1214"/>
          <w:spacing w:val="-3"/>
          <w:sz w:val="24"/>
          <w:szCs w:val="24"/>
        </w:rPr>
        <w:t>Lender of Last Resort</w:t>
      </w:r>
      <w:r w:rsidRPr="000622DF">
        <w:rPr>
          <w:rFonts w:ascii="Times New Roman" w:eastAsia="Times New Roman" w:hAnsi="Times New Roman" w:cs="Times New Roman"/>
          <w:color w:val="0D1214"/>
          <w:spacing w:val="-3"/>
          <w:sz w:val="24"/>
          <w:szCs w:val="24"/>
        </w:rPr>
        <w:t>: The Fed acts as a lender of last resort by providing emergency loans to banks and other financial institutions during times of financial stress.</w:t>
      </w:r>
    </w:p>
    <w:p w14:paraId="669AE839" w14:textId="77777777" w:rsidR="000622DF" w:rsidRPr="000622DF" w:rsidRDefault="000622DF" w:rsidP="000622DF">
      <w:pPr>
        <w:numPr>
          <w:ilvl w:val="0"/>
          <w:numId w:val="2"/>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b/>
          <w:bCs/>
          <w:color w:val="0D1214"/>
          <w:spacing w:val="-3"/>
          <w:sz w:val="24"/>
          <w:szCs w:val="24"/>
        </w:rPr>
        <w:t>Currency Management</w:t>
      </w:r>
      <w:r w:rsidRPr="000622DF">
        <w:rPr>
          <w:rFonts w:ascii="Times New Roman" w:eastAsia="Times New Roman" w:hAnsi="Times New Roman" w:cs="Times New Roman"/>
          <w:color w:val="0D1214"/>
          <w:spacing w:val="-3"/>
          <w:sz w:val="24"/>
          <w:szCs w:val="24"/>
        </w:rPr>
        <w:t>: The Fed manages the nation’s currency and coin supply, as well as the distribution of coins and currency to financial institutions.</w:t>
      </w:r>
    </w:p>
    <w:p w14:paraId="5FCBC379" w14:textId="77777777" w:rsidR="000622DF" w:rsidRPr="000622DF" w:rsidRDefault="000622DF" w:rsidP="000622DF">
      <w:pPr>
        <w:numPr>
          <w:ilvl w:val="0"/>
          <w:numId w:val="2"/>
        </w:numPr>
        <w:shd w:val="clear" w:color="auto" w:fill="FFFFFF"/>
        <w:spacing w:beforeAutospacing="1" w:after="100" w:afterAutospacing="1" w:line="240" w:lineRule="auto"/>
        <w:rPr>
          <w:rFonts w:ascii="Times New Roman" w:eastAsia="Times New Roman" w:hAnsi="Times New Roman" w:cs="Times New Roman"/>
          <w:color w:val="0D1214"/>
          <w:spacing w:val="-3"/>
          <w:sz w:val="24"/>
          <w:szCs w:val="24"/>
        </w:rPr>
      </w:pPr>
      <w:r w:rsidRPr="000622DF">
        <w:rPr>
          <w:rFonts w:ascii="Times New Roman" w:eastAsia="Times New Roman" w:hAnsi="Times New Roman" w:cs="Times New Roman"/>
          <w:b/>
          <w:bCs/>
          <w:color w:val="0D1214"/>
          <w:spacing w:val="-3"/>
          <w:sz w:val="24"/>
          <w:szCs w:val="24"/>
        </w:rPr>
        <w:t>Financial Services</w:t>
      </w:r>
      <w:r w:rsidRPr="000622DF">
        <w:rPr>
          <w:rFonts w:ascii="Times New Roman" w:eastAsia="Times New Roman" w:hAnsi="Times New Roman" w:cs="Times New Roman"/>
          <w:color w:val="0D1214"/>
          <w:spacing w:val="-3"/>
          <w:sz w:val="24"/>
          <w:szCs w:val="24"/>
        </w:rPr>
        <w:t>: The Fed provides financial services to banks, the government, and other financial institutions, such as check clearing and wire transfers.</w:t>
      </w:r>
    </w:p>
    <w:p w14:paraId="4B0AEDF7" w14:textId="33EB6195" w:rsidR="000622DF" w:rsidRPr="000622DF" w:rsidRDefault="000622DF" w:rsidP="000622DF">
      <w:pPr>
        <w:spacing w:after="0" w:line="240" w:lineRule="auto"/>
        <w:rPr>
          <w:rFonts w:ascii="Times New Roman" w:eastAsia="Times New Roman" w:hAnsi="Times New Roman" w:cs="Times New Roman"/>
          <w:sz w:val="24"/>
          <w:szCs w:val="24"/>
        </w:rPr>
      </w:pPr>
    </w:p>
    <w:p w14:paraId="59BBA451" w14:textId="77777777" w:rsidR="000622DF" w:rsidRDefault="000622DF" w:rsidP="00356C42">
      <w:pPr>
        <w:jc w:val="center"/>
        <w:rPr>
          <w:rFonts w:ascii="Times New Roman" w:hAnsi="Times New Roman" w:cs="Times New Roman"/>
          <w:sz w:val="24"/>
          <w:szCs w:val="24"/>
        </w:rPr>
      </w:pPr>
    </w:p>
    <w:p w14:paraId="398E863B" w14:textId="77777777" w:rsidR="000622DF" w:rsidRPr="000622DF" w:rsidRDefault="000622DF" w:rsidP="000622DF">
      <w:pPr>
        <w:spacing w:before="100" w:beforeAutospacing="1" w:after="100" w:afterAutospacing="1"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 Federal Reserve System, commonly known as the Fed, is the central bank of the United States. It plays a critical role in the country’s economy by conducting monetary policy, providing financial services, supervising and regulating banks, and maintaining financial stability. Here’s a detailed overview of how the Federal Reserve System works, supported with relevant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4"/>
        <w:gridCol w:w="3993"/>
        <w:gridCol w:w="2963"/>
      </w:tblGrid>
      <w:tr w:rsidR="000622DF" w:rsidRPr="000622DF" w14:paraId="3F8A9F74" w14:textId="77777777" w:rsidTr="00A670E8">
        <w:trPr>
          <w:tblHeader/>
          <w:tblCellSpacing w:w="15" w:type="dxa"/>
        </w:trPr>
        <w:tc>
          <w:tcPr>
            <w:tcW w:w="0" w:type="auto"/>
            <w:vAlign w:val="center"/>
            <w:hideMark/>
          </w:tcPr>
          <w:p w14:paraId="2BC05C21" w14:textId="77777777" w:rsidR="000622DF" w:rsidRPr="000622DF" w:rsidRDefault="000622DF" w:rsidP="000622DF">
            <w:pPr>
              <w:spacing w:after="0" w:line="240" w:lineRule="auto"/>
              <w:jc w:val="center"/>
              <w:rPr>
                <w:rFonts w:ascii="Times New Roman" w:eastAsia="Times New Roman" w:hAnsi="Times New Roman" w:cs="Times New Roman"/>
                <w:b/>
                <w:bCs/>
                <w:sz w:val="24"/>
                <w:szCs w:val="24"/>
              </w:rPr>
            </w:pPr>
            <w:r w:rsidRPr="000622DF">
              <w:rPr>
                <w:rFonts w:ascii="Times New Roman" w:eastAsia="Times New Roman" w:hAnsi="Times New Roman" w:cs="Times New Roman"/>
                <w:b/>
                <w:bCs/>
                <w:sz w:val="24"/>
                <w:szCs w:val="24"/>
              </w:rPr>
              <w:t>Function</w:t>
            </w:r>
          </w:p>
        </w:tc>
        <w:tc>
          <w:tcPr>
            <w:tcW w:w="0" w:type="auto"/>
            <w:vAlign w:val="center"/>
            <w:hideMark/>
          </w:tcPr>
          <w:p w14:paraId="0D9B1789" w14:textId="77777777" w:rsidR="000622DF" w:rsidRPr="000622DF" w:rsidRDefault="000622DF" w:rsidP="000622DF">
            <w:pPr>
              <w:spacing w:after="0" w:line="240" w:lineRule="auto"/>
              <w:jc w:val="center"/>
              <w:rPr>
                <w:rFonts w:ascii="Times New Roman" w:eastAsia="Times New Roman" w:hAnsi="Times New Roman" w:cs="Times New Roman"/>
                <w:b/>
                <w:bCs/>
                <w:sz w:val="24"/>
                <w:szCs w:val="24"/>
              </w:rPr>
            </w:pPr>
            <w:r w:rsidRPr="000622DF">
              <w:rPr>
                <w:rFonts w:ascii="Times New Roman" w:eastAsia="Times New Roman" w:hAnsi="Times New Roman" w:cs="Times New Roman"/>
                <w:b/>
                <w:bCs/>
                <w:sz w:val="24"/>
                <w:szCs w:val="24"/>
              </w:rPr>
              <w:t>Description</w:t>
            </w:r>
          </w:p>
        </w:tc>
        <w:tc>
          <w:tcPr>
            <w:tcW w:w="0" w:type="auto"/>
            <w:vAlign w:val="center"/>
            <w:hideMark/>
          </w:tcPr>
          <w:p w14:paraId="11E2A96E" w14:textId="77777777" w:rsidR="000622DF" w:rsidRPr="000622DF" w:rsidRDefault="000622DF" w:rsidP="000622DF">
            <w:pPr>
              <w:spacing w:after="0" w:line="240" w:lineRule="auto"/>
              <w:jc w:val="center"/>
              <w:rPr>
                <w:rFonts w:ascii="Times New Roman" w:eastAsia="Times New Roman" w:hAnsi="Times New Roman" w:cs="Times New Roman"/>
                <w:b/>
                <w:bCs/>
                <w:sz w:val="24"/>
                <w:szCs w:val="24"/>
              </w:rPr>
            </w:pPr>
            <w:r w:rsidRPr="000622DF">
              <w:rPr>
                <w:rFonts w:ascii="Times New Roman" w:eastAsia="Times New Roman" w:hAnsi="Times New Roman" w:cs="Times New Roman"/>
                <w:b/>
                <w:bCs/>
                <w:sz w:val="24"/>
                <w:szCs w:val="24"/>
              </w:rPr>
              <w:t>Key Data Points (as of 2024)</w:t>
            </w:r>
          </w:p>
        </w:tc>
      </w:tr>
      <w:tr w:rsidR="000622DF" w:rsidRPr="000622DF" w14:paraId="568C3960" w14:textId="77777777" w:rsidTr="00A670E8">
        <w:trPr>
          <w:tblCellSpacing w:w="15" w:type="dxa"/>
        </w:trPr>
        <w:tc>
          <w:tcPr>
            <w:tcW w:w="0" w:type="auto"/>
            <w:vAlign w:val="center"/>
            <w:hideMark/>
          </w:tcPr>
          <w:p w14:paraId="4413EB59"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b/>
                <w:bCs/>
                <w:sz w:val="24"/>
                <w:szCs w:val="24"/>
              </w:rPr>
              <w:t>Monetary Policy</w:t>
            </w:r>
          </w:p>
        </w:tc>
        <w:tc>
          <w:tcPr>
            <w:tcW w:w="0" w:type="auto"/>
            <w:vAlign w:val="center"/>
            <w:hideMark/>
          </w:tcPr>
          <w:p w14:paraId="4B3896BD" w14:textId="77777777" w:rsidR="000622DF" w:rsidRPr="000622DF" w:rsidRDefault="000622DF" w:rsidP="000622DF">
            <w:pPr>
              <w:spacing w:after="0" w:line="240" w:lineRule="auto"/>
              <w:rPr>
                <w:rFonts w:ascii="Times New Roman" w:eastAsia="Times New Roman" w:hAnsi="Times New Roman" w:cs="Times New Roman"/>
                <w:sz w:val="24"/>
                <w:szCs w:val="24"/>
              </w:rPr>
            </w:pPr>
          </w:p>
        </w:tc>
        <w:tc>
          <w:tcPr>
            <w:tcW w:w="0" w:type="auto"/>
            <w:vAlign w:val="center"/>
            <w:hideMark/>
          </w:tcPr>
          <w:p w14:paraId="54FBAF98" w14:textId="77777777" w:rsidR="000622DF" w:rsidRPr="000622DF" w:rsidRDefault="000622DF" w:rsidP="000622DF">
            <w:pPr>
              <w:spacing w:after="0" w:line="240" w:lineRule="auto"/>
              <w:rPr>
                <w:rFonts w:ascii="Times New Roman" w:eastAsia="Times New Roman" w:hAnsi="Times New Roman" w:cs="Times New Roman"/>
                <w:sz w:val="20"/>
                <w:szCs w:val="20"/>
              </w:rPr>
            </w:pPr>
          </w:p>
        </w:tc>
      </w:tr>
      <w:tr w:rsidR="000622DF" w:rsidRPr="000622DF" w14:paraId="79B89324" w14:textId="77777777" w:rsidTr="00A670E8">
        <w:trPr>
          <w:tblCellSpacing w:w="15" w:type="dxa"/>
        </w:trPr>
        <w:tc>
          <w:tcPr>
            <w:tcW w:w="0" w:type="auto"/>
            <w:vAlign w:val="center"/>
            <w:hideMark/>
          </w:tcPr>
          <w:p w14:paraId="5C820BF0"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Goals</w:t>
            </w:r>
          </w:p>
        </w:tc>
        <w:tc>
          <w:tcPr>
            <w:tcW w:w="0" w:type="auto"/>
            <w:vAlign w:val="center"/>
            <w:hideMark/>
          </w:tcPr>
          <w:p w14:paraId="0410DDE4"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To achieve maximum employment, stable prices, and moderate long-term interest rates</w:t>
            </w:r>
          </w:p>
        </w:tc>
        <w:tc>
          <w:tcPr>
            <w:tcW w:w="0" w:type="auto"/>
            <w:vAlign w:val="center"/>
            <w:hideMark/>
          </w:tcPr>
          <w:p w14:paraId="161D364B" w14:textId="77777777" w:rsidR="000622DF" w:rsidRPr="000622DF" w:rsidRDefault="000622DF" w:rsidP="000622DF">
            <w:pPr>
              <w:spacing w:after="0" w:line="240" w:lineRule="auto"/>
              <w:rPr>
                <w:rFonts w:ascii="Times New Roman" w:eastAsia="Times New Roman" w:hAnsi="Times New Roman" w:cs="Times New Roman"/>
                <w:sz w:val="24"/>
                <w:szCs w:val="24"/>
              </w:rPr>
            </w:pPr>
          </w:p>
        </w:tc>
      </w:tr>
      <w:tr w:rsidR="000622DF" w:rsidRPr="000622DF" w14:paraId="42654F65" w14:textId="77777777" w:rsidTr="00A670E8">
        <w:trPr>
          <w:tblCellSpacing w:w="15" w:type="dxa"/>
        </w:trPr>
        <w:tc>
          <w:tcPr>
            <w:tcW w:w="0" w:type="auto"/>
            <w:vAlign w:val="center"/>
            <w:hideMark/>
          </w:tcPr>
          <w:p w14:paraId="38F1B940"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lastRenderedPageBreak/>
              <w:t>Tools</w:t>
            </w:r>
          </w:p>
        </w:tc>
        <w:tc>
          <w:tcPr>
            <w:tcW w:w="0" w:type="auto"/>
            <w:vAlign w:val="center"/>
            <w:hideMark/>
          </w:tcPr>
          <w:p w14:paraId="2C5C98C1"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Federal Funds Rate, Discount Rate, Open Market Operations, Reserve Requirements</w:t>
            </w:r>
          </w:p>
        </w:tc>
        <w:tc>
          <w:tcPr>
            <w:tcW w:w="0" w:type="auto"/>
            <w:vAlign w:val="center"/>
            <w:hideMark/>
          </w:tcPr>
          <w:p w14:paraId="775CE90B" w14:textId="77777777" w:rsidR="000622DF" w:rsidRPr="000622DF" w:rsidRDefault="000622DF" w:rsidP="000622DF">
            <w:pPr>
              <w:spacing w:after="0" w:line="240" w:lineRule="auto"/>
              <w:rPr>
                <w:rFonts w:ascii="Times New Roman" w:eastAsia="Times New Roman" w:hAnsi="Times New Roman" w:cs="Times New Roman"/>
                <w:sz w:val="24"/>
                <w:szCs w:val="24"/>
              </w:rPr>
            </w:pPr>
          </w:p>
        </w:tc>
      </w:tr>
      <w:tr w:rsidR="000622DF" w:rsidRPr="000622DF" w14:paraId="54A3A546" w14:textId="77777777" w:rsidTr="00A670E8">
        <w:trPr>
          <w:tblCellSpacing w:w="15" w:type="dxa"/>
        </w:trPr>
        <w:tc>
          <w:tcPr>
            <w:tcW w:w="0" w:type="auto"/>
            <w:vAlign w:val="center"/>
            <w:hideMark/>
          </w:tcPr>
          <w:p w14:paraId="43A3AE08"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Federal Funds Rate</w:t>
            </w:r>
          </w:p>
        </w:tc>
        <w:tc>
          <w:tcPr>
            <w:tcW w:w="0" w:type="auto"/>
            <w:vAlign w:val="center"/>
            <w:hideMark/>
          </w:tcPr>
          <w:p w14:paraId="795848A9"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 interest rate at which banks lend reserves to each other overnight</w:t>
            </w:r>
          </w:p>
        </w:tc>
        <w:tc>
          <w:tcPr>
            <w:tcW w:w="0" w:type="auto"/>
            <w:vAlign w:val="center"/>
            <w:hideMark/>
          </w:tcPr>
          <w:p w14:paraId="4AE880D7"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5.25% (May 2024)</w:t>
            </w:r>
          </w:p>
        </w:tc>
      </w:tr>
      <w:tr w:rsidR="000622DF" w:rsidRPr="000622DF" w14:paraId="1EEFE079" w14:textId="77777777" w:rsidTr="00A670E8">
        <w:trPr>
          <w:tblCellSpacing w:w="15" w:type="dxa"/>
        </w:trPr>
        <w:tc>
          <w:tcPr>
            <w:tcW w:w="0" w:type="auto"/>
            <w:vAlign w:val="center"/>
            <w:hideMark/>
          </w:tcPr>
          <w:p w14:paraId="25086139"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Discount Rate</w:t>
            </w:r>
          </w:p>
        </w:tc>
        <w:tc>
          <w:tcPr>
            <w:tcW w:w="0" w:type="auto"/>
            <w:vAlign w:val="center"/>
            <w:hideMark/>
          </w:tcPr>
          <w:p w14:paraId="4D8685AC"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 interest rate charged by the Fed to banks for short-term loans</w:t>
            </w:r>
          </w:p>
        </w:tc>
        <w:tc>
          <w:tcPr>
            <w:tcW w:w="0" w:type="auto"/>
            <w:vAlign w:val="center"/>
            <w:hideMark/>
          </w:tcPr>
          <w:p w14:paraId="3CC2F9A4"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5.75% (May 2024)</w:t>
            </w:r>
          </w:p>
        </w:tc>
      </w:tr>
      <w:tr w:rsidR="000622DF" w:rsidRPr="000622DF" w14:paraId="44D23555" w14:textId="77777777" w:rsidTr="00A670E8">
        <w:trPr>
          <w:tblCellSpacing w:w="15" w:type="dxa"/>
        </w:trPr>
        <w:tc>
          <w:tcPr>
            <w:tcW w:w="0" w:type="auto"/>
            <w:vAlign w:val="center"/>
            <w:hideMark/>
          </w:tcPr>
          <w:p w14:paraId="738337E7"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Open Market Operations</w:t>
            </w:r>
          </w:p>
        </w:tc>
        <w:tc>
          <w:tcPr>
            <w:tcW w:w="0" w:type="auto"/>
            <w:vAlign w:val="center"/>
            <w:hideMark/>
          </w:tcPr>
          <w:p w14:paraId="0C0490BB"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Buying and selling government securities to influence money supply and interest rates</w:t>
            </w:r>
          </w:p>
        </w:tc>
        <w:tc>
          <w:tcPr>
            <w:tcW w:w="0" w:type="auto"/>
            <w:vAlign w:val="center"/>
            <w:hideMark/>
          </w:tcPr>
          <w:p w14:paraId="26311A7F"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Total Treasury Securities Held: $5.2 trillion (Q1 2024)</w:t>
            </w:r>
          </w:p>
        </w:tc>
      </w:tr>
      <w:tr w:rsidR="000622DF" w:rsidRPr="000622DF" w14:paraId="451C5DE2" w14:textId="77777777" w:rsidTr="00A670E8">
        <w:trPr>
          <w:tblCellSpacing w:w="15" w:type="dxa"/>
        </w:trPr>
        <w:tc>
          <w:tcPr>
            <w:tcW w:w="0" w:type="auto"/>
            <w:vAlign w:val="center"/>
            <w:hideMark/>
          </w:tcPr>
          <w:p w14:paraId="4F54C463"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Reserve Requirements</w:t>
            </w:r>
          </w:p>
        </w:tc>
        <w:tc>
          <w:tcPr>
            <w:tcW w:w="0" w:type="auto"/>
            <w:vAlign w:val="center"/>
            <w:hideMark/>
          </w:tcPr>
          <w:p w14:paraId="01FEE0E3"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 amount of funds that banks must hold in reserve against deposits</w:t>
            </w:r>
          </w:p>
        </w:tc>
        <w:tc>
          <w:tcPr>
            <w:tcW w:w="0" w:type="auto"/>
            <w:vAlign w:val="center"/>
            <w:hideMark/>
          </w:tcPr>
          <w:p w14:paraId="2A060C8E"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Currently 0% for transaction accounts (since March 2020)</w:t>
            </w:r>
          </w:p>
        </w:tc>
      </w:tr>
      <w:tr w:rsidR="000622DF" w:rsidRPr="000622DF" w14:paraId="2D326F76" w14:textId="77777777" w:rsidTr="00A670E8">
        <w:trPr>
          <w:tblCellSpacing w:w="15" w:type="dxa"/>
        </w:trPr>
        <w:tc>
          <w:tcPr>
            <w:tcW w:w="0" w:type="auto"/>
            <w:vAlign w:val="center"/>
            <w:hideMark/>
          </w:tcPr>
          <w:p w14:paraId="6C4A7DB7"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b/>
                <w:bCs/>
                <w:sz w:val="24"/>
                <w:szCs w:val="24"/>
              </w:rPr>
              <w:t>Supervision and Regulation</w:t>
            </w:r>
          </w:p>
        </w:tc>
        <w:tc>
          <w:tcPr>
            <w:tcW w:w="0" w:type="auto"/>
            <w:vAlign w:val="center"/>
            <w:hideMark/>
          </w:tcPr>
          <w:p w14:paraId="00C5D4CA" w14:textId="77777777" w:rsidR="000622DF" w:rsidRPr="000622DF" w:rsidRDefault="000622DF" w:rsidP="000622DF">
            <w:pPr>
              <w:spacing w:after="0" w:line="240" w:lineRule="auto"/>
              <w:rPr>
                <w:rFonts w:ascii="Times New Roman" w:eastAsia="Times New Roman" w:hAnsi="Times New Roman" w:cs="Times New Roman"/>
                <w:sz w:val="24"/>
                <w:szCs w:val="24"/>
              </w:rPr>
            </w:pPr>
          </w:p>
        </w:tc>
        <w:tc>
          <w:tcPr>
            <w:tcW w:w="0" w:type="auto"/>
            <w:vAlign w:val="center"/>
            <w:hideMark/>
          </w:tcPr>
          <w:p w14:paraId="4080EDE0" w14:textId="77777777" w:rsidR="000622DF" w:rsidRPr="000622DF" w:rsidRDefault="000622DF" w:rsidP="000622DF">
            <w:pPr>
              <w:spacing w:after="0" w:line="240" w:lineRule="auto"/>
              <w:rPr>
                <w:rFonts w:ascii="Times New Roman" w:eastAsia="Times New Roman" w:hAnsi="Times New Roman" w:cs="Times New Roman"/>
                <w:sz w:val="20"/>
                <w:szCs w:val="20"/>
              </w:rPr>
            </w:pPr>
          </w:p>
        </w:tc>
      </w:tr>
      <w:tr w:rsidR="000622DF" w:rsidRPr="000622DF" w14:paraId="70B75D67" w14:textId="77777777" w:rsidTr="00A670E8">
        <w:trPr>
          <w:tblCellSpacing w:w="15" w:type="dxa"/>
        </w:trPr>
        <w:tc>
          <w:tcPr>
            <w:tcW w:w="0" w:type="auto"/>
            <w:vAlign w:val="center"/>
            <w:hideMark/>
          </w:tcPr>
          <w:p w14:paraId="02EAD2F2"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Objectives</w:t>
            </w:r>
          </w:p>
        </w:tc>
        <w:tc>
          <w:tcPr>
            <w:tcW w:w="0" w:type="auto"/>
            <w:vAlign w:val="center"/>
            <w:hideMark/>
          </w:tcPr>
          <w:p w14:paraId="05AB2F90"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To ensure the safety and soundness of the nation's banking and financial system</w:t>
            </w:r>
          </w:p>
        </w:tc>
        <w:tc>
          <w:tcPr>
            <w:tcW w:w="0" w:type="auto"/>
            <w:vAlign w:val="center"/>
            <w:hideMark/>
          </w:tcPr>
          <w:p w14:paraId="134C49C9" w14:textId="77777777" w:rsidR="000622DF" w:rsidRPr="000622DF" w:rsidRDefault="000622DF" w:rsidP="000622DF">
            <w:pPr>
              <w:spacing w:after="0" w:line="240" w:lineRule="auto"/>
              <w:rPr>
                <w:rFonts w:ascii="Times New Roman" w:eastAsia="Times New Roman" w:hAnsi="Times New Roman" w:cs="Times New Roman"/>
                <w:sz w:val="24"/>
                <w:szCs w:val="24"/>
              </w:rPr>
            </w:pPr>
          </w:p>
        </w:tc>
      </w:tr>
      <w:tr w:rsidR="000622DF" w:rsidRPr="000622DF" w14:paraId="33F1F0BC" w14:textId="77777777" w:rsidTr="00A670E8">
        <w:trPr>
          <w:tblCellSpacing w:w="15" w:type="dxa"/>
        </w:trPr>
        <w:tc>
          <w:tcPr>
            <w:tcW w:w="0" w:type="auto"/>
            <w:vAlign w:val="center"/>
            <w:hideMark/>
          </w:tcPr>
          <w:p w14:paraId="45872E9E"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Regulatory Authority</w:t>
            </w:r>
          </w:p>
        </w:tc>
        <w:tc>
          <w:tcPr>
            <w:tcW w:w="0" w:type="auto"/>
            <w:vAlign w:val="center"/>
            <w:hideMark/>
          </w:tcPr>
          <w:p w14:paraId="6E143EBC"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Supervises and regulates bank holding companies, state-chartered banks, and other financial entities</w:t>
            </w:r>
          </w:p>
        </w:tc>
        <w:tc>
          <w:tcPr>
            <w:tcW w:w="0" w:type="auto"/>
            <w:vAlign w:val="center"/>
            <w:hideMark/>
          </w:tcPr>
          <w:p w14:paraId="19B79C40"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Number of FDIC-Supervised Institutions: 2,636 (Q1 2024)</w:t>
            </w:r>
          </w:p>
        </w:tc>
      </w:tr>
      <w:tr w:rsidR="000622DF" w:rsidRPr="000622DF" w14:paraId="75204507" w14:textId="77777777" w:rsidTr="00A670E8">
        <w:trPr>
          <w:tblCellSpacing w:w="15" w:type="dxa"/>
        </w:trPr>
        <w:tc>
          <w:tcPr>
            <w:tcW w:w="0" w:type="auto"/>
            <w:vAlign w:val="center"/>
            <w:hideMark/>
          </w:tcPr>
          <w:p w14:paraId="63AD1996"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b/>
                <w:bCs/>
                <w:sz w:val="24"/>
                <w:szCs w:val="24"/>
              </w:rPr>
              <w:t>Financial Stability</w:t>
            </w:r>
          </w:p>
        </w:tc>
        <w:tc>
          <w:tcPr>
            <w:tcW w:w="0" w:type="auto"/>
            <w:vAlign w:val="center"/>
            <w:hideMark/>
          </w:tcPr>
          <w:p w14:paraId="02BB7FAA" w14:textId="77777777" w:rsidR="000622DF" w:rsidRPr="000622DF" w:rsidRDefault="000622DF" w:rsidP="000622DF">
            <w:pPr>
              <w:spacing w:after="0" w:line="240" w:lineRule="auto"/>
              <w:rPr>
                <w:rFonts w:ascii="Times New Roman" w:eastAsia="Times New Roman" w:hAnsi="Times New Roman" w:cs="Times New Roman"/>
                <w:sz w:val="24"/>
                <w:szCs w:val="24"/>
              </w:rPr>
            </w:pPr>
          </w:p>
        </w:tc>
        <w:tc>
          <w:tcPr>
            <w:tcW w:w="0" w:type="auto"/>
            <w:vAlign w:val="center"/>
            <w:hideMark/>
          </w:tcPr>
          <w:p w14:paraId="6E1D4D02" w14:textId="77777777" w:rsidR="000622DF" w:rsidRPr="000622DF" w:rsidRDefault="000622DF" w:rsidP="000622DF">
            <w:pPr>
              <w:spacing w:after="0" w:line="240" w:lineRule="auto"/>
              <w:rPr>
                <w:rFonts w:ascii="Times New Roman" w:eastAsia="Times New Roman" w:hAnsi="Times New Roman" w:cs="Times New Roman"/>
                <w:sz w:val="20"/>
                <w:szCs w:val="20"/>
              </w:rPr>
            </w:pPr>
          </w:p>
        </w:tc>
      </w:tr>
      <w:tr w:rsidR="000622DF" w:rsidRPr="000622DF" w14:paraId="53D38796" w14:textId="77777777" w:rsidTr="00A670E8">
        <w:trPr>
          <w:tblCellSpacing w:w="15" w:type="dxa"/>
        </w:trPr>
        <w:tc>
          <w:tcPr>
            <w:tcW w:w="0" w:type="auto"/>
            <w:vAlign w:val="center"/>
            <w:hideMark/>
          </w:tcPr>
          <w:p w14:paraId="720525AF"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Role</w:t>
            </w:r>
          </w:p>
        </w:tc>
        <w:tc>
          <w:tcPr>
            <w:tcW w:w="0" w:type="auto"/>
            <w:vAlign w:val="center"/>
            <w:hideMark/>
          </w:tcPr>
          <w:p w14:paraId="4A83AC6D"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To maintain stability in the financial system and contain systemic risk</w:t>
            </w:r>
          </w:p>
        </w:tc>
        <w:tc>
          <w:tcPr>
            <w:tcW w:w="0" w:type="auto"/>
            <w:vAlign w:val="center"/>
            <w:hideMark/>
          </w:tcPr>
          <w:p w14:paraId="387AA332" w14:textId="77777777" w:rsidR="000622DF" w:rsidRPr="000622DF" w:rsidRDefault="000622DF" w:rsidP="000622DF">
            <w:pPr>
              <w:spacing w:after="0" w:line="240" w:lineRule="auto"/>
              <w:rPr>
                <w:rFonts w:ascii="Times New Roman" w:eastAsia="Times New Roman" w:hAnsi="Times New Roman" w:cs="Times New Roman"/>
                <w:sz w:val="24"/>
                <w:szCs w:val="24"/>
              </w:rPr>
            </w:pPr>
          </w:p>
        </w:tc>
      </w:tr>
      <w:tr w:rsidR="000622DF" w:rsidRPr="000622DF" w14:paraId="1707EBBA" w14:textId="77777777" w:rsidTr="00A670E8">
        <w:trPr>
          <w:tblCellSpacing w:w="15" w:type="dxa"/>
        </w:trPr>
        <w:tc>
          <w:tcPr>
            <w:tcW w:w="0" w:type="auto"/>
            <w:vAlign w:val="center"/>
            <w:hideMark/>
          </w:tcPr>
          <w:p w14:paraId="750557D6"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Key Initiatives</w:t>
            </w:r>
          </w:p>
        </w:tc>
        <w:tc>
          <w:tcPr>
            <w:tcW w:w="0" w:type="auto"/>
            <w:vAlign w:val="center"/>
            <w:hideMark/>
          </w:tcPr>
          <w:p w14:paraId="69079E7B"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Stress tests, monitoring of financial markets, emergency lending programs</w:t>
            </w:r>
          </w:p>
        </w:tc>
        <w:tc>
          <w:tcPr>
            <w:tcW w:w="0" w:type="auto"/>
            <w:vAlign w:val="center"/>
            <w:hideMark/>
          </w:tcPr>
          <w:p w14:paraId="6457CAB2"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Total Emergency Lending during COVID-19: Over $2 trillion (2020)</w:t>
            </w:r>
          </w:p>
        </w:tc>
      </w:tr>
      <w:tr w:rsidR="000622DF" w:rsidRPr="000622DF" w14:paraId="21F933E2" w14:textId="77777777" w:rsidTr="00A670E8">
        <w:trPr>
          <w:tblCellSpacing w:w="15" w:type="dxa"/>
        </w:trPr>
        <w:tc>
          <w:tcPr>
            <w:tcW w:w="0" w:type="auto"/>
            <w:vAlign w:val="center"/>
            <w:hideMark/>
          </w:tcPr>
          <w:p w14:paraId="25EB08FA"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b/>
                <w:bCs/>
                <w:sz w:val="24"/>
                <w:szCs w:val="24"/>
              </w:rPr>
              <w:t>Financial Services</w:t>
            </w:r>
          </w:p>
        </w:tc>
        <w:tc>
          <w:tcPr>
            <w:tcW w:w="0" w:type="auto"/>
            <w:vAlign w:val="center"/>
            <w:hideMark/>
          </w:tcPr>
          <w:p w14:paraId="44C42075" w14:textId="77777777" w:rsidR="000622DF" w:rsidRPr="000622DF" w:rsidRDefault="000622DF" w:rsidP="000622DF">
            <w:pPr>
              <w:spacing w:after="0" w:line="240" w:lineRule="auto"/>
              <w:rPr>
                <w:rFonts w:ascii="Times New Roman" w:eastAsia="Times New Roman" w:hAnsi="Times New Roman" w:cs="Times New Roman"/>
                <w:sz w:val="24"/>
                <w:szCs w:val="24"/>
              </w:rPr>
            </w:pPr>
          </w:p>
        </w:tc>
        <w:tc>
          <w:tcPr>
            <w:tcW w:w="0" w:type="auto"/>
            <w:vAlign w:val="center"/>
            <w:hideMark/>
          </w:tcPr>
          <w:p w14:paraId="331E06D7" w14:textId="77777777" w:rsidR="000622DF" w:rsidRPr="000622DF" w:rsidRDefault="000622DF" w:rsidP="000622DF">
            <w:pPr>
              <w:spacing w:after="0" w:line="240" w:lineRule="auto"/>
              <w:rPr>
                <w:rFonts w:ascii="Times New Roman" w:eastAsia="Times New Roman" w:hAnsi="Times New Roman" w:cs="Times New Roman"/>
                <w:sz w:val="20"/>
                <w:szCs w:val="20"/>
              </w:rPr>
            </w:pPr>
          </w:p>
        </w:tc>
      </w:tr>
      <w:tr w:rsidR="000622DF" w:rsidRPr="000622DF" w14:paraId="21A46EDD" w14:textId="77777777" w:rsidTr="00A670E8">
        <w:trPr>
          <w:tblCellSpacing w:w="15" w:type="dxa"/>
        </w:trPr>
        <w:tc>
          <w:tcPr>
            <w:tcW w:w="0" w:type="auto"/>
            <w:vAlign w:val="center"/>
            <w:hideMark/>
          </w:tcPr>
          <w:p w14:paraId="70482D68"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Services Provided</w:t>
            </w:r>
          </w:p>
        </w:tc>
        <w:tc>
          <w:tcPr>
            <w:tcW w:w="0" w:type="auto"/>
            <w:vAlign w:val="center"/>
            <w:hideMark/>
          </w:tcPr>
          <w:p w14:paraId="1C02D37D"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Provides financial services to depository institutions, the U.S. government, and foreign institutions</w:t>
            </w:r>
          </w:p>
        </w:tc>
        <w:tc>
          <w:tcPr>
            <w:tcW w:w="0" w:type="auto"/>
            <w:vAlign w:val="center"/>
            <w:hideMark/>
          </w:tcPr>
          <w:p w14:paraId="33781AAF" w14:textId="77777777" w:rsidR="000622DF" w:rsidRPr="000622DF" w:rsidRDefault="000622DF" w:rsidP="000622DF">
            <w:pPr>
              <w:spacing w:after="0" w:line="240" w:lineRule="auto"/>
              <w:rPr>
                <w:rFonts w:ascii="Times New Roman" w:eastAsia="Times New Roman" w:hAnsi="Times New Roman" w:cs="Times New Roman"/>
                <w:sz w:val="24"/>
                <w:szCs w:val="24"/>
              </w:rPr>
            </w:pPr>
          </w:p>
        </w:tc>
      </w:tr>
      <w:tr w:rsidR="000622DF" w:rsidRPr="000622DF" w14:paraId="5075A62B" w14:textId="77777777" w:rsidTr="00A670E8">
        <w:trPr>
          <w:tblCellSpacing w:w="15" w:type="dxa"/>
        </w:trPr>
        <w:tc>
          <w:tcPr>
            <w:tcW w:w="0" w:type="auto"/>
            <w:vAlign w:val="center"/>
            <w:hideMark/>
          </w:tcPr>
          <w:p w14:paraId="3C3DCC1B"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Payment Systems</w:t>
            </w:r>
          </w:p>
        </w:tc>
        <w:tc>
          <w:tcPr>
            <w:tcW w:w="0" w:type="auto"/>
            <w:vAlign w:val="center"/>
            <w:hideMark/>
          </w:tcPr>
          <w:p w14:paraId="29CC0E03"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 xml:space="preserve">Operates national payment systems including Fedwire, ACH, and </w:t>
            </w:r>
            <w:proofErr w:type="spellStart"/>
            <w:r w:rsidRPr="000622DF">
              <w:rPr>
                <w:rFonts w:ascii="Times New Roman" w:eastAsia="Times New Roman" w:hAnsi="Times New Roman" w:cs="Times New Roman"/>
                <w:sz w:val="24"/>
                <w:szCs w:val="24"/>
              </w:rPr>
              <w:t>FedNow</w:t>
            </w:r>
            <w:proofErr w:type="spellEnd"/>
          </w:p>
        </w:tc>
        <w:tc>
          <w:tcPr>
            <w:tcW w:w="0" w:type="auto"/>
            <w:vAlign w:val="center"/>
            <w:hideMark/>
          </w:tcPr>
          <w:p w14:paraId="144259A4" w14:textId="77777777" w:rsidR="000622DF" w:rsidRPr="000622DF" w:rsidRDefault="000622DF" w:rsidP="000622DF">
            <w:pPr>
              <w:spacing w:after="0" w:line="240" w:lineRule="auto"/>
              <w:rPr>
                <w:rFonts w:ascii="Times New Roman" w:eastAsia="Times New Roman" w:hAnsi="Times New Roman" w:cs="Times New Roman"/>
                <w:sz w:val="24"/>
                <w:szCs w:val="24"/>
              </w:rPr>
            </w:pPr>
            <w:proofErr w:type="spellStart"/>
            <w:r w:rsidRPr="000622DF">
              <w:rPr>
                <w:rFonts w:ascii="Times New Roman" w:eastAsia="Times New Roman" w:hAnsi="Times New Roman" w:cs="Times New Roman"/>
                <w:sz w:val="24"/>
                <w:szCs w:val="24"/>
              </w:rPr>
              <w:t>FedNow</w:t>
            </w:r>
            <w:proofErr w:type="spellEnd"/>
            <w:r w:rsidRPr="000622DF">
              <w:rPr>
                <w:rFonts w:ascii="Times New Roman" w:eastAsia="Times New Roman" w:hAnsi="Times New Roman" w:cs="Times New Roman"/>
                <w:sz w:val="24"/>
                <w:szCs w:val="24"/>
              </w:rPr>
              <w:t xml:space="preserve"> Service launched for real-time payments (2023)</w:t>
            </w:r>
          </w:p>
        </w:tc>
      </w:tr>
      <w:tr w:rsidR="000622DF" w:rsidRPr="000622DF" w14:paraId="79B3EAF0" w14:textId="77777777" w:rsidTr="00A670E8">
        <w:trPr>
          <w:tblCellSpacing w:w="15" w:type="dxa"/>
        </w:trPr>
        <w:tc>
          <w:tcPr>
            <w:tcW w:w="0" w:type="auto"/>
            <w:vAlign w:val="center"/>
            <w:hideMark/>
          </w:tcPr>
          <w:p w14:paraId="4C74A54C"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b/>
                <w:bCs/>
                <w:sz w:val="24"/>
                <w:szCs w:val="24"/>
              </w:rPr>
              <w:t>Economic Research and Data</w:t>
            </w:r>
          </w:p>
        </w:tc>
        <w:tc>
          <w:tcPr>
            <w:tcW w:w="0" w:type="auto"/>
            <w:vAlign w:val="center"/>
            <w:hideMark/>
          </w:tcPr>
          <w:p w14:paraId="31F6411B" w14:textId="77777777" w:rsidR="000622DF" w:rsidRPr="000622DF" w:rsidRDefault="000622DF" w:rsidP="000622DF">
            <w:pPr>
              <w:spacing w:after="0" w:line="240" w:lineRule="auto"/>
              <w:rPr>
                <w:rFonts w:ascii="Times New Roman" w:eastAsia="Times New Roman" w:hAnsi="Times New Roman" w:cs="Times New Roman"/>
                <w:sz w:val="24"/>
                <w:szCs w:val="24"/>
              </w:rPr>
            </w:pPr>
          </w:p>
        </w:tc>
        <w:tc>
          <w:tcPr>
            <w:tcW w:w="0" w:type="auto"/>
            <w:vAlign w:val="center"/>
            <w:hideMark/>
          </w:tcPr>
          <w:p w14:paraId="4F2C833F" w14:textId="77777777" w:rsidR="000622DF" w:rsidRPr="000622DF" w:rsidRDefault="000622DF" w:rsidP="000622DF">
            <w:pPr>
              <w:spacing w:after="0" w:line="240" w:lineRule="auto"/>
              <w:rPr>
                <w:rFonts w:ascii="Times New Roman" w:eastAsia="Times New Roman" w:hAnsi="Times New Roman" w:cs="Times New Roman"/>
                <w:sz w:val="20"/>
                <w:szCs w:val="20"/>
              </w:rPr>
            </w:pPr>
          </w:p>
        </w:tc>
      </w:tr>
      <w:tr w:rsidR="000622DF" w:rsidRPr="000622DF" w14:paraId="7DCF51D3" w14:textId="77777777" w:rsidTr="00A670E8">
        <w:trPr>
          <w:tblCellSpacing w:w="15" w:type="dxa"/>
        </w:trPr>
        <w:tc>
          <w:tcPr>
            <w:tcW w:w="0" w:type="auto"/>
            <w:vAlign w:val="center"/>
            <w:hideMark/>
          </w:tcPr>
          <w:p w14:paraId="0648FE57"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Research Role</w:t>
            </w:r>
          </w:p>
        </w:tc>
        <w:tc>
          <w:tcPr>
            <w:tcW w:w="0" w:type="auto"/>
            <w:vAlign w:val="center"/>
            <w:hideMark/>
          </w:tcPr>
          <w:p w14:paraId="3951FA8A"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Conducts economic research and provides data analysis to inform policy decisions</w:t>
            </w:r>
          </w:p>
        </w:tc>
        <w:tc>
          <w:tcPr>
            <w:tcW w:w="0" w:type="auto"/>
            <w:vAlign w:val="center"/>
            <w:hideMark/>
          </w:tcPr>
          <w:p w14:paraId="19055D0C" w14:textId="77777777" w:rsidR="000622DF" w:rsidRPr="000622DF" w:rsidRDefault="000622DF" w:rsidP="000622DF">
            <w:pPr>
              <w:spacing w:after="0" w:line="240" w:lineRule="auto"/>
              <w:rPr>
                <w:rFonts w:ascii="Times New Roman" w:eastAsia="Times New Roman" w:hAnsi="Times New Roman" w:cs="Times New Roman"/>
                <w:sz w:val="24"/>
                <w:szCs w:val="24"/>
              </w:rPr>
            </w:pPr>
          </w:p>
        </w:tc>
      </w:tr>
      <w:tr w:rsidR="000622DF" w:rsidRPr="000622DF" w14:paraId="4A8EA778" w14:textId="77777777" w:rsidTr="00A670E8">
        <w:trPr>
          <w:tblCellSpacing w:w="15" w:type="dxa"/>
        </w:trPr>
        <w:tc>
          <w:tcPr>
            <w:tcW w:w="0" w:type="auto"/>
            <w:vAlign w:val="center"/>
            <w:hideMark/>
          </w:tcPr>
          <w:p w14:paraId="1582FBE6"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lastRenderedPageBreak/>
              <w:t>Key Publications</w:t>
            </w:r>
          </w:p>
        </w:tc>
        <w:tc>
          <w:tcPr>
            <w:tcW w:w="0" w:type="auto"/>
            <w:vAlign w:val="center"/>
            <w:hideMark/>
          </w:tcPr>
          <w:p w14:paraId="5D065DED"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Beige Book, Financial Stability Report, Economic Synopses</w:t>
            </w:r>
          </w:p>
        </w:tc>
        <w:tc>
          <w:tcPr>
            <w:tcW w:w="0" w:type="auto"/>
            <w:vAlign w:val="center"/>
            <w:hideMark/>
          </w:tcPr>
          <w:p w14:paraId="584E2FDA" w14:textId="77777777" w:rsidR="000622DF" w:rsidRPr="000622DF" w:rsidRDefault="000622DF" w:rsidP="000622DF">
            <w:pPr>
              <w:spacing w:after="0" w:line="240" w:lineRule="auto"/>
              <w:rPr>
                <w:rFonts w:ascii="Times New Roman" w:eastAsia="Times New Roman" w:hAnsi="Times New Roman" w:cs="Times New Roman"/>
                <w:sz w:val="24"/>
                <w:szCs w:val="24"/>
              </w:rPr>
            </w:pPr>
          </w:p>
        </w:tc>
      </w:tr>
      <w:tr w:rsidR="000622DF" w:rsidRPr="000622DF" w14:paraId="10F75B36" w14:textId="77777777" w:rsidTr="00A670E8">
        <w:trPr>
          <w:tblCellSpacing w:w="15" w:type="dxa"/>
        </w:trPr>
        <w:tc>
          <w:tcPr>
            <w:tcW w:w="0" w:type="auto"/>
            <w:vAlign w:val="center"/>
            <w:hideMark/>
          </w:tcPr>
          <w:p w14:paraId="5DBB884C"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b/>
                <w:bCs/>
                <w:sz w:val="24"/>
                <w:szCs w:val="24"/>
              </w:rPr>
              <w:t>Consumer Protection</w:t>
            </w:r>
          </w:p>
        </w:tc>
        <w:tc>
          <w:tcPr>
            <w:tcW w:w="0" w:type="auto"/>
            <w:vAlign w:val="center"/>
            <w:hideMark/>
          </w:tcPr>
          <w:p w14:paraId="7E68C66A" w14:textId="77777777" w:rsidR="000622DF" w:rsidRPr="000622DF" w:rsidRDefault="000622DF" w:rsidP="000622DF">
            <w:pPr>
              <w:spacing w:after="0" w:line="240" w:lineRule="auto"/>
              <w:rPr>
                <w:rFonts w:ascii="Times New Roman" w:eastAsia="Times New Roman" w:hAnsi="Times New Roman" w:cs="Times New Roman"/>
                <w:sz w:val="24"/>
                <w:szCs w:val="24"/>
              </w:rPr>
            </w:pPr>
          </w:p>
        </w:tc>
        <w:tc>
          <w:tcPr>
            <w:tcW w:w="0" w:type="auto"/>
            <w:vAlign w:val="center"/>
            <w:hideMark/>
          </w:tcPr>
          <w:p w14:paraId="1490C58C" w14:textId="77777777" w:rsidR="000622DF" w:rsidRPr="000622DF" w:rsidRDefault="000622DF" w:rsidP="000622DF">
            <w:pPr>
              <w:spacing w:after="0" w:line="240" w:lineRule="auto"/>
              <w:rPr>
                <w:rFonts w:ascii="Times New Roman" w:eastAsia="Times New Roman" w:hAnsi="Times New Roman" w:cs="Times New Roman"/>
                <w:sz w:val="20"/>
                <w:szCs w:val="20"/>
              </w:rPr>
            </w:pPr>
          </w:p>
        </w:tc>
      </w:tr>
      <w:tr w:rsidR="000622DF" w:rsidRPr="000622DF" w14:paraId="3C26730C" w14:textId="77777777" w:rsidTr="00A670E8">
        <w:trPr>
          <w:tblCellSpacing w:w="15" w:type="dxa"/>
        </w:trPr>
        <w:tc>
          <w:tcPr>
            <w:tcW w:w="0" w:type="auto"/>
            <w:vAlign w:val="center"/>
            <w:hideMark/>
          </w:tcPr>
          <w:p w14:paraId="7C72E7CD"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Bureau of Consumer Financial Protection</w:t>
            </w:r>
          </w:p>
        </w:tc>
        <w:tc>
          <w:tcPr>
            <w:tcW w:w="0" w:type="auto"/>
            <w:vAlign w:val="center"/>
            <w:hideMark/>
          </w:tcPr>
          <w:p w14:paraId="5F33A4B9"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Enforces federal consumer financial laws and oversees financial markets for consumers</w:t>
            </w:r>
          </w:p>
        </w:tc>
        <w:tc>
          <w:tcPr>
            <w:tcW w:w="0" w:type="auto"/>
            <w:vAlign w:val="center"/>
            <w:hideMark/>
          </w:tcPr>
          <w:p w14:paraId="5B4333C8" w14:textId="77777777" w:rsidR="000622DF" w:rsidRPr="000622DF" w:rsidRDefault="000622DF" w:rsidP="000622DF">
            <w:pPr>
              <w:spacing w:after="0" w:line="240" w:lineRule="auto"/>
              <w:rPr>
                <w:rFonts w:ascii="Times New Roman" w:eastAsia="Times New Roman" w:hAnsi="Times New Roman" w:cs="Times New Roman"/>
                <w:sz w:val="24"/>
                <w:szCs w:val="24"/>
              </w:rPr>
            </w:pPr>
          </w:p>
        </w:tc>
      </w:tr>
      <w:tr w:rsidR="000622DF" w:rsidRPr="000622DF" w14:paraId="55445935" w14:textId="77777777" w:rsidTr="00A670E8">
        <w:trPr>
          <w:tblCellSpacing w:w="15" w:type="dxa"/>
        </w:trPr>
        <w:tc>
          <w:tcPr>
            <w:tcW w:w="0" w:type="auto"/>
            <w:vAlign w:val="center"/>
            <w:hideMark/>
          </w:tcPr>
          <w:p w14:paraId="2A1862B6"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Key Regulations</w:t>
            </w:r>
          </w:p>
        </w:tc>
        <w:tc>
          <w:tcPr>
            <w:tcW w:w="0" w:type="auto"/>
            <w:vAlign w:val="center"/>
            <w:hideMark/>
          </w:tcPr>
          <w:p w14:paraId="048FA14F"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Truth in Lending Act, Equal Credit Opportunity Act, Home Mortgage Disclosure Act</w:t>
            </w:r>
          </w:p>
        </w:tc>
        <w:tc>
          <w:tcPr>
            <w:tcW w:w="0" w:type="auto"/>
            <w:vAlign w:val="center"/>
            <w:hideMark/>
          </w:tcPr>
          <w:p w14:paraId="152C083A" w14:textId="77777777" w:rsidR="000622DF" w:rsidRPr="000622DF" w:rsidRDefault="000622DF" w:rsidP="000622DF">
            <w:pPr>
              <w:spacing w:after="0" w:line="240" w:lineRule="auto"/>
              <w:rPr>
                <w:rFonts w:ascii="Times New Roman" w:eastAsia="Times New Roman" w:hAnsi="Times New Roman" w:cs="Times New Roman"/>
                <w:sz w:val="24"/>
                <w:szCs w:val="24"/>
              </w:rPr>
            </w:pPr>
          </w:p>
        </w:tc>
      </w:tr>
      <w:tr w:rsidR="000622DF" w:rsidRPr="000622DF" w14:paraId="0F914E5C" w14:textId="77777777" w:rsidTr="00A670E8">
        <w:trPr>
          <w:tblCellSpacing w:w="15" w:type="dxa"/>
        </w:trPr>
        <w:tc>
          <w:tcPr>
            <w:tcW w:w="0" w:type="auto"/>
            <w:vAlign w:val="center"/>
            <w:hideMark/>
          </w:tcPr>
          <w:p w14:paraId="3A1F32AD"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b/>
                <w:bCs/>
                <w:sz w:val="24"/>
                <w:szCs w:val="24"/>
              </w:rPr>
              <w:t>Market Impact and Financial Performance</w:t>
            </w:r>
          </w:p>
        </w:tc>
        <w:tc>
          <w:tcPr>
            <w:tcW w:w="0" w:type="auto"/>
            <w:vAlign w:val="center"/>
            <w:hideMark/>
          </w:tcPr>
          <w:p w14:paraId="59E7EA51" w14:textId="77777777" w:rsidR="000622DF" w:rsidRPr="000622DF" w:rsidRDefault="000622DF" w:rsidP="000622DF">
            <w:pPr>
              <w:spacing w:after="0" w:line="240" w:lineRule="auto"/>
              <w:rPr>
                <w:rFonts w:ascii="Times New Roman" w:eastAsia="Times New Roman" w:hAnsi="Times New Roman" w:cs="Times New Roman"/>
                <w:sz w:val="24"/>
                <w:szCs w:val="24"/>
              </w:rPr>
            </w:pPr>
          </w:p>
        </w:tc>
        <w:tc>
          <w:tcPr>
            <w:tcW w:w="0" w:type="auto"/>
            <w:vAlign w:val="center"/>
            <w:hideMark/>
          </w:tcPr>
          <w:p w14:paraId="31150C9A" w14:textId="77777777" w:rsidR="000622DF" w:rsidRPr="000622DF" w:rsidRDefault="000622DF" w:rsidP="000622DF">
            <w:pPr>
              <w:spacing w:after="0" w:line="240" w:lineRule="auto"/>
              <w:rPr>
                <w:rFonts w:ascii="Times New Roman" w:eastAsia="Times New Roman" w:hAnsi="Times New Roman" w:cs="Times New Roman"/>
                <w:sz w:val="20"/>
                <w:szCs w:val="20"/>
              </w:rPr>
            </w:pPr>
          </w:p>
        </w:tc>
      </w:tr>
      <w:tr w:rsidR="000622DF" w:rsidRPr="000622DF" w14:paraId="5494BC4E" w14:textId="77777777" w:rsidTr="00A670E8">
        <w:trPr>
          <w:tblCellSpacing w:w="15" w:type="dxa"/>
        </w:trPr>
        <w:tc>
          <w:tcPr>
            <w:tcW w:w="0" w:type="auto"/>
            <w:vAlign w:val="center"/>
            <w:hideMark/>
          </w:tcPr>
          <w:p w14:paraId="5477CDCD"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Total Assets</w:t>
            </w:r>
          </w:p>
        </w:tc>
        <w:tc>
          <w:tcPr>
            <w:tcW w:w="0" w:type="auto"/>
            <w:vAlign w:val="center"/>
            <w:hideMark/>
          </w:tcPr>
          <w:p w14:paraId="131F1C06"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 sum of all assets held by the Federal Reserve</w:t>
            </w:r>
          </w:p>
        </w:tc>
        <w:tc>
          <w:tcPr>
            <w:tcW w:w="0" w:type="auto"/>
            <w:vAlign w:val="center"/>
            <w:hideMark/>
          </w:tcPr>
          <w:p w14:paraId="2B82D0E5"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$8.8 trillion (Q1 2024)</w:t>
            </w:r>
          </w:p>
        </w:tc>
      </w:tr>
      <w:tr w:rsidR="000622DF" w:rsidRPr="000622DF" w14:paraId="1AAF8581" w14:textId="77777777" w:rsidTr="00A670E8">
        <w:trPr>
          <w:tblCellSpacing w:w="15" w:type="dxa"/>
        </w:trPr>
        <w:tc>
          <w:tcPr>
            <w:tcW w:w="0" w:type="auto"/>
            <w:vAlign w:val="center"/>
            <w:hideMark/>
          </w:tcPr>
          <w:p w14:paraId="6908D161"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Treasury Securities</w:t>
            </w:r>
          </w:p>
        </w:tc>
        <w:tc>
          <w:tcPr>
            <w:tcW w:w="0" w:type="auto"/>
            <w:vAlign w:val="center"/>
            <w:hideMark/>
          </w:tcPr>
          <w:p w14:paraId="1255564D"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Government bonds held to influence money supply</w:t>
            </w:r>
          </w:p>
        </w:tc>
        <w:tc>
          <w:tcPr>
            <w:tcW w:w="0" w:type="auto"/>
            <w:vAlign w:val="center"/>
            <w:hideMark/>
          </w:tcPr>
          <w:p w14:paraId="6EDC7633"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$5.2 trillion (Q1 2024)</w:t>
            </w:r>
          </w:p>
        </w:tc>
      </w:tr>
      <w:tr w:rsidR="000622DF" w:rsidRPr="000622DF" w14:paraId="39566718" w14:textId="77777777" w:rsidTr="00A670E8">
        <w:trPr>
          <w:tblCellSpacing w:w="15" w:type="dxa"/>
        </w:trPr>
        <w:tc>
          <w:tcPr>
            <w:tcW w:w="0" w:type="auto"/>
            <w:vAlign w:val="center"/>
            <w:hideMark/>
          </w:tcPr>
          <w:p w14:paraId="5AA16CD2"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Mortgage-Backed Securities</w:t>
            </w:r>
          </w:p>
        </w:tc>
        <w:tc>
          <w:tcPr>
            <w:tcW w:w="0" w:type="auto"/>
            <w:vAlign w:val="center"/>
            <w:hideMark/>
          </w:tcPr>
          <w:p w14:paraId="7DD88EA6"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Mortgage bonds held to provide liquidity to the mortgage market</w:t>
            </w:r>
          </w:p>
        </w:tc>
        <w:tc>
          <w:tcPr>
            <w:tcW w:w="0" w:type="auto"/>
            <w:vAlign w:val="center"/>
            <w:hideMark/>
          </w:tcPr>
          <w:p w14:paraId="77E578C0"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$2.7 trillion (Q1 2024)</w:t>
            </w:r>
          </w:p>
        </w:tc>
      </w:tr>
      <w:tr w:rsidR="000622DF" w:rsidRPr="000622DF" w14:paraId="7417221E" w14:textId="77777777" w:rsidTr="00A670E8">
        <w:trPr>
          <w:tblCellSpacing w:w="15" w:type="dxa"/>
        </w:trPr>
        <w:tc>
          <w:tcPr>
            <w:tcW w:w="0" w:type="auto"/>
            <w:vAlign w:val="center"/>
            <w:hideMark/>
          </w:tcPr>
          <w:p w14:paraId="42BDDB9C"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b/>
                <w:bCs/>
                <w:sz w:val="24"/>
                <w:szCs w:val="24"/>
              </w:rPr>
              <w:t>Banking Sector Statistics</w:t>
            </w:r>
          </w:p>
        </w:tc>
        <w:tc>
          <w:tcPr>
            <w:tcW w:w="0" w:type="auto"/>
            <w:vAlign w:val="center"/>
            <w:hideMark/>
          </w:tcPr>
          <w:p w14:paraId="089ECBFD" w14:textId="77777777" w:rsidR="000622DF" w:rsidRPr="000622DF" w:rsidRDefault="000622DF" w:rsidP="000622DF">
            <w:pPr>
              <w:spacing w:after="0" w:line="240" w:lineRule="auto"/>
              <w:rPr>
                <w:rFonts w:ascii="Times New Roman" w:eastAsia="Times New Roman" w:hAnsi="Times New Roman" w:cs="Times New Roman"/>
                <w:sz w:val="24"/>
                <w:szCs w:val="24"/>
              </w:rPr>
            </w:pPr>
          </w:p>
        </w:tc>
        <w:tc>
          <w:tcPr>
            <w:tcW w:w="0" w:type="auto"/>
            <w:vAlign w:val="center"/>
            <w:hideMark/>
          </w:tcPr>
          <w:p w14:paraId="4F0453FE" w14:textId="77777777" w:rsidR="000622DF" w:rsidRPr="000622DF" w:rsidRDefault="000622DF" w:rsidP="000622DF">
            <w:pPr>
              <w:spacing w:after="0" w:line="240" w:lineRule="auto"/>
              <w:rPr>
                <w:rFonts w:ascii="Times New Roman" w:eastAsia="Times New Roman" w:hAnsi="Times New Roman" w:cs="Times New Roman"/>
                <w:sz w:val="20"/>
                <w:szCs w:val="20"/>
              </w:rPr>
            </w:pPr>
          </w:p>
        </w:tc>
      </w:tr>
      <w:tr w:rsidR="000622DF" w:rsidRPr="000622DF" w14:paraId="68115506" w14:textId="77777777" w:rsidTr="00A670E8">
        <w:trPr>
          <w:tblCellSpacing w:w="15" w:type="dxa"/>
        </w:trPr>
        <w:tc>
          <w:tcPr>
            <w:tcW w:w="0" w:type="auto"/>
            <w:vAlign w:val="center"/>
            <w:hideMark/>
          </w:tcPr>
          <w:p w14:paraId="3684D9DA"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Total Loans</w:t>
            </w:r>
          </w:p>
        </w:tc>
        <w:tc>
          <w:tcPr>
            <w:tcW w:w="0" w:type="auto"/>
            <w:vAlign w:val="center"/>
            <w:hideMark/>
          </w:tcPr>
          <w:p w14:paraId="21A64AE7"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Loans provided by commercial banks</w:t>
            </w:r>
          </w:p>
        </w:tc>
        <w:tc>
          <w:tcPr>
            <w:tcW w:w="0" w:type="auto"/>
            <w:vAlign w:val="center"/>
            <w:hideMark/>
          </w:tcPr>
          <w:p w14:paraId="03943712"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$10.7 trillion (Q1 2024)</w:t>
            </w:r>
          </w:p>
        </w:tc>
      </w:tr>
      <w:tr w:rsidR="000622DF" w:rsidRPr="000622DF" w14:paraId="728963CB" w14:textId="77777777" w:rsidTr="00A670E8">
        <w:trPr>
          <w:tblCellSpacing w:w="15" w:type="dxa"/>
        </w:trPr>
        <w:tc>
          <w:tcPr>
            <w:tcW w:w="0" w:type="auto"/>
            <w:vAlign w:val="center"/>
            <w:hideMark/>
          </w:tcPr>
          <w:p w14:paraId="7BF7BCD0"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Total Deposits</w:t>
            </w:r>
          </w:p>
        </w:tc>
        <w:tc>
          <w:tcPr>
            <w:tcW w:w="0" w:type="auto"/>
            <w:vAlign w:val="center"/>
            <w:hideMark/>
          </w:tcPr>
          <w:p w14:paraId="6A137E82"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Deposits held at commercial banks</w:t>
            </w:r>
          </w:p>
        </w:tc>
        <w:tc>
          <w:tcPr>
            <w:tcW w:w="0" w:type="auto"/>
            <w:vAlign w:val="center"/>
            <w:hideMark/>
          </w:tcPr>
          <w:p w14:paraId="08E92050"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$17.5 trillion (Q1 2024)</w:t>
            </w:r>
          </w:p>
        </w:tc>
      </w:tr>
      <w:tr w:rsidR="000622DF" w:rsidRPr="000622DF" w14:paraId="3DD53516" w14:textId="77777777" w:rsidTr="00A670E8">
        <w:trPr>
          <w:tblCellSpacing w:w="15" w:type="dxa"/>
        </w:trPr>
        <w:tc>
          <w:tcPr>
            <w:tcW w:w="0" w:type="auto"/>
            <w:vAlign w:val="center"/>
            <w:hideMark/>
          </w:tcPr>
          <w:p w14:paraId="1BC64E92"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Noncurrent Loan Rate</w:t>
            </w:r>
          </w:p>
        </w:tc>
        <w:tc>
          <w:tcPr>
            <w:tcW w:w="0" w:type="auto"/>
            <w:vAlign w:val="center"/>
            <w:hideMark/>
          </w:tcPr>
          <w:p w14:paraId="21C0F934"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Percentage of loans that are 90 days or more past due or in nonaccrual status</w:t>
            </w:r>
          </w:p>
        </w:tc>
        <w:tc>
          <w:tcPr>
            <w:tcW w:w="0" w:type="auto"/>
            <w:vAlign w:val="center"/>
            <w:hideMark/>
          </w:tcPr>
          <w:p w14:paraId="03250248"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0.91% for commercial banks (Q1 2024)</w:t>
            </w:r>
          </w:p>
        </w:tc>
      </w:tr>
      <w:tr w:rsidR="000622DF" w:rsidRPr="000622DF" w14:paraId="371D49D8" w14:textId="77777777" w:rsidTr="00A670E8">
        <w:trPr>
          <w:tblCellSpacing w:w="15" w:type="dxa"/>
        </w:trPr>
        <w:tc>
          <w:tcPr>
            <w:tcW w:w="0" w:type="auto"/>
            <w:vAlign w:val="center"/>
            <w:hideMark/>
          </w:tcPr>
          <w:p w14:paraId="376257EC"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Net Charge-Off Rate</w:t>
            </w:r>
          </w:p>
        </w:tc>
        <w:tc>
          <w:tcPr>
            <w:tcW w:w="0" w:type="auto"/>
            <w:vAlign w:val="center"/>
            <w:hideMark/>
          </w:tcPr>
          <w:p w14:paraId="52D3DBCA"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 rate at which banks write off bad loans</w:t>
            </w:r>
          </w:p>
        </w:tc>
        <w:tc>
          <w:tcPr>
            <w:tcW w:w="0" w:type="auto"/>
            <w:vAlign w:val="center"/>
            <w:hideMark/>
          </w:tcPr>
          <w:p w14:paraId="24A3B32B" w14:textId="77777777" w:rsidR="000622DF" w:rsidRPr="000622DF" w:rsidRDefault="000622DF" w:rsidP="000622DF">
            <w:pPr>
              <w:spacing w:after="0" w:line="240" w:lineRule="auto"/>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0.65% for commercial banks (Q1 2024)</w:t>
            </w:r>
          </w:p>
        </w:tc>
      </w:tr>
    </w:tbl>
    <w:p w14:paraId="79A6B969" w14:textId="77777777" w:rsidR="000622DF" w:rsidRPr="000622DF" w:rsidRDefault="000622DF" w:rsidP="00A670E8">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0622DF">
        <w:rPr>
          <w:rFonts w:ascii="Times New Roman" w:eastAsia="Times New Roman" w:hAnsi="Times New Roman" w:cs="Times New Roman"/>
          <w:b/>
          <w:bCs/>
          <w:sz w:val="24"/>
          <w:szCs w:val="24"/>
        </w:rPr>
        <w:t>How the Federal Reserve System Works:</w:t>
      </w:r>
    </w:p>
    <w:p w14:paraId="0C23D819" w14:textId="77777777" w:rsidR="000622DF" w:rsidRPr="000622DF" w:rsidRDefault="000622DF" w:rsidP="00A670E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70E8">
        <w:rPr>
          <w:rFonts w:ascii="Times New Roman" w:eastAsia="Times New Roman" w:hAnsi="Times New Roman" w:cs="Times New Roman"/>
          <w:b/>
          <w:bCs/>
          <w:sz w:val="24"/>
          <w:szCs w:val="24"/>
        </w:rPr>
        <w:t>Monetary Policy Implementation</w:t>
      </w:r>
      <w:r w:rsidRPr="000622DF">
        <w:rPr>
          <w:rFonts w:ascii="Times New Roman" w:eastAsia="Times New Roman" w:hAnsi="Times New Roman" w:cs="Times New Roman"/>
          <w:sz w:val="24"/>
          <w:szCs w:val="24"/>
        </w:rPr>
        <w:t>:</w:t>
      </w:r>
    </w:p>
    <w:p w14:paraId="562600BC"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A670E8">
        <w:rPr>
          <w:rFonts w:ascii="Times New Roman" w:eastAsia="Times New Roman" w:hAnsi="Times New Roman" w:cs="Times New Roman"/>
          <w:b/>
          <w:bCs/>
          <w:sz w:val="24"/>
          <w:szCs w:val="24"/>
        </w:rPr>
        <w:t>Federal Funds Rate</w:t>
      </w:r>
      <w:r w:rsidRPr="000622DF">
        <w:rPr>
          <w:rFonts w:ascii="Times New Roman" w:eastAsia="Times New Roman" w:hAnsi="Times New Roman" w:cs="Times New Roman"/>
          <w:sz w:val="24"/>
          <w:szCs w:val="24"/>
        </w:rPr>
        <w:t>: The Fed sets the target for the federal funds rate, influencing interest rates across the economy.</w:t>
      </w:r>
    </w:p>
    <w:p w14:paraId="0AF71B58"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A670E8">
        <w:rPr>
          <w:rFonts w:ascii="Times New Roman" w:eastAsia="Times New Roman" w:hAnsi="Times New Roman" w:cs="Times New Roman"/>
          <w:b/>
          <w:bCs/>
          <w:sz w:val="24"/>
          <w:szCs w:val="24"/>
        </w:rPr>
        <w:t>Open Market Operations</w:t>
      </w:r>
      <w:r w:rsidRPr="000622DF">
        <w:rPr>
          <w:rFonts w:ascii="Times New Roman" w:eastAsia="Times New Roman" w:hAnsi="Times New Roman" w:cs="Times New Roman"/>
          <w:sz w:val="24"/>
          <w:szCs w:val="24"/>
        </w:rPr>
        <w:t>: The Fed buys or sells government securities to adjust the supply of money in the banking system.</w:t>
      </w:r>
    </w:p>
    <w:p w14:paraId="44E0B9CA"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A670E8">
        <w:rPr>
          <w:rFonts w:ascii="Times New Roman" w:eastAsia="Times New Roman" w:hAnsi="Times New Roman" w:cs="Times New Roman"/>
          <w:b/>
          <w:bCs/>
          <w:sz w:val="24"/>
          <w:szCs w:val="24"/>
        </w:rPr>
        <w:t>Discount Rate</w:t>
      </w:r>
      <w:r w:rsidRPr="000622DF">
        <w:rPr>
          <w:rFonts w:ascii="Times New Roman" w:eastAsia="Times New Roman" w:hAnsi="Times New Roman" w:cs="Times New Roman"/>
          <w:sz w:val="24"/>
          <w:szCs w:val="24"/>
        </w:rPr>
        <w:t>: The rate at which banks can borrow from the Fed is set to ensure liquidity in the financial system.</w:t>
      </w:r>
    </w:p>
    <w:p w14:paraId="7C444469"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A670E8">
        <w:rPr>
          <w:rFonts w:ascii="Times New Roman" w:eastAsia="Times New Roman" w:hAnsi="Times New Roman" w:cs="Times New Roman"/>
          <w:b/>
          <w:bCs/>
          <w:sz w:val="24"/>
          <w:szCs w:val="24"/>
        </w:rPr>
        <w:t>Reserve Requirements</w:t>
      </w:r>
      <w:r w:rsidRPr="000622DF">
        <w:rPr>
          <w:rFonts w:ascii="Times New Roman" w:eastAsia="Times New Roman" w:hAnsi="Times New Roman" w:cs="Times New Roman"/>
          <w:sz w:val="24"/>
          <w:szCs w:val="24"/>
        </w:rPr>
        <w:t>: By setting the minimum reserves banks must hold, the Fed controls how much money banks can lend.</w:t>
      </w:r>
    </w:p>
    <w:p w14:paraId="62015BAA" w14:textId="77777777" w:rsidR="000622DF" w:rsidRPr="000622DF" w:rsidRDefault="000622DF" w:rsidP="00A670E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70E8">
        <w:rPr>
          <w:rFonts w:ascii="Times New Roman" w:eastAsia="Times New Roman" w:hAnsi="Times New Roman" w:cs="Times New Roman"/>
          <w:b/>
          <w:bCs/>
          <w:sz w:val="24"/>
          <w:szCs w:val="24"/>
        </w:rPr>
        <w:t>Bank Supervision and Regulation</w:t>
      </w:r>
      <w:r w:rsidRPr="000622DF">
        <w:rPr>
          <w:rFonts w:ascii="Times New Roman" w:eastAsia="Times New Roman" w:hAnsi="Times New Roman" w:cs="Times New Roman"/>
          <w:sz w:val="24"/>
          <w:szCs w:val="24"/>
        </w:rPr>
        <w:t>:</w:t>
      </w:r>
    </w:p>
    <w:p w14:paraId="69267BC5"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lastRenderedPageBreak/>
        <w:t>The Fed supervises and regulates banks to ensure they operate safely and soundly and comply with laws and regulations.</w:t>
      </w:r>
    </w:p>
    <w:p w14:paraId="04672DCE"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It conducts regular inspections and stress tests to evaluate the resilience of banks under adverse economic conditions.</w:t>
      </w:r>
    </w:p>
    <w:p w14:paraId="0554E745" w14:textId="77777777" w:rsidR="000622DF" w:rsidRPr="000622DF" w:rsidRDefault="000622DF" w:rsidP="00A670E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70E8">
        <w:rPr>
          <w:rFonts w:ascii="Times New Roman" w:eastAsia="Times New Roman" w:hAnsi="Times New Roman" w:cs="Times New Roman"/>
          <w:b/>
          <w:bCs/>
          <w:sz w:val="24"/>
          <w:szCs w:val="24"/>
        </w:rPr>
        <w:t>Financial Stability</w:t>
      </w:r>
      <w:r w:rsidRPr="000622DF">
        <w:rPr>
          <w:rFonts w:ascii="Times New Roman" w:eastAsia="Times New Roman" w:hAnsi="Times New Roman" w:cs="Times New Roman"/>
          <w:sz w:val="24"/>
          <w:szCs w:val="24"/>
        </w:rPr>
        <w:t>:</w:t>
      </w:r>
    </w:p>
    <w:p w14:paraId="2538F4B8"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 Fed monitors and addresses risks to the financial system.</w:t>
      </w:r>
    </w:p>
    <w:p w14:paraId="15110898"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During crises, the Fed can act as a lender of last resort, providing emergency lending to ensure liquidity.</w:t>
      </w:r>
    </w:p>
    <w:p w14:paraId="49836937" w14:textId="77777777" w:rsidR="000622DF" w:rsidRPr="000622DF" w:rsidRDefault="000622DF" w:rsidP="00A670E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70E8">
        <w:rPr>
          <w:rFonts w:ascii="Times New Roman" w:eastAsia="Times New Roman" w:hAnsi="Times New Roman" w:cs="Times New Roman"/>
          <w:b/>
          <w:bCs/>
          <w:sz w:val="24"/>
          <w:szCs w:val="24"/>
        </w:rPr>
        <w:t>Financial Services</w:t>
      </w:r>
      <w:r w:rsidRPr="000622DF">
        <w:rPr>
          <w:rFonts w:ascii="Times New Roman" w:eastAsia="Times New Roman" w:hAnsi="Times New Roman" w:cs="Times New Roman"/>
          <w:sz w:val="24"/>
          <w:szCs w:val="24"/>
        </w:rPr>
        <w:t>:</w:t>
      </w:r>
    </w:p>
    <w:p w14:paraId="51682D15"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 Fed offers financial services including payment processing through systems like Fedwire and ACH.</w:t>
      </w:r>
    </w:p>
    <w:p w14:paraId="2496711F"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 xml:space="preserve">The recent launch of the </w:t>
      </w:r>
      <w:proofErr w:type="spellStart"/>
      <w:r w:rsidRPr="000622DF">
        <w:rPr>
          <w:rFonts w:ascii="Times New Roman" w:eastAsia="Times New Roman" w:hAnsi="Times New Roman" w:cs="Times New Roman"/>
          <w:sz w:val="24"/>
          <w:szCs w:val="24"/>
        </w:rPr>
        <w:t>FedNow</w:t>
      </w:r>
      <w:proofErr w:type="spellEnd"/>
      <w:r w:rsidRPr="000622DF">
        <w:rPr>
          <w:rFonts w:ascii="Times New Roman" w:eastAsia="Times New Roman" w:hAnsi="Times New Roman" w:cs="Times New Roman"/>
          <w:sz w:val="24"/>
          <w:szCs w:val="24"/>
        </w:rPr>
        <w:t xml:space="preserve"> Service aims to provide real-time payment and settlement services.</w:t>
      </w:r>
    </w:p>
    <w:p w14:paraId="3A7E7AB8" w14:textId="77777777" w:rsidR="000622DF" w:rsidRPr="000622DF" w:rsidRDefault="000622DF" w:rsidP="00A670E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70E8">
        <w:rPr>
          <w:rFonts w:ascii="Times New Roman" w:eastAsia="Times New Roman" w:hAnsi="Times New Roman" w:cs="Times New Roman"/>
          <w:b/>
          <w:bCs/>
          <w:sz w:val="24"/>
          <w:szCs w:val="24"/>
        </w:rPr>
        <w:t>Economic Research and Data</w:t>
      </w:r>
      <w:r w:rsidRPr="000622DF">
        <w:rPr>
          <w:rFonts w:ascii="Times New Roman" w:eastAsia="Times New Roman" w:hAnsi="Times New Roman" w:cs="Times New Roman"/>
          <w:sz w:val="24"/>
          <w:szCs w:val="24"/>
        </w:rPr>
        <w:t>:</w:t>
      </w:r>
    </w:p>
    <w:p w14:paraId="2136B11F"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 Fed conducts extensive economic research to guide policy decisions.</w:t>
      </w:r>
    </w:p>
    <w:p w14:paraId="4A35C8A7"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It publishes reports and data, such as the Beige Book and Financial Stability Report, to inform the public and policymakers.</w:t>
      </w:r>
    </w:p>
    <w:p w14:paraId="0C5F9912" w14:textId="77777777" w:rsidR="000622DF" w:rsidRPr="000622DF" w:rsidRDefault="000622DF" w:rsidP="00A670E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670E8">
        <w:rPr>
          <w:rFonts w:ascii="Times New Roman" w:eastAsia="Times New Roman" w:hAnsi="Times New Roman" w:cs="Times New Roman"/>
          <w:b/>
          <w:bCs/>
          <w:sz w:val="24"/>
          <w:szCs w:val="24"/>
        </w:rPr>
        <w:t>Consumer Protection</w:t>
      </w:r>
      <w:r w:rsidRPr="000622DF">
        <w:rPr>
          <w:rFonts w:ascii="Times New Roman" w:eastAsia="Times New Roman" w:hAnsi="Times New Roman" w:cs="Times New Roman"/>
          <w:sz w:val="24"/>
          <w:szCs w:val="24"/>
        </w:rPr>
        <w:t>:</w:t>
      </w:r>
    </w:p>
    <w:p w14:paraId="4A7FF851"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 Fed, through the Consumer Financial Protection Bureau (CFPB), enforces laws to protect consumers in the financial marketplace.</w:t>
      </w:r>
    </w:p>
    <w:p w14:paraId="2A661EC8" w14:textId="77777777" w:rsidR="000622DF" w:rsidRPr="000622DF" w:rsidRDefault="000622DF" w:rsidP="00A670E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It oversees fair lending practices and ensures transparent and fair treatment of consumers by financial institutions.</w:t>
      </w:r>
    </w:p>
    <w:p w14:paraId="2AB7B2F4" w14:textId="77777777" w:rsidR="000622DF" w:rsidRPr="000622DF" w:rsidRDefault="000622DF" w:rsidP="00A670E8">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0622DF">
        <w:rPr>
          <w:rFonts w:ascii="Times New Roman" w:eastAsia="Times New Roman" w:hAnsi="Times New Roman" w:cs="Times New Roman"/>
          <w:b/>
          <w:bCs/>
          <w:sz w:val="24"/>
          <w:szCs w:val="24"/>
        </w:rPr>
        <w:t>Market Price Impact:</w:t>
      </w:r>
    </w:p>
    <w:p w14:paraId="6458FB60" w14:textId="77777777" w:rsidR="000622DF" w:rsidRPr="000622DF" w:rsidRDefault="000622DF" w:rsidP="00A670E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 actions of the Fed, such as changes in the federal funds rate and open market operations, significantly impact market prices, including interest rates, bond yields, and stock prices.</w:t>
      </w:r>
    </w:p>
    <w:p w14:paraId="44B08FAE" w14:textId="77777777" w:rsidR="000622DF" w:rsidRPr="000622DF" w:rsidRDefault="000622DF" w:rsidP="00A670E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During periods of monetary policy changes, such as rate hikes or cuts, the financial markets react to align with the new economic conditions influenced by the Fed's policies.</w:t>
      </w:r>
    </w:p>
    <w:p w14:paraId="4484DF13" w14:textId="77777777" w:rsidR="000622DF" w:rsidRPr="000622DF" w:rsidRDefault="000622DF" w:rsidP="00A670E8">
      <w:pPr>
        <w:spacing w:before="100" w:beforeAutospacing="1" w:after="100" w:afterAutospacing="1" w:line="240" w:lineRule="auto"/>
        <w:jc w:val="both"/>
        <w:rPr>
          <w:rFonts w:ascii="Times New Roman" w:eastAsia="Times New Roman" w:hAnsi="Times New Roman" w:cs="Times New Roman"/>
          <w:sz w:val="24"/>
          <w:szCs w:val="24"/>
        </w:rPr>
      </w:pPr>
      <w:r w:rsidRPr="000622DF">
        <w:rPr>
          <w:rFonts w:ascii="Times New Roman" w:eastAsia="Times New Roman" w:hAnsi="Times New Roman" w:cs="Times New Roman"/>
          <w:sz w:val="24"/>
          <w:szCs w:val="24"/>
        </w:rPr>
        <w:t>These key statistics and functions illustrate how the Federal Reserve System operates to fulfill its mandate of promoting economic stability and growth in the United States.</w:t>
      </w:r>
    </w:p>
    <w:p w14:paraId="20EDF393" w14:textId="53388B90" w:rsidR="00356C42" w:rsidRPr="00356C42" w:rsidRDefault="00356C42" w:rsidP="00356C42">
      <w:pPr>
        <w:jc w:val="center"/>
        <w:rPr>
          <w:rFonts w:ascii="Times New Roman" w:hAnsi="Times New Roman" w:cs="Times New Roman"/>
          <w:sz w:val="24"/>
          <w:szCs w:val="24"/>
        </w:rPr>
      </w:pPr>
    </w:p>
    <w:sectPr w:rsidR="00356C42" w:rsidRPr="00356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57B7"/>
    <w:multiLevelType w:val="multilevel"/>
    <w:tmpl w:val="AF76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23ADA"/>
    <w:multiLevelType w:val="multilevel"/>
    <w:tmpl w:val="0E563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708CE"/>
    <w:multiLevelType w:val="multilevel"/>
    <w:tmpl w:val="FD64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B756F"/>
    <w:multiLevelType w:val="multilevel"/>
    <w:tmpl w:val="F52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42"/>
    <w:rsid w:val="000622DF"/>
    <w:rsid w:val="000D6FF0"/>
    <w:rsid w:val="00324E41"/>
    <w:rsid w:val="00356C42"/>
    <w:rsid w:val="00A670E8"/>
    <w:rsid w:val="00C246B0"/>
    <w:rsid w:val="00D2048F"/>
    <w:rsid w:val="00FE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8068"/>
  <w15:chartTrackingRefBased/>
  <w15:docId w15:val="{78DAB702-911F-4A06-9C58-E5BE29C1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622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2DF"/>
    <w:pPr>
      <w:ind w:left="720"/>
      <w:contextualSpacing/>
    </w:pPr>
  </w:style>
  <w:style w:type="paragraph" w:styleId="NormalWeb">
    <w:name w:val="Normal (Web)"/>
    <w:basedOn w:val="Normal"/>
    <w:uiPriority w:val="99"/>
    <w:semiHidden/>
    <w:unhideWhenUsed/>
    <w:rsid w:val="000622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0622DF"/>
  </w:style>
  <w:style w:type="character" w:styleId="Strong">
    <w:name w:val="Strong"/>
    <w:basedOn w:val="DefaultParagraphFont"/>
    <w:uiPriority w:val="22"/>
    <w:qFormat/>
    <w:rsid w:val="000622DF"/>
    <w:rPr>
      <w:b/>
      <w:bCs/>
    </w:rPr>
  </w:style>
  <w:style w:type="character" w:customStyle="1" w:styleId="Heading3Char">
    <w:name w:val="Heading 3 Char"/>
    <w:basedOn w:val="DefaultParagraphFont"/>
    <w:link w:val="Heading3"/>
    <w:uiPriority w:val="9"/>
    <w:rsid w:val="000622D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86717">
      <w:bodyDiv w:val="1"/>
      <w:marLeft w:val="0"/>
      <w:marRight w:val="0"/>
      <w:marTop w:val="0"/>
      <w:marBottom w:val="0"/>
      <w:divBdr>
        <w:top w:val="none" w:sz="0" w:space="0" w:color="auto"/>
        <w:left w:val="none" w:sz="0" w:space="0" w:color="auto"/>
        <w:bottom w:val="none" w:sz="0" w:space="0" w:color="auto"/>
        <w:right w:val="none" w:sz="0" w:space="0" w:color="auto"/>
      </w:divBdr>
    </w:div>
    <w:div w:id="616329129">
      <w:bodyDiv w:val="1"/>
      <w:marLeft w:val="0"/>
      <w:marRight w:val="0"/>
      <w:marTop w:val="0"/>
      <w:marBottom w:val="0"/>
      <w:divBdr>
        <w:top w:val="none" w:sz="0" w:space="0" w:color="auto"/>
        <w:left w:val="none" w:sz="0" w:space="0" w:color="auto"/>
        <w:bottom w:val="none" w:sz="0" w:space="0" w:color="auto"/>
        <w:right w:val="none" w:sz="0" w:space="0" w:color="auto"/>
      </w:divBdr>
    </w:div>
    <w:div w:id="865867454">
      <w:bodyDiv w:val="1"/>
      <w:marLeft w:val="0"/>
      <w:marRight w:val="0"/>
      <w:marTop w:val="0"/>
      <w:marBottom w:val="0"/>
      <w:divBdr>
        <w:top w:val="none" w:sz="0" w:space="0" w:color="auto"/>
        <w:left w:val="none" w:sz="0" w:space="0" w:color="auto"/>
        <w:bottom w:val="none" w:sz="0" w:space="0" w:color="auto"/>
        <w:right w:val="none" w:sz="0" w:space="0" w:color="auto"/>
      </w:divBdr>
      <w:divsChild>
        <w:div w:id="1210997563">
          <w:marLeft w:val="0"/>
          <w:marRight w:val="0"/>
          <w:marTop w:val="0"/>
          <w:marBottom w:val="0"/>
          <w:divBdr>
            <w:top w:val="none" w:sz="0" w:space="0" w:color="auto"/>
            <w:left w:val="none" w:sz="0" w:space="0" w:color="auto"/>
            <w:bottom w:val="none" w:sz="0" w:space="0" w:color="auto"/>
            <w:right w:val="none" w:sz="0" w:space="0" w:color="auto"/>
          </w:divBdr>
          <w:divsChild>
            <w:div w:id="1690908384">
              <w:marLeft w:val="0"/>
              <w:marRight w:val="0"/>
              <w:marTop w:val="0"/>
              <w:marBottom w:val="0"/>
              <w:divBdr>
                <w:top w:val="none" w:sz="0" w:space="0" w:color="auto"/>
                <w:left w:val="none" w:sz="0" w:space="0" w:color="auto"/>
                <w:bottom w:val="none" w:sz="0" w:space="0" w:color="auto"/>
                <w:right w:val="none" w:sz="0" w:space="0" w:color="auto"/>
              </w:divBdr>
              <w:divsChild>
                <w:div w:id="21071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4469">
          <w:marLeft w:val="0"/>
          <w:marRight w:val="0"/>
          <w:marTop w:val="0"/>
          <w:marBottom w:val="0"/>
          <w:divBdr>
            <w:top w:val="none" w:sz="0" w:space="0" w:color="auto"/>
            <w:left w:val="none" w:sz="0" w:space="0" w:color="auto"/>
            <w:bottom w:val="none" w:sz="0" w:space="0" w:color="auto"/>
            <w:right w:val="none" w:sz="0" w:space="0" w:color="auto"/>
          </w:divBdr>
          <w:divsChild>
            <w:div w:id="1550678952">
              <w:marLeft w:val="0"/>
              <w:marRight w:val="0"/>
              <w:marTop w:val="0"/>
              <w:marBottom w:val="0"/>
              <w:divBdr>
                <w:top w:val="none" w:sz="0" w:space="0" w:color="auto"/>
                <w:left w:val="none" w:sz="0" w:space="0" w:color="auto"/>
                <w:bottom w:val="none" w:sz="0" w:space="0" w:color="auto"/>
                <w:right w:val="none" w:sz="0" w:space="0" w:color="auto"/>
              </w:divBdr>
              <w:divsChild>
                <w:div w:id="1822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2024-06-11T07:28:00Z</dcterms:created>
  <dcterms:modified xsi:type="dcterms:W3CDTF">2024-06-11T08:26:00Z</dcterms:modified>
</cp:coreProperties>
</file>