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3A7B9" w14:textId="39660C62" w:rsidR="00F92A00" w:rsidRDefault="00196E34" w:rsidP="00196E34">
      <w:pPr>
        <w:jc w:val="center"/>
        <w:rPr>
          <w:rFonts w:ascii="Times New Roman" w:hAnsi="Times New Roman" w:cs="Times New Roman"/>
          <w:b/>
          <w:sz w:val="24"/>
          <w:szCs w:val="24"/>
        </w:rPr>
      </w:pPr>
      <w:r w:rsidRPr="00196E34">
        <w:rPr>
          <w:rFonts w:ascii="Times New Roman" w:hAnsi="Times New Roman" w:cs="Times New Roman"/>
          <w:b/>
          <w:sz w:val="24"/>
          <w:szCs w:val="24"/>
        </w:rPr>
        <w:t>OCC (Office of the Comptroller of the Currency)</w:t>
      </w:r>
    </w:p>
    <w:p w14:paraId="15336102" w14:textId="77777777" w:rsidR="00196E34" w:rsidRPr="00196E34" w:rsidRDefault="00196E34" w:rsidP="001278AF">
      <w:p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Office of the Comptroller of the Currency (OCC) is a crucial regulatory agency within the United States Department of the Treasury. It is responsible for overseeing the nation's federally chartered banks and ensuring a safe and sound banking system. Below is an overview of the OCC's key functions, roles, and recent initiatives:</w:t>
      </w:r>
    </w:p>
    <w:p w14:paraId="6F1D521B" w14:textId="77777777" w:rsidR="00196E34" w:rsidRPr="00196E34" w:rsidRDefault="00196E34" w:rsidP="001278AF">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96E34">
        <w:rPr>
          <w:rFonts w:ascii="Times New Roman" w:eastAsia="Times New Roman" w:hAnsi="Times New Roman" w:cs="Times New Roman"/>
          <w:b/>
          <w:bCs/>
          <w:sz w:val="24"/>
          <w:szCs w:val="24"/>
        </w:rPr>
        <w:t>Key Functions and Roles of the OCC:</w:t>
      </w:r>
    </w:p>
    <w:p w14:paraId="52E3C17B" w14:textId="77777777" w:rsidR="00196E34" w:rsidRPr="00196E34" w:rsidRDefault="00196E34" w:rsidP="001278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Chartering National Banks and Federal Savings Associations</w:t>
      </w:r>
      <w:r w:rsidRPr="00196E34">
        <w:rPr>
          <w:rFonts w:ascii="Times New Roman" w:eastAsia="Times New Roman" w:hAnsi="Times New Roman" w:cs="Times New Roman"/>
          <w:sz w:val="24"/>
          <w:szCs w:val="24"/>
        </w:rPr>
        <w:t>:</w:t>
      </w:r>
    </w:p>
    <w:p w14:paraId="06826647" w14:textId="77777777" w:rsidR="00196E34" w:rsidRPr="00196E34" w:rsidRDefault="00196E34" w:rsidP="001278A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grants charters for new national banks and federal savings associations. This process involves rigorous evaluation to ensure the institution's viability and adherence to regulatory standards.</w:t>
      </w:r>
    </w:p>
    <w:p w14:paraId="539A560F" w14:textId="77777777" w:rsidR="00196E34" w:rsidRPr="00196E34" w:rsidRDefault="00196E34" w:rsidP="001278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Regulation and Supervision</w:t>
      </w:r>
      <w:r w:rsidRPr="00196E34">
        <w:rPr>
          <w:rFonts w:ascii="Times New Roman" w:eastAsia="Times New Roman" w:hAnsi="Times New Roman" w:cs="Times New Roman"/>
          <w:sz w:val="24"/>
          <w:szCs w:val="24"/>
        </w:rPr>
        <w:t>:</w:t>
      </w:r>
    </w:p>
    <w:p w14:paraId="62E453FD" w14:textId="77777777" w:rsidR="00196E34" w:rsidRPr="00196E34" w:rsidRDefault="00196E34" w:rsidP="001278A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regulates and supervises all national banks and federal savings associations, as well as the federally licensed branches and agencies of foreign banks. This includes ensuring that these institutions comply with relevant laws and regulations.</w:t>
      </w:r>
    </w:p>
    <w:p w14:paraId="6C77093E" w14:textId="77777777" w:rsidR="00196E34" w:rsidRPr="00196E34" w:rsidRDefault="00196E34" w:rsidP="001278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Examination and Enforcement</w:t>
      </w:r>
      <w:r w:rsidRPr="00196E34">
        <w:rPr>
          <w:rFonts w:ascii="Times New Roman" w:eastAsia="Times New Roman" w:hAnsi="Times New Roman" w:cs="Times New Roman"/>
          <w:sz w:val="24"/>
          <w:szCs w:val="24"/>
        </w:rPr>
        <w:t>:</w:t>
      </w:r>
    </w:p>
    <w:p w14:paraId="2DAA84CA" w14:textId="77777777" w:rsidR="00196E34" w:rsidRPr="00196E34" w:rsidRDefault="00196E34" w:rsidP="001278A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conducts regular examinations of banks to assess their financial health, risk management practices, and compliance with laws and regulations. When necessary, the OCC takes enforcement actions to address violations and unsafe practices.</w:t>
      </w:r>
    </w:p>
    <w:p w14:paraId="01B4F734" w14:textId="77777777" w:rsidR="00196E34" w:rsidRPr="00196E34" w:rsidRDefault="00196E34" w:rsidP="001278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Consumer Protection</w:t>
      </w:r>
      <w:r w:rsidRPr="00196E34">
        <w:rPr>
          <w:rFonts w:ascii="Times New Roman" w:eastAsia="Times New Roman" w:hAnsi="Times New Roman" w:cs="Times New Roman"/>
          <w:sz w:val="24"/>
          <w:szCs w:val="24"/>
        </w:rPr>
        <w:t>:</w:t>
      </w:r>
    </w:p>
    <w:p w14:paraId="167C33C0" w14:textId="77777777" w:rsidR="00196E34" w:rsidRPr="00196E34" w:rsidRDefault="00196E34" w:rsidP="001278A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enforces consumer protection laws and ensures that national banks and federal savings associations treat customers fairly. This includes overseeing compliance with the Community Reinvestment Act (CRA), which encourages banks to help meet the credit needs of the communities they serve, including low- and moderate-income neighborhoods.</w:t>
      </w:r>
    </w:p>
    <w:p w14:paraId="35DA0686" w14:textId="77777777" w:rsidR="00196E34" w:rsidRPr="00196E34" w:rsidRDefault="00196E34" w:rsidP="001278A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Policy Development</w:t>
      </w:r>
      <w:r w:rsidRPr="00196E34">
        <w:rPr>
          <w:rFonts w:ascii="Times New Roman" w:eastAsia="Times New Roman" w:hAnsi="Times New Roman" w:cs="Times New Roman"/>
          <w:sz w:val="24"/>
          <w:szCs w:val="24"/>
        </w:rPr>
        <w:t>:</w:t>
      </w:r>
    </w:p>
    <w:p w14:paraId="08390EE3" w14:textId="77777777" w:rsidR="00196E34" w:rsidRPr="00196E34" w:rsidRDefault="00196E34" w:rsidP="001278AF">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develops regulations and guidelines for national banks and federal savings associations, providing clarity and direction on various banking practices and emerging issues.</w:t>
      </w:r>
    </w:p>
    <w:p w14:paraId="0FFCC387" w14:textId="77777777" w:rsidR="00196E34" w:rsidRPr="00196E34" w:rsidRDefault="00196E34" w:rsidP="001278AF">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96E34">
        <w:rPr>
          <w:rFonts w:ascii="Times New Roman" w:eastAsia="Times New Roman" w:hAnsi="Times New Roman" w:cs="Times New Roman"/>
          <w:b/>
          <w:bCs/>
          <w:sz w:val="24"/>
          <w:szCs w:val="24"/>
        </w:rPr>
        <w:t>Recent Initiatives and Key Focus Areas:</w:t>
      </w:r>
    </w:p>
    <w:p w14:paraId="6EE5DA32" w14:textId="77777777" w:rsidR="00196E34" w:rsidRPr="00196E34" w:rsidRDefault="00196E34" w:rsidP="001278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Community Reinvestment Act (CRA) Modernization</w:t>
      </w:r>
      <w:r w:rsidRPr="00196E34">
        <w:rPr>
          <w:rFonts w:ascii="Times New Roman" w:eastAsia="Times New Roman" w:hAnsi="Times New Roman" w:cs="Times New Roman"/>
          <w:sz w:val="24"/>
          <w:szCs w:val="24"/>
        </w:rPr>
        <w:t>:</w:t>
      </w:r>
    </w:p>
    <w:p w14:paraId="02F0AD4C" w14:textId="77777777" w:rsidR="00196E34" w:rsidRPr="00196E34" w:rsidRDefault="00196E34" w:rsidP="001278A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In June 2020, the OCC updated the CRA rule to better align it with the current banking environment. The changes aim to increase lending, investment, and services in low- and moderate-income communities.</w:t>
      </w:r>
    </w:p>
    <w:p w14:paraId="6634FD45" w14:textId="77777777" w:rsidR="00196E34" w:rsidRPr="00196E34" w:rsidRDefault="00196E34" w:rsidP="001278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Financial Inclusion</w:t>
      </w:r>
      <w:r w:rsidRPr="00196E34">
        <w:rPr>
          <w:rFonts w:ascii="Times New Roman" w:eastAsia="Times New Roman" w:hAnsi="Times New Roman" w:cs="Times New Roman"/>
          <w:sz w:val="24"/>
          <w:szCs w:val="24"/>
        </w:rPr>
        <w:t>:</w:t>
      </w:r>
    </w:p>
    <w:p w14:paraId="19E536E8" w14:textId="77777777" w:rsidR="00196E34" w:rsidRPr="00196E34" w:rsidRDefault="00196E34" w:rsidP="001278A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has been active in promoting financial inclusion, ensuring that underserved and minority communities have access to banking services. This includes efforts to enhance financial literacy and expand access to affordable credit.</w:t>
      </w:r>
    </w:p>
    <w:p w14:paraId="09782FE9" w14:textId="77777777" w:rsidR="00196E34" w:rsidRPr="00196E34" w:rsidRDefault="00196E34" w:rsidP="001278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Technological Innovation and Fintech</w:t>
      </w:r>
      <w:r w:rsidRPr="00196E34">
        <w:rPr>
          <w:rFonts w:ascii="Times New Roman" w:eastAsia="Times New Roman" w:hAnsi="Times New Roman" w:cs="Times New Roman"/>
          <w:sz w:val="24"/>
          <w:szCs w:val="24"/>
        </w:rPr>
        <w:t>:</w:t>
      </w:r>
    </w:p>
    <w:p w14:paraId="62D2B803" w14:textId="77777777" w:rsidR="00196E34" w:rsidRPr="00196E34" w:rsidRDefault="00196E34" w:rsidP="001278A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lastRenderedPageBreak/>
        <w:t>The OCC has been addressing the rise of financial technology (fintech) by providing guidance on responsible innovation. This includes offering special-purpose national bank charters for fintech companies, enabling them to operate under a unified federal framework.</w:t>
      </w:r>
    </w:p>
    <w:p w14:paraId="48EA3809" w14:textId="77777777" w:rsidR="00196E34" w:rsidRPr="00196E34" w:rsidRDefault="00196E34" w:rsidP="001278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Risk Management and Cybersecurity</w:t>
      </w:r>
      <w:r w:rsidRPr="00196E34">
        <w:rPr>
          <w:rFonts w:ascii="Times New Roman" w:eastAsia="Times New Roman" w:hAnsi="Times New Roman" w:cs="Times New Roman"/>
          <w:sz w:val="24"/>
          <w:szCs w:val="24"/>
        </w:rPr>
        <w:t>:</w:t>
      </w:r>
    </w:p>
    <w:p w14:paraId="5C748F27" w14:textId="77777777" w:rsidR="00196E34" w:rsidRPr="00196E34" w:rsidRDefault="00196E34" w:rsidP="001278A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has heightened its focus on risk management, particularly in the areas of cybersecurity and operational resilience. Banks are required to adopt robust measures to protect against cyber threats and ensure the continuity of critical operations.</w:t>
      </w:r>
    </w:p>
    <w:p w14:paraId="7EA4BBDB" w14:textId="77777777" w:rsidR="00196E34" w:rsidRPr="00196E34" w:rsidRDefault="00196E34" w:rsidP="001278AF">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Pandemic Response</w:t>
      </w:r>
      <w:r w:rsidRPr="00196E34">
        <w:rPr>
          <w:rFonts w:ascii="Times New Roman" w:eastAsia="Times New Roman" w:hAnsi="Times New Roman" w:cs="Times New Roman"/>
          <w:sz w:val="24"/>
          <w:szCs w:val="24"/>
        </w:rPr>
        <w:t>:</w:t>
      </w:r>
    </w:p>
    <w:p w14:paraId="10C7C7F5" w14:textId="77777777" w:rsidR="00196E34" w:rsidRPr="00196E34" w:rsidRDefault="00196E34" w:rsidP="001278AF">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During the COVID-19 pandemic, the OCC provided guidance and flexibility to banks to support their customers and communities. This included measures to facilitate loan modifications, ensure liquidity, and support the Paycheck Protection Program (PPP).</w:t>
      </w:r>
    </w:p>
    <w:p w14:paraId="5B4EBE2C" w14:textId="77777777" w:rsidR="00196E34" w:rsidRPr="00196E34" w:rsidRDefault="00196E34" w:rsidP="001278AF">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96E34">
        <w:rPr>
          <w:rFonts w:ascii="Times New Roman" w:eastAsia="Times New Roman" w:hAnsi="Times New Roman" w:cs="Times New Roman"/>
          <w:b/>
          <w:bCs/>
          <w:sz w:val="24"/>
          <w:szCs w:val="24"/>
        </w:rPr>
        <w:t>Impact and Importance:</w:t>
      </w:r>
    </w:p>
    <w:p w14:paraId="76E2725A" w14:textId="77777777" w:rsidR="00196E34" w:rsidRPr="00196E34" w:rsidRDefault="00196E34" w:rsidP="001278A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Financial Stability</w:t>
      </w:r>
      <w:r w:rsidRPr="00196E34">
        <w:rPr>
          <w:rFonts w:ascii="Times New Roman" w:eastAsia="Times New Roman" w:hAnsi="Times New Roman" w:cs="Times New Roman"/>
          <w:sz w:val="24"/>
          <w:szCs w:val="24"/>
        </w:rPr>
        <w:t>:</w:t>
      </w:r>
    </w:p>
    <w:p w14:paraId="6849D4C3" w14:textId="77777777" w:rsidR="00196E34" w:rsidRPr="00196E34" w:rsidRDefault="00196E34" w:rsidP="001278AF">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OCC plays a vital role in maintaining the stability and integrity of the U.S. banking system. By ensuring that national banks operate safely and soundly, the OCC helps prevent bank failures and protect depositors.</w:t>
      </w:r>
    </w:p>
    <w:p w14:paraId="73743698" w14:textId="77777777" w:rsidR="00196E34" w:rsidRPr="00196E34" w:rsidRDefault="00196E34" w:rsidP="001278A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Consumer Confidence</w:t>
      </w:r>
      <w:r w:rsidRPr="00196E34">
        <w:rPr>
          <w:rFonts w:ascii="Times New Roman" w:eastAsia="Times New Roman" w:hAnsi="Times New Roman" w:cs="Times New Roman"/>
          <w:sz w:val="24"/>
          <w:szCs w:val="24"/>
        </w:rPr>
        <w:t>:</w:t>
      </w:r>
    </w:p>
    <w:p w14:paraId="4C5F6BCA" w14:textId="77777777" w:rsidR="00196E34" w:rsidRPr="00196E34" w:rsidRDefault="00196E34" w:rsidP="001278AF">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Through its supervision and enforcement of consumer protection laws, the OCC helps build consumer confidence in the banking system, ensuring fair treatment and transparency in banking services.</w:t>
      </w:r>
    </w:p>
    <w:p w14:paraId="03B706EB" w14:textId="77777777" w:rsidR="00196E34" w:rsidRPr="00196E34" w:rsidRDefault="00196E34" w:rsidP="001278A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b/>
          <w:bCs/>
          <w:sz w:val="24"/>
          <w:szCs w:val="24"/>
        </w:rPr>
        <w:t>Economic Growth</w:t>
      </w:r>
      <w:r w:rsidRPr="00196E34">
        <w:rPr>
          <w:rFonts w:ascii="Times New Roman" w:eastAsia="Times New Roman" w:hAnsi="Times New Roman" w:cs="Times New Roman"/>
          <w:sz w:val="24"/>
          <w:szCs w:val="24"/>
        </w:rPr>
        <w:t>:</w:t>
      </w:r>
    </w:p>
    <w:p w14:paraId="1F911361" w14:textId="77777777" w:rsidR="00196E34" w:rsidRPr="00196E34" w:rsidRDefault="00196E34" w:rsidP="001278AF">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By promoting responsible banking practices and financial inclusion, the OCC supports economic growth and development, particularly in underserved communities.</w:t>
      </w:r>
    </w:p>
    <w:p w14:paraId="1BA137F2" w14:textId="77777777" w:rsidR="00196E34" w:rsidRPr="00196E34" w:rsidRDefault="00196E34" w:rsidP="001278AF">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196E34">
        <w:rPr>
          <w:rFonts w:ascii="Times New Roman" w:eastAsia="Times New Roman" w:hAnsi="Times New Roman" w:cs="Times New Roman"/>
          <w:b/>
          <w:bCs/>
          <w:sz w:val="24"/>
          <w:szCs w:val="24"/>
        </w:rPr>
        <w:t>Conclusion:</w:t>
      </w:r>
    </w:p>
    <w:p w14:paraId="12EC123D" w14:textId="77777777" w:rsidR="00196E34" w:rsidRPr="00196E34" w:rsidRDefault="00196E34" w:rsidP="001278AF">
      <w:pPr>
        <w:spacing w:before="100" w:beforeAutospacing="1" w:after="100" w:afterAutospacing="1" w:line="240" w:lineRule="auto"/>
        <w:jc w:val="both"/>
        <w:rPr>
          <w:rFonts w:ascii="Times New Roman" w:eastAsia="Times New Roman" w:hAnsi="Times New Roman" w:cs="Times New Roman"/>
          <w:sz w:val="24"/>
          <w:szCs w:val="24"/>
        </w:rPr>
      </w:pPr>
      <w:r w:rsidRPr="00196E34">
        <w:rPr>
          <w:rFonts w:ascii="Times New Roman" w:eastAsia="Times New Roman" w:hAnsi="Times New Roman" w:cs="Times New Roman"/>
          <w:sz w:val="24"/>
          <w:szCs w:val="24"/>
        </w:rPr>
        <w:t>The Office of the Comptroller of the Currency is a cornerstone of the U.S. banking regulatory framework. Its comprehensive oversight ensures that national banks and federal savings associations operate in a safe, sound, and fair manner, thereby supporting the overall health of the U.S. financial system and contributing to economic stability and growth.</w:t>
      </w:r>
    </w:p>
    <w:p w14:paraId="1AF5E512" w14:textId="45D3804A" w:rsidR="00196E34" w:rsidRDefault="00196E34" w:rsidP="001278AF">
      <w:pPr>
        <w:jc w:val="both"/>
        <w:rPr>
          <w:rFonts w:ascii="Times New Roman" w:hAnsi="Times New Roman" w:cs="Times New Roman"/>
          <w:b/>
          <w:sz w:val="24"/>
          <w:szCs w:val="24"/>
        </w:rPr>
      </w:pPr>
    </w:p>
    <w:p w14:paraId="5DED6BEA" w14:textId="7851E724" w:rsidR="001278AF" w:rsidRDefault="001278AF" w:rsidP="001278AF">
      <w:pPr>
        <w:jc w:val="both"/>
        <w:rPr>
          <w:rFonts w:ascii="Times New Roman" w:hAnsi="Times New Roman" w:cs="Times New Roman"/>
          <w:b/>
          <w:sz w:val="24"/>
          <w:szCs w:val="24"/>
        </w:rPr>
      </w:pPr>
    </w:p>
    <w:p w14:paraId="791D48EF" w14:textId="7383F893" w:rsidR="001278AF" w:rsidRDefault="001278AF" w:rsidP="001278AF">
      <w:pPr>
        <w:jc w:val="both"/>
        <w:rPr>
          <w:rFonts w:ascii="Times New Roman" w:hAnsi="Times New Roman" w:cs="Times New Roman"/>
          <w:b/>
          <w:sz w:val="24"/>
          <w:szCs w:val="24"/>
        </w:rPr>
      </w:pPr>
    </w:p>
    <w:p w14:paraId="28E41411" w14:textId="50E2A2F9" w:rsidR="001278AF" w:rsidRDefault="001278AF" w:rsidP="001278AF">
      <w:pPr>
        <w:jc w:val="both"/>
        <w:rPr>
          <w:rFonts w:ascii="Times New Roman" w:hAnsi="Times New Roman" w:cs="Times New Roman"/>
          <w:b/>
          <w:sz w:val="24"/>
          <w:szCs w:val="24"/>
        </w:rPr>
      </w:pPr>
    </w:p>
    <w:p w14:paraId="2192F949" w14:textId="1E721C4B" w:rsidR="001278AF" w:rsidRDefault="001278AF" w:rsidP="001278AF">
      <w:pPr>
        <w:jc w:val="both"/>
        <w:rPr>
          <w:rFonts w:ascii="Times New Roman" w:hAnsi="Times New Roman" w:cs="Times New Roman"/>
          <w:b/>
          <w:sz w:val="24"/>
          <w:szCs w:val="24"/>
        </w:rPr>
      </w:pPr>
    </w:p>
    <w:p w14:paraId="053DDCF7" w14:textId="3152AFF2" w:rsidR="001278AF" w:rsidRDefault="001278AF" w:rsidP="001278AF">
      <w:pPr>
        <w:jc w:val="both"/>
        <w:rPr>
          <w:rFonts w:ascii="Times New Roman" w:hAnsi="Times New Roman" w:cs="Times New Roman"/>
          <w:b/>
          <w:sz w:val="24"/>
          <w:szCs w:val="24"/>
        </w:rPr>
      </w:pPr>
    </w:p>
    <w:tbl>
      <w:tblPr>
        <w:tblW w:w="9535" w:type="dxa"/>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62"/>
        <w:gridCol w:w="5073"/>
      </w:tblGrid>
      <w:tr w:rsidR="001278AF" w14:paraId="5B04A59F" w14:textId="2F9D3DE1" w:rsidTr="001278AF">
        <w:tblPrEx>
          <w:tblCellMar>
            <w:top w:w="0" w:type="dxa"/>
            <w:bottom w:w="0" w:type="dxa"/>
          </w:tblCellMar>
        </w:tblPrEx>
        <w:trPr>
          <w:trHeight w:val="698"/>
        </w:trPr>
        <w:tc>
          <w:tcPr>
            <w:tcW w:w="4462" w:type="dxa"/>
          </w:tcPr>
          <w:p w14:paraId="5C5C4660" w14:textId="18031033" w:rsidR="001278AF" w:rsidRDefault="001278AF" w:rsidP="001278AF">
            <w:pPr>
              <w:jc w:val="both"/>
              <w:rPr>
                <w:rFonts w:ascii="Times New Roman" w:hAnsi="Times New Roman" w:cs="Times New Roman"/>
                <w:b/>
                <w:sz w:val="24"/>
                <w:szCs w:val="24"/>
              </w:rPr>
            </w:pPr>
            <w:r>
              <w:rPr>
                <w:rFonts w:ascii="Times New Roman" w:hAnsi="Times New Roman" w:cs="Times New Roman"/>
                <w:b/>
                <w:sz w:val="24"/>
                <w:szCs w:val="24"/>
              </w:rPr>
              <w:lastRenderedPageBreak/>
              <w:t>Category</w:t>
            </w:r>
          </w:p>
        </w:tc>
        <w:tc>
          <w:tcPr>
            <w:tcW w:w="5073" w:type="dxa"/>
          </w:tcPr>
          <w:p w14:paraId="3E5BBDA6" w14:textId="68F898AB" w:rsidR="001278AF" w:rsidRDefault="001278AF" w:rsidP="001278AF">
            <w:pPr>
              <w:jc w:val="both"/>
              <w:rPr>
                <w:rFonts w:ascii="Times New Roman" w:hAnsi="Times New Roman" w:cs="Times New Roman"/>
                <w:b/>
                <w:sz w:val="24"/>
                <w:szCs w:val="24"/>
              </w:rPr>
            </w:pPr>
            <w:r>
              <w:rPr>
                <w:rFonts w:ascii="Times New Roman" w:hAnsi="Times New Roman" w:cs="Times New Roman"/>
                <w:b/>
                <w:sz w:val="24"/>
                <w:szCs w:val="24"/>
              </w:rPr>
              <w:t>Data Points</w:t>
            </w:r>
          </w:p>
        </w:tc>
      </w:tr>
      <w:tr w:rsidR="001278AF" w14:paraId="69A437D1" w14:textId="7245172E" w:rsidTr="001278AF">
        <w:tblPrEx>
          <w:tblCellMar>
            <w:top w:w="0" w:type="dxa"/>
            <w:bottom w:w="0" w:type="dxa"/>
          </w:tblCellMar>
        </w:tblPrEx>
        <w:trPr>
          <w:trHeight w:val="764"/>
        </w:trPr>
        <w:tc>
          <w:tcPr>
            <w:tcW w:w="4462" w:type="dxa"/>
          </w:tcPr>
          <w:p w14:paraId="68CF094A" w14:textId="31FAFD85" w:rsidR="001278AF" w:rsidRPr="00ED1099" w:rsidRDefault="00ED1099" w:rsidP="001278AF">
            <w:pPr>
              <w:jc w:val="both"/>
              <w:rPr>
                <w:rFonts w:ascii="Times New Roman" w:hAnsi="Times New Roman" w:cs="Times New Roman"/>
                <w:b/>
                <w:sz w:val="24"/>
                <w:szCs w:val="24"/>
              </w:rPr>
            </w:pPr>
            <w:r w:rsidRPr="00ED1099">
              <w:rPr>
                <w:rFonts w:ascii="Times New Roman" w:hAnsi="Times New Roman" w:cs="Times New Roman"/>
                <w:b/>
                <w:sz w:val="24"/>
                <w:szCs w:val="24"/>
              </w:rPr>
              <w:t>Financial Health and supervision</w:t>
            </w:r>
          </w:p>
        </w:tc>
        <w:tc>
          <w:tcPr>
            <w:tcW w:w="5073" w:type="dxa"/>
          </w:tcPr>
          <w:p w14:paraId="5F97471B" w14:textId="14F1CB92" w:rsidR="001278AF" w:rsidRPr="001278AF" w:rsidRDefault="001278AF" w:rsidP="001278AF">
            <w:pPr>
              <w:jc w:val="both"/>
              <w:rPr>
                <w:rFonts w:ascii="Times New Roman" w:hAnsi="Times New Roman" w:cs="Times New Roman"/>
                <w:sz w:val="24"/>
                <w:szCs w:val="24"/>
              </w:rPr>
            </w:pPr>
          </w:p>
        </w:tc>
      </w:tr>
      <w:tr w:rsidR="001278AF" w14:paraId="002E95E5" w14:textId="7757E706" w:rsidTr="001278AF">
        <w:tblPrEx>
          <w:tblCellMar>
            <w:top w:w="0" w:type="dxa"/>
            <w:bottom w:w="0" w:type="dxa"/>
          </w:tblCellMar>
        </w:tblPrEx>
        <w:trPr>
          <w:trHeight w:val="742"/>
        </w:trPr>
        <w:tc>
          <w:tcPr>
            <w:tcW w:w="4462" w:type="dxa"/>
          </w:tcPr>
          <w:p w14:paraId="4526E511" w14:textId="0AC2B607" w:rsidR="001278AF" w:rsidRPr="001278AF" w:rsidRDefault="00ED1099" w:rsidP="001278AF">
            <w:pPr>
              <w:jc w:val="both"/>
              <w:rPr>
                <w:rFonts w:ascii="Times New Roman" w:hAnsi="Times New Roman" w:cs="Times New Roman"/>
                <w:sz w:val="24"/>
                <w:szCs w:val="24"/>
              </w:rPr>
            </w:pPr>
            <w:r>
              <w:rPr>
                <w:rFonts w:ascii="Times New Roman" w:hAnsi="Times New Roman" w:cs="Times New Roman"/>
                <w:sz w:val="24"/>
                <w:szCs w:val="24"/>
              </w:rPr>
              <w:t>Number of institutions supervised</w:t>
            </w:r>
          </w:p>
        </w:tc>
        <w:tc>
          <w:tcPr>
            <w:tcW w:w="5073" w:type="dxa"/>
          </w:tcPr>
          <w:p w14:paraId="0246B7D6" w14:textId="7B76BB06" w:rsidR="001278AF" w:rsidRPr="001278AF" w:rsidRDefault="00ED1099" w:rsidP="001278AF">
            <w:pPr>
              <w:jc w:val="both"/>
              <w:rPr>
                <w:rFonts w:ascii="Times New Roman" w:hAnsi="Times New Roman" w:cs="Times New Roman"/>
                <w:sz w:val="24"/>
                <w:szCs w:val="24"/>
              </w:rPr>
            </w:pPr>
            <w:r>
              <w:rPr>
                <w:rFonts w:ascii="Times New Roman" w:hAnsi="Times New Roman" w:cs="Times New Roman"/>
                <w:sz w:val="24"/>
                <w:szCs w:val="24"/>
              </w:rPr>
              <w:t>Approx. 4,012 national banks and federal savings associations</w:t>
            </w:r>
          </w:p>
        </w:tc>
      </w:tr>
      <w:tr w:rsidR="001278AF" w14:paraId="33E4AA01" w14:textId="770DBAB2" w:rsidTr="001278AF">
        <w:tblPrEx>
          <w:tblCellMar>
            <w:top w:w="0" w:type="dxa"/>
            <w:bottom w:w="0" w:type="dxa"/>
          </w:tblCellMar>
        </w:tblPrEx>
        <w:trPr>
          <w:trHeight w:val="676"/>
        </w:trPr>
        <w:tc>
          <w:tcPr>
            <w:tcW w:w="4462" w:type="dxa"/>
          </w:tcPr>
          <w:p w14:paraId="29C2DEA8" w14:textId="5521D52C" w:rsidR="001278AF" w:rsidRPr="001278AF" w:rsidRDefault="00ED1099" w:rsidP="001278AF">
            <w:pPr>
              <w:jc w:val="both"/>
              <w:rPr>
                <w:rFonts w:ascii="Times New Roman" w:hAnsi="Times New Roman" w:cs="Times New Roman"/>
                <w:sz w:val="24"/>
                <w:szCs w:val="24"/>
              </w:rPr>
            </w:pPr>
            <w:r>
              <w:rPr>
                <w:rFonts w:ascii="Times New Roman" w:hAnsi="Times New Roman" w:cs="Times New Roman"/>
                <w:sz w:val="24"/>
                <w:szCs w:val="24"/>
              </w:rPr>
              <w:t>Total assets under supervision</w:t>
            </w:r>
          </w:p>
        </w:tc>
        <w:tc>
          <w:tcPr>
            <w:tcW w:w="5073" w:type="dxa"/>
          </w:tcPr>
          <w:p w14:paraId="64C02A69" w14:textId="1AA4623A" w:rsidR="001278AF" w:rsidRPr="00ED1099" w:rsidRDefault="00ED1099" w:rsidP="001278AF">
            <w:pPr>
              <w:jc w:val="both"/>
              <w:rPr>
                <w:rFonts w:ascii="Times New Roman" w:hAnsi="Times New Roman" w:cs="Times New Roman"/>
                <w:sz w:val="24"/>
                <w:szCs w:val="24"/>
              </w:rPr>
            </w:pPr>
            <w:r w:rsidRPr="00ED1099">
              <w:rPr>
                <w:rFonts w:ascii="Times New Roman" w:hAnsi="Times New Roman" w:cs="Times New Roman"/>
                <w:sz w:val="24"/>
                <w:szCs w:val="24"/>
              </w:rPr>
              <w:t>$22.754</w:t>
            </w:r>
            <w:r>
              <w:rPr>
                <w:rFonts w:ascii="Times New Roman" w:hAnsi="Times New Roman" w:cs="Times New Roman"/>
                <w:sz w:val="24"/>
                <w:szCs w:val="24"/>
              </w:rPr>
              <w:t xml:space="preserve"> trillion (Q1 2024)</w:t>
            </w:r>
          </w:p>
        </w:tc>
      </w:tr>
      <w:tr w:rsidR="001278AF" w14:paraId="6DEA72AC" w14:textId="429985CF" w:rsidTr="00ED1099">
        <w:tblPrEx>
          <w:tblCellMar>
            <w:top w:w="0" w:type="dxa"/>
            <w:bottom w:w="0" w:type="dxa"/>
          </w:tblCellMar>
        </w:tblPrEx>
        <w:trPr>
          <w:trHeight w:val="476"/>
        </w:trPr>
        <w:tc>
          <w:tcPr>
            <w:tcW w:w="4462" w:type="dxa"/>
          </w:tcPr>
          <w:p w14:paraId="435D509D" w14:textId="1AA2361F"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Bank net income</w:t>
            </w:r>
          </w:p>
        </w:tc>
        <w:tc>
          <w:tcPr>
            <w:tcW w:w="5073" w:type="dxa"/>
          </w:tcPr>
          <w:p w14:paraId="16AF2793" w14:textId="560F64DF" w:rsidR="001278AF" w:rsidRPr="00ED1099" w:rsidRDefault="00ED1099" w:rsidP="001278AF">
            <w:pPr>
              <w:jc w:val="both"/>
              <w:rPr>
                <w:rFonts w:ascii="Times New Roman" w:hAnsi="Times New Roman" w:cs="Times New Roman"/>
                <w:sz w:val="24"/>
                <w:szCs w:val="24"/>
              </w:rPr>
            </w:pPr>
            <w:r w:rsidRPr="00ED1099">
              <w:rPr>
                <w:rFonts w:ascii="Times New Roman" w:hAnsi="Times New Roman" w:cs="Times New Roman"/>
                <w:sz w:val="24"/>
                <w:szCs w:val="24"/>
              </w:rPr>
              <w:t>$63.151 billion (Q1 2024)</w:t>
            </w:r>
          </w:p>
        </w:tc>
      </w:tr>
      <w:tr w:rsidR="001278AF" w14:paraId="7BBDB494" w14:textId="407B3DD6" w:rsidTr="001278AF">
        <w:tblPrEx>
          <w:tblCellMar>
            <w:top w:w="0" w:type="dxa"/>
            <w:bottom w:w="0" w:type="dxa"/>
          </w:tblCellMar>
        </w:tblPrEx>
        <w:trPr>
          <w:trHeight w:val="709"/>
        </w:trPr>
        <w:tc>
          <w:tcPr>
            <w:tcW w:w="4462" w:type="dxa"/>
          </w:tcPr>
          <w:p w14:paraId="25F67A47" w14:textId="0A0A2242"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Profitability</w:t>
            </w:r>
          </w:p>
        </w:tc>
        <w:tc>
          <w:tcPr>
            <w:tcW w:w="5073" w:type="dxa"/>
          </w:tcPr>
          <w:p w14:paraId="530007C5" w14:textId="69CCA81D" w:rsidR="001278AF" w:rsidRPr="00ED1099" w:rsidRDefault="00ED1099" w:rsidP="001278AF">
            <w:pPr>
              <w:jc w:val="both"/>
              <w:rPr>
                <w:rFonts w:ascii="Times New Roman" w:hAnsi="Times New Roman" w:cs="Times New Roman"/>
                <w:sz w:val="24"/>
                <w:szCs w:val="24"/>
              </w:rPr>
            </w:pPr>
            <w:r w:rsidRPr="00ED1099">
              <w:rPr>
                <w:rFonts w:ascii="Times New Roman" w:hAnsi="Times New Roman" w:cs="Times New Roman"/>
                <w:sz w:val="24"/>
                <w:szCs w:val="24"/>
              </w:rPr>
              <w:t>95.1% of institutions were profitable (Q1 2024)</w:t>
            </w:r>
          </w:p>
        </w:tc>
      </w:tr>
      <w:tr w:rsidR="001278AF" w14:paraId="1F04A070" w14:textId="3983BDF2" w:rsidTr="001278AF">
        <w:tblPrEx>
          <w:tblCellMar>
            <w:top w:w="0" w:type="dxa"/>
            <w:bottom w:w="0" w:type="dxa"/>
          </w:tblCellMar>
        </w:tblPrEx>
        <w:trPr>
          <w:trHeight w:val="665"/>
        </w:trPr>
        <w:tc>
          <w:tcPr>
            <w:tcW w:w="4462" w:type="dxa"/>
          </w:tcPr>
          <w:p w14:paraId="32B9DA9E" w14:textId="2F0D4410" w:rsidR="001278AF" w:rsidRDefault="00ED1099" w:rsidP="001278AF">
            <w:pPr>
              <w:jc w:val="both"/>
              <w:rPr>
                <w:rFonts w:ascii="Times New Roman" w:hAnsi="Times New Roman" w:cs="Times New Roman"/>
                <w:b/>
                <w:sz w:val="24"/>
                <w:szCs w:val="24"/>
              </w:rPr>
            </w:pPr>
            <w:r>
              <w:rPr>
                <w:rFonts w:ascii="Times New Roman" w:hAnsi="Times New Roman" w:cs="Times New Roman"/>
                <w:b/>
                <w:sz w:val="24"/>
                <w:szCs w:val="24"/>
              </w:rPr>
              <w:t>Community Reinvestment Act</w:t>
            </w:r>
          </w:p>
        </w:tc>
        <w:tc>
          <w:tcPr>
            <w:tcW w:w="5073" w:type="dxa"/>
          </w:tcPr>
          <w:p w14:paraId="0E1AC063" w14:textId="77777777" w:rsidR="001278AF" w:rsidRDefault="001278AF" w:rsidP="001278AF">
            <w:pPr>
              <w:jc w:val="both"/>
              <w:rPr>
                <w:rFonts w:ascii="Times New Roman" w:hAnsi="Times New Roman" w:cs="Times New Roman"/>
                <w:b/>
                <w:sz w:val="24"/>
                <w:szCs w:val="24"/>
              </w:rPr>
            </w:pPr>
          </w:p>
        </w:tc>
      </w:tr>
      <w:tr w:rsidR="001278AF" w14:paraId="6797CEAC" w14:textId="24557AA3" w:rsidTr="001278AF">
        <w:tblPrEx>
          <w:tblCellMar>
            <w:top w:w="0" w:type="dxa"/>
            <w:bottom w:w="0" w:type="dxa"/>
          </w:tblCellMar>
        </w:tblPrEx>
        <w:trPr>
          <w:trHeight w:val="622"/>
        </w:trPr>
        <w:tc>
          <w:tcPr>
            <w:tcW w:w="4462" w:type="dxa"/>
          </w:tcPr>
          <w:p w14:paraId="7DC41CF5" w14:textId="4FAB1E5D"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CRA Ratings</w:t>
            </w:r>
          </w:p>
        </w:tc>
        <w:tc>
          <w:tcPr>
            <w:tcW w:w="5073" w:type="dxa"/>
          </w:tcPr>
          <w:p w14:paraId="7E4E73F6" w14:textId="5A757E34" w:rsidR="001278AF" w:rsidRPr="00ED1099" w:rsidRDefault="00ED1099" w:rsidP="001278AF">
            <w:pPr>
              <w:jc w:val="both"/>
              <w:rPr>
                <w:rFonts w:ascii="Times New Roman" w:hAnsi="Times New Roman" w:cs="Times New Roman"/>
                <w:sz w:val="24"/>
                <w:szCs w:val="24"/>
              </w:rPr>
            </w:pPr>
            <w:r w:rsidRPr="00ED1099">
              <w:rPr>
                <w:rFonts w:ascii="Times New Roman" w:hAnsi="Times New Roman" w:cs="Times New Roman"/>
                <w:sz w:val="24"/>
                <w:szCs w:val="24"/>
              </w:rPr>
              <w:t>94% of banks rated as Outstanding or Satisfactory</w:t>
            </w:r>
          </w:p>
        </w:tc>
      </w:tr>
      <w:tr w:rsidR="001278AF" w14:paraId="2CEDA5F8" w14:textId="1F9AE07C" w:rsidTr="001278AF">
        <w:tblPrEx>
          <w:tblCellMar>
            <w:top w:w="0" w:type="dxa"/>
            <w:bottom w:w="0" w:type="dxa"/>
          </w:tblCellMar>
        </w:tblPrEx>
        <w:trPr>
          <w:trHeight w:val="796"/>
        </w:trPr>
        <w:tc>
          <w:tcPr>
            <w:tcW w:w="4462" w:type="dxa"/>
          </w:tcPr>
          <w:p w14:paraId="55049C51" w14:textId="699B9933"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CRA Lending</w:t>
            </w:r>
          </w:p>
        </w:tc>
        <w:tc>
          <w:tcPr>
            <w:tcW w:w="5073" w:type="dxa"/>
          </w:tcPr>
          <w:p w14:paraId="13A2A587" w14:textId="6224C40F"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 xml:space="preserve">Over $100 billion in community development </w:t>
            </w:r>
            <w:proofErr w:type="gramStart"/>
            <w:r>
              <w:rPr>
                <w:rFonts w:ascii="Times New Roman" w:hAnsi="Times New Roman" w:cs="Times New Roman"/>
                <w:sz w:val="24"/>
                <w:szCs w:val="24"/>
              </w:rPr>
              <w:t>loans(</w:t>
            </w:r>
            <w:proofErr w:type="gramEnd"/>
            <w:r>
              <w:rPr>
                <w:rFonts w:ascii="Times New Roman" w:hAnsi="Times New Roman" w:cs="Times New Roman"/>
                <w:sz w:val="24"/>
                <w:szCs w:val="24"/>
              </w:rPr>
              <w:t>2022)</w:t>
            </w:r>
          </w:p>
        </w:tc>
      </w:tr>
      <w:tr w:rsidR="001278AF" w14:paraId="04FCE103" w14:textId="3FCDECE1" w:rsidTr="001278AF">
        <w:tblPrEx>
          <w:tblCellMar>
            <w:top w:w="0" w:type="dxa"/>
            <w:bottom w:w="0" w:type="dxa"/>
          </w:tblCellMar>
        </w:tblPrEx>
        <w:trPr>
          <w:trHeight w:val="775"/>
        </w:trPr>
        <w:tc>
          <w:tcPr>
            <w:tcW w:w="4462" w:type="dxa"/>
          </w:tcPr>
          <w:p w14:paraId="3C077413" w14:textId="7D93F19F" w:rsidR="001278AF" w:rsidRDefault="00ED1099" w:rsidP="001278AF">
            <w:pPr>
              <w:jc w:val="both"/>
              <w:rPr>
                <w:rFonts w:ascii="Times New Roman" w:hAnsi="Times New Roman" w:cs="Times New Roman"/>
                <w:b/>
                <w:sz w:val="24"/>
                <w:szCs w:val="24"/>
              </w:rPr>
            </w:pPr>
            <w:r>
              <w:rPr>
                <w:rFonts w:ascii="Times New Roman" w:hAnsi="Times New Roman" w:cs="Times New Roman"/>
                <w:b/>
                <w:sz w:val="24"/>
                <w:szCs w:val="24"/>
              </w:rPr>
              <w:t>Consumer Protection and Financial Inclusion</w:t>
            </w:r>
          </w:p>
        </w:tc>
        <w:tc>
          <w:tcPr>
            <w:tcW w:w="5073" w:type="dxa"/>
          </w:tcPr>
          <w:p w14:paraId="5A053719" w14:textId="77777777" w:rsidR="001278AF" w:rsidRPr="00ED1099" w:rsidRDefault="001278AF" w:rsidP="001278AF">
            <w:pPr>
              <w:jc w:val="both"/>
              <w:rPr>
                <w:rFonts w:ascii="Times New Roman" w:hAnsi="Times New Roman" w:cs="Times New Roman"/>
                <w:sz w:val="24"/>
                <w:szCs w:val="24"/>
              </w:rPr>
            </w:pPr>
          </w:p>
        </w:tc>
      </w:tr>
      <w:tr w:rsidR="001278AF" w14:paraId="2152C93E" w14:textId="0FFF0F17" w:rsidTr="001278AF">
        <w:tblPrEx>
          <w:tblCellMar>
            <w:top w:w="0" w:type="dxa"/>
            <w:bottom w:w="0" w:type="dxa"/>
          </w:tblCellMar>
        </w:tblPrEx>
        <w:trPr>
          <w:trHeight w:val="654"/>
        </w:trPr>
        <w:tc>
          <w:tcPr>
            <w:tcW w:w="4462" w:type="dxa"/>
          </w:tcPr>
          <w:p w14:paraId="5C541913" w14:textId="4554DF8F"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Consumer complaints</w:t>
            </w:r>
          </w:p>
        </w:tc>
        <w:tc>
          <w:tcPr>
            <w:tcW w:w="5073" w:type="dxa"/>
          </w:tcPr>
          <w:p w14:paraId="46F2AD5D" w14:textId="2022D810" w:rsidR="001278AF" w:rsidRPr="007E196D" w:rsidRDefault="007E196D" w:rsidP="001278AF">
            <w:pPr>
              <w:jc w:val="both"/>
              <w:rPr>
                <w:rFonts w:ascii="Times New Roman" w:hAnsi="Times New Roman" w:cs="Times New Roman"/>
                <w:sz w:val="24"/>
                <w:szCs w:val="24"/>
              </w:rPr>
            </w:pPr>
            <w:r w:rsidRPr="007E196D">
              <w:rPr>
                <w:rFonts w:ascii="Times New Roman" w:hAnsi="Times New Roman" w:cs="Times New Roman"/>
                <w:sz w:val="24"/>
                <w:szCs w:val="24"/>
              </w:rPr>
              <w:t>Approx.</w:t>
            </w:r>
            <w:r>
              <w:rPr>
                <w:rFonts w:ascii="Times New Roman" w:hAnsi="Times New Roman" w:cs="Times New Roman"/>
                <w:sz w:val="24"/>
                <w:szCs w:val="24"/>
              </w:rPr>
              <w:t>40,000 complaints handled (2023)</w:t>
            </w:r>
          </w:p>
        </w:tc>
      </w:tr>
      <w:tr w:rsidR="001278AF" w14:paraId="7467D670" w14:textId="27697A90" w:rsidTr="001278AF">
        <w:tblPrEx>
          <w:tblCellMar>
            <w:top w:w="0" w:type="dxa"/>
            <w:bottom w:w="0" w:type="dxa"/>
          </w:tblCellMar>
        </w:tblPrEx>
        <w:trPr>
          <w:trHeight w:val="753"/>
        </w:trPr>
        <w:tc>
          <w:tcPr>
            <w:tcW w:w="4462" w:type="dxa"/>
          </w:tcPr>
          <w:p w14:paraId="778CECDD" w14:textId="2DCA8E4E" w:rsidR="001278AF" w:rsidRPr="00ED1099" w:rsidRDefault="00ED1099" w:rsidP="001278AF">
            <w:pPr>
              <w:jc w:val="both"/>
              <w:rPr>
                <w:rFonts w:ascii="Times New Roman" w:hAnsi="Times New Roman" w:cs="Times New Roman"/>
                <w:sz w:val="24"/>
                <w:szCs w:val="24"/>
              </w:rPr>
            </w:pPr>
            <w:r>
              <w:rPr>
                <w:rFonts w:ascii="Times New Roman" w:hAnsi="Times New Roman" w:cs="Times New Roman"/>
                <w:sz w:val="24"/>
                <w:szCs w:val="24"/>
              </w:rPr>
              <w:t>Financial inclusion</w:t>
            </w:r>
            <w:r w:rsidR="007E196D">
              <w:rPr>
                <w:rFonts w:ascii="Times New Roman" w:hAnsi="Times New Roman" w:cs="Times New Roman"/>
                <w:sz w:val="24"/>
                <w:szCs w:val="24"/>
              </w:rPr>
              <w:t xml:space="preserve"> initiatives</w:t>
            </w:r>
          </w:p>
        </w:tc>
        <w:tc>
          <w:tcPr>
            <w:tcW w:w="5073" w:type="dxa"/>
          </w:tcPr>
          <w:p w14:paraId="148FAF5F" w14:textId="613D70A1"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Project reach to address gaps in credit and capital for minority and underserved communities</w:t>
            </w:r>
          </w:p>
        </w:tc>
      </w:tr>
      <w:tr w:rsidR="001278AF" w14:paraId="6C1D86DA" w14:textId="1F94F212" w:rsidTr="001278AF">
        <w:tblPrEx>
          <w:tblCellMar>
            <w:top w:w="0" w:type="dxa"/>
            <w:bottom w:w="0" w:type="dxa"/>
          </w:tblCellMar>
        </w:tblPrEx>
        <w:trPr>
          <w:trHeight w:val="731"/>
        </w:trPr>
        <w:tc>
          <w:tcPr>
            <w:tcW w:w="4462" w:type="dxa"/>
          </w:tcPr>
          <w:p w14:paraId="1918EBDF" w14:textId="713606A0" w:rsidR="001278AF" w:rsidRDefault="007E196D" w:rsidP="001278AF">
            <w:pPr>
              <w:jc w:val="both"/>
              <w:rPr>
                <w:rFonts w:ascii="Times New Roman" w:hAnsi="Times New Roman" w:cs="Times New Roman"/>
                <w:b/>
                <w:sz w:val="24"/>
                <w:szCs w:val="24"/>
              </w:rPr>
            </w:pPr>
            <w:r>
              <w:rPr>
                <w:rFonts w:ascii="Times New Roman" w:hAnsi="Times New Roman" w:cs="Times New Roman"/>
                <w:b/>
                <w:sz w:val="24"/>
                <w:szCs w:val="24"/>
              </w:rPr>
              <w:t>Technological Innovation and Cybersecurity</w:t>
            </w:r>
          </w:p>
        </w:tc>
        <w:tc>
          <w:tcPr>
            <w:tcW w:w="5073" w:type="dxa"/>
          </w:tcPr>
          <w:p w14:paraId="30175975" w14:textId="77777777" w:rsidR="001278AF" w:rsidRPr="007E196D" w:rsidRDefault="001278AF" w:rsidP="001278AF">
            <w:pPr>
              <w:jc w:val="both"/>
              <w:rPr>
                <w:rFonts w:ascii="Times New Roman" w:hAnsi="Times New Roman" w:cs="Times New Roman"/>
                <w:sz w:val="24"/>
                <w:szCs w:val="24"/>
              </w:rPr>
            </w:pPr>
          </w:p>
        </w:tc>
      </w:tr>
      <w:tr w:rsidR="001278AF" w14:paraId="63176042" w14:textId="0AC0E6EC" w:rsidTr="001278AF">
        <w:tblPrEx>
          <w:tblCellMar>
            <w:top w:w="0" w:type="dxa"/>
            <w:bottom w:w="0" w:type="dxa"/>
          </w:tblCellMar>
        </w:tblPrEx>
        <w:trPr>
          <w:trHeight w:val="753"/>
        </w:trPr>
        <w:tc>
          <w:tcPr>
            <w:tcW w:w="4462" w:type="dxa"/>
          </w:tcPr>
          <w:p w14:paraId="6846116D" w14:textId="3F30AEED"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Fintech Charters</w:t>
            </w:r>
          </w:p>
        </w:tc>
        <w:tc>
          <w:tcPr>
            <w:tcW w:w="5073" w:type="dxa"/>
          </w:tcPr>
          <w:p w14:paraId="2567AC1A" w14:textId="54875504"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Special purpose national banks charters issued to several fintech companies</w:t>
            </w:r>
          </w:p>
        </w:tc>
      </w:tr>
      <w:tr w:rsidR="001278AF" w14:paraId="1E5D8422" w14:textId="289EF5FB" w:rsidTr="001278AF">
        <w:tblPrEx>
          <w:tblCellMar>
            <w:top w:w="0" w:type="dxa"/>
            <w:bottom w:w="0" w:type="dxa"/>
          </w:tblCellMar>
        </w:tblPrEx>
        <w:trPr>
          <w:trHeight w:val="895"/>
        </w:trPr>
        <w:tc>
          <w:tcPr>
            <w:tcW w:w="4462" w:type="dxa"/>
          </w:tcPr>
          <w:p w14:paraId="0201E93D" w14:textId="1210C199"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Cybersecurity guidelines</w:t>
            </w:r>
          </w:p>
        </w:tc>
        <w:tc>
          <w:tcPr>
            <w:tcW w:w="5073" w:type="dxa"/>
          </w:tcPr>
          <w:p w14:paraId="754F6EF4" w14:textId="23D8212E"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Detailed guidelines issued and assessed during examinations</w:t>
            </w:r>
          </w:p>
        </w:tc>
      </w:tr>
      <w:tr w:rsidR="001278AF" w14:paraId="22FACF5C" w14:textId="391D2B15" w:rsidTr="001278AF">
        <w:tblPrEx>
          <w:tblCellMar>
            <w:top w:w="0" w:type="dxa"/>
            <w:bottom w:w="0" w:type="dxa"/>
          </w:tblCellMar>
        </w:tblPrEx>
        <w:trPr>
          <w:trHeight w:val="873"/>
        </w:trPr>
        <w:tc>
          <w:tcPr>
            <w:tcW w:w="4462" w:type="dxa"/>
          </w:tcPr>
          <w:p w14:paraId="725E33EC" w14:textId="76232F61" w:rsidR="001278AF" w:rsidRDefault="007E196D" w:rsidP="001278AF">
            <w:pPr>
              <w:jc w:val="both"/>
              <w:rPr>
                <w:rFonts w:ascii="Times New Roman" w:hAnsi="Times New Roman" w:cs="Times New Roman"/>
                <w:b/>
                <w:sz w:val="24"/>
                <w:szCs w:val="24"/>
              </w:rPr>
            </w:pPr>
            <w:r>
              <w:rPr>
                <w:rFonts w:ascii="Times New Roman" w:hAnsi="Times New Roman" w:cs="Times New Roman"/>
                <w:b/>
                <w:sz w:val="24"/>
                <w:szCs w:val="24"/>
              </w:rPr>
              <w:t>Pandemic Response</w:t>
            </w:r>
          </w:p>
        </w:tc>
        <w:tc>
          <w:tcPr>
            <w:tcW w:w="5073" w:type="dxa"/>
          </w:tcPr>
          <w:p w14:paraId="2F0AA583" w14:textId="77777777" w:rsidR="001278AF" w:rsidRDefault="001278AF" w:rsidP="001278AF">
            <w:pPr>
              <w:jc w:val="both"/>
              <w:rPr>
                <w:rFonts w:ascii="Times New Roman" w:hAnsi="Times New Roman" w:cs="Times New Roman"/>
                <w:b/>
                <w:sz w:val="24"/>
                <w:szCs w:val="24"/>
              </w:rPr>
            </w:pPr>
          </w:p>
        </w:tc>
      </w:tr>
      <w:tr w:rsidR="001278AF" w14:paraId="322B63C8" w14:textId="79AD5B4D" w:rsidTr="001278AF">
        <w:tblPrEx>
          <w:tblCellMar>
            <w:top w:w="0" w:type="dxa"/>
            <w:bottom w:w="0" w:type="dxa"/>
          </w:tblCellMar>
        </w:tblPrEx>
        <w:trPr>
          <w:trHeight w:val="884"/>
        </w:trPr>
        <w:tc>
          <w:tcPr>
            <w:tcW w:w="4462" w:type="dxa"/>
          </w:tcPr>
          <w:p w14:paraId="77B33CAB" w14:textId="48B97B82"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PPP Support</w:t>
            </w:r>
          </w:p>
        </w:tc>
        <w:tc>
          <w:tcPr>
            <w:tcW w:w="5073" w:type="dxa"/>
          </w:tcPr>
          <w:p w14:paraId="0A949EDD" w14:textId="0715900E" w:rsidR="001278AF"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Over $500 billion in PPP loans facilitated by OCC supervised banks during covid-19</w:t>
            </w:r>
          </w:p>
        </w:tc>
      </w:tr>
    </w:tbl>
    <w:p w14:paraId="08BD472C" w14:textId="77777777" w:rsidR="007E196D" w:rsidRDefault="007E196D" w:rsidP="001278AF">
      <w:pPr>
        <w:jc w:val="both"/>
        <w:rPr>
          <w:rFonts w:ascii="Times New Roman" w:hAnsi="Times New Roman" w:cs="Times New Roman"/>
          <w:b/>
          <w:sz w:val="24"/>
          <w:szCs w:val="24"/>
        </w:rPr>
      </w:pPr>
    </w:p>
    <w:tbl>
      <w:tblPr>
        <w:tblW w:w="0" w:type="auto"/>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3"/>
        <w:gridCol w:w="4178"/>
      </w:tblGrid>
      <w:tr w:rsidR="007E196D" w14:paraId="6832CFD6" w14:textId="541DDE24" w:rsidTr="007E196D">
        <w:tblPrEx>
          <w:tblCellMar>
            <w:top w:w="0" w:type="dxa"/>
            <w:bottom w:w="0" w:type="dxa"/>
          </w:tblCellMar>
        </w:tblPrEx>
        <w:trPr>
          <w:trHeight w:val="840"/>
        </w:trPr>
        <w:tc>
          <w:tcPr>
            <w:tcW w:w="4113" w:type="dxa"/>
          </w:tcPr>
          <w:p w14:paraId="61DFF7D0" w14:textId="0DF27FDD" w:rsidR="007E196D"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Loan Modification and Forbearance</w:t>
            </w:r>
          </w:p>
        </w:tc>
        <w:tc>
          <w:tcPr>
            <w:tcW w:w="4178" w:type="dxa"/>
          </w:tcPr>
          <w:p w14:paraId="18DFFED8" w14:textId="4A69EDE0" w:rsidR="007E196D"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 xml:space="preserve">Millions of loan modifications or forbearance granted to </w:t>
            </w:r>
            <w:proofErr w:type="gramStart"/>
            <w:r>
              <w:rPr>
                <w:rFonts w:ascii="Times New Roman" w:hAnsi="Times New Roman" w:cs="Times New Roman"/>
                <w:sz w:val="24"/>
                <w:szCs w:val="24"/>
              </w:rPr>
              <w:t>borrowers(</w:t>
            </w:r>
            <w:proofErr w:type="gramEnd"/>
            <w:r>
              <w:rPr>
                <w:rFonts w:ascii="Times New Roman" w:hAnsi="Times New Roman" w:cs="Times New Roman"/>
                <w:sz w:val="24"/>
                <w:szCs w:val="24"/>
              </w:rPr>
              <w:t>2020)</w:t>
            </w:r>
          </w:p>
        </w:tc>
      </w:tr>
      <w:tr w:rsidR="007E196D" w14:paraId="15C8FF63" w14:textId="6DAFE430" w:rsidTr="007E196D">
        <w:tblPrEx>
          <w:tblCellMar>
            <w:top w:w="0" w:type="dxa"/>
            <w:bottom w:w="0" w:type="dxa"/>
          </w:tblCellMar>
        </w:tblPrEx>
        <w:trPr>
          <w:trHeight w:val="927"/>
        </w:trPr>
        <w:tc>
          <w:tcPr>
            <w:tcW w:w="4113" w:type="dxa"/>
          </w:tcPr>
          <w:p w14:paraId="6A3BDE38" w14:textId="4E9E5453" w:rsidR="007E196D" w:rsidRDefault="007E196D" w:rsidP="001278AF">
            <w:pPr>
              <w:jc w:val="both"/>
              <w:rPr>
                <w:rFonts w:ascii="Times New Roman" w:hAnsi="Times New Roman" w:cs="Times New Roman"/>
                <w:b/>
                <w:sz w:val="24"/>
                <w:szCs w:val="24"/>
              </w:rPr>
            </w:pPr>
            <w:r>
              <w:rPr>
                <w:rFonts w:ascii="Times New Roman" w:hAnsi="Times New Roman" w:cs="Times New Roman"/>
                <w:b/>
                <w:sz w:val="24"/>
                <w:szCs w:val="24"/>
              </w:rPr>
              <w:t>Impact on Economic Growth</w:t>
            </w:r>
          </w:p>
        </w:tc>
        <w:tc>
          <w:tcPr>
            <w:tcW w:w="4178" w:type="dxa"/>
          </w:tcPr>
          <w:p w14:paraId="0FD208A4" w14:textId="77777777" w:rsidR="007E196D" w:rsidRDefault="007E196D" w:rsidP="001278AF">
            <w:pPr>
              <w:jc w:val="both"/>
              <w:rPr>
                <w:rFonts w:ascii="Times New Roman" w:hAnsi="Times New Roman" w:cs="Times New Roman"/>
                <w:b/>
                <w:sz w:val="24"/>
                <w:szCs w:val="24"/>
              </w:rPr>
            </w:pPr>
          </w:p>
        </w:tc>
      </w:tr>
      <w:tr w:rsidR="007E196D" w14:paraId="5E208D21" w14:textId="0F05C956" w:rsidTr="007E196D">
        <w:tblPrEx>
          <w:tblCellMar>
            <w:top w:w="0" w:type="dxa"/>
            <w:bottom w:w="0" w:type="dxa"/>
          </w:tblCellMar>
        </w:tblPrEx>
        <w:trPr>
          <w:trHeight w:val="1036"/>
        </w:trPr>
        <w:tc>
          <w:tcPr>
            <w:tcW w:w="4113" w:type="dxa"/>
          </w:tcPr>
          <w:p w14:paraId="4B177642" w14:textId="463A7916" w:rsidR="007E196D"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Lending and credit Access</w:t>
            </w:r>
          </w:p>
        </w:tc>
        <w:tc>
          <w:tcPr>
            <w:tcW w:w="4178" w:type="dxa"/>
          </w:tcPr>
          <w:p w14:paraId="6C099F50" w14:textId="68DABE3C" w:rsidR="007E196D" w:rsidRPr="00215F3E" w:rsidRDefault="00215F3E" w:rsidP="001278AF">
            <w:pPr>
              <w:jc w:val="both"/>
              <w:rPr>
                <w:rFonts w:ascii="Times New Roman" w:hAnsi="Times New Roman" w:cs="Times New Roman"/>
                <w:sz w:val="24"/>
                <w:szCs w:val="24"/>
              </w:rPr>
            </w:pPr>
            <w:r w:rsidRPr="00215F3E">
              <w:rPr>
                <w:rFonts w:ascii="Times New Roman" w:hAnsi="Times New Roman" w:cs="Times New Roman"/>
                <w:sz w:val="24"/>
                <w:szCs w:val="24"/>
              </w:rPr>
              <w:t>$16.568</w:t>
            </w:r>
            <w:r>
              <w:rPr>
                <w:rFonts w:ascii="Times New Roman" w:hAnsi="Times New Roman" w:cs="Times New Roman"/>
                <w:sz w:val="24"/>
                <w:szCs w:val="24"/>
              </w:rPr>
              <w:t xml:space="preserve"> trillion in total loan extended by OCC supervised </w:t>
            </w:r>
            <w:proofErr w:type="gramStart"/>
            <w:r>
              <w:rPr>
                <w:rFonts w:ascii="Times New Roman" w:hAnsi="Times New Roman" w:cs="Times New Roman"/>
                <w:sz w:val="24"/>
                <w:szCs w:val="24"/>
              </w:rPr>
              <w:t>banks(</w:t>
            </w:r>
            <w:proofErr w:type="gramEnd"/>
            <w:r>
              <w:rPr>
                <w:rFonts w:ascii="Times New Roman" w:hAnsi="Times New Roman" w:cs="Times New Roman"/>
                <w:sz w:val="24"/>
                <w:szCs w:val="24"/>
              </w:rPr>
              <w:t>2023)</w:t>
            </w:r>
          </w:p>
        </w:tc>
      </w:tr>
      <w:tr w:rsidR="007E196D" w14:paraId="596126F0" w14:textId="19716A44" w:rsidTr="007E196D">
        <w:tblPrEx>
          <w:tblCellMar>
            <w:top w:w="0" w:type="dxa"/>
            <w:bottom w:w="0" w:type="dxa"/>
          </w:tblCellMar>
        </w:tblPrEx>
        <w:trPr>
          <w:trHeight w:val="1473"/>
        </w:trPr>
        <w:tc>
          <w:tcPr>
            <w:tcW w:w="4113" w:type="dxa"/>
          </w:tcPr>
          <w:p w14:paraId="387E1E67" w14:textId="17B75737" w:rsidR="007E196D" w:rsidRPr="007E196D" w:rsidRDefault="007E196D" w:rsidP="001278AF">
            <w:pPr>
              <w:jc w:val="both"/>
              <w:rPr>
                <w:rFonts w:ascii="Times New Roman" w:hAnsi="Times New Roman" w:cs="Times New Roman"/>
                <w:sz w:val="24"/>
                <w:szCs w:val="24"/>
              </w:rPr>
            </w:pPr>
            <w:r>
              <w:rPr>
                <w:rFonts w:ascii="Times New Roman" w:hAnsi="Times New Roman" w:cs="Times New Roman"/>
                <w:sz w:val="24"/>
                <w:szCs w:val="24"/>
              </w:rPr>
              <w:t>Small Business Lending</w:t>
            </w:r>
          </w:p>
        </w:tc>
        <w:tc>
          <w:tcPr>
            <w:tcW w:w="4178" w:type="dxa"/>
          </w:tcPr>
          <w:p w14:paraId="2F06735E" w14:textId="50662112" w:rsidR="007E196D" w:rsidRPr="00215F3E" w:rsidRDefault="00215F3E" w:rsidP="001278AF">
            <w:pPr>
              <w:jc w:val="both"/>
              <w:rPr>
                <w:rFonts w:ascii="Times New Roman" w:hAnsi="Times New Roman" w:cs="Times New Roman"/>
                <w:sz w:val="24"/>
                <w:szCs w:val="24"/>
              </w:rPr>
            </w:pPr>
            <w:r w:rsidRPr="00215F3E">
              <w:rPr>
                <w:rFonts w:ascii="Times New Roman" w:hAnsi="Times New Roman" w:cs="Times New Roman"/>
                <w:sz w:val="24"/>
                <w:szCs w:val="24"/>
              </w:rPr>
              <w:t>Over $300 billion in loans provided to small businesses (2022)</w:t>
            </w:r>
          </w:p>
        </w:tc>
      </w:tr>
    </w:tbl>
    <w:p w14:paraId="4C34A3F1" w14:textId="42BBC9EA" w:rsidR="001278AF" w:rsidRPr="00215F3E" w:rsidRDefault="00215F3E" w:rsidP="001278AF">
      <w:pPr>
        <w:jc w:val="both"/>
        <w:rPr>
          <w:rFonts w:ascii="Times New Roman" w:hAnsi="Times New Roman" w:cs="Times New Roman"/>
          <w:sz w:val="24"/>
          <w:szCs w:val="24"/>
        </w:rPr>
      </w:pPr>
      <w:r w:rsidRPr="00215F3E">
        <w:rPr>
          <w:rFonts w:ascii="Times New Roman" w:hAnsi="Times New Roman" w:cs="Times New Roman"/>
          <w:sz w:val="24"/>
          <w:szCs w:val="24"/>
        </w:rPr>
        <w:t>This table summarizes the key statistics related to the OCC’s role and performance in the U.S. banking sector.</w:t>
      </w:r>
      <w:bookmarkStart w:id="0" w:name="_GoBack"/>
      <w:bookmarkEnd w:id="0"/>
    </w:p>
    <w:sectPr w:rsidR="001278AF" w:rsidRPr="00215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C0130"/>
    <w:multiLevelType w:val="multilevel"/>
    <w:tmpl w:val="69C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27AB2"/>
    <w:multiLevelType w:val="multilevel"/>
    <w:tmpl w:val="B47C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36190"/>
    <w:multiLevelType w:val="multilevel"/>
    <w:tmpl w:val="45AC3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1D4405"/>
    <w:multiLevelType w:val="multilevel"/>
    <w:tmpl w:val="840C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9068E"/>
    <w:multiLevelType w:val="multilevel"/>
    <w:tmpl w:val="34E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F6FE0"/>
    <w:multiLevelType w:val="multilevel"/>
    <w:tmpl w:val="429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D41A0"/>
    <w:multiLevelType w:val="multilevel"/>
    <w:tmpl w:val="C408F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34"/>
    <w:rsid w:val="000D6FF0"/>
    <w:rsid w:val="001278AF"/>
    <w:rsid w:val="00196E34"/>
    <w:rsid w:val="00215F3E"/>
    <w:rsid w:val="00324E41"/>
    <w:rsid w:val="007E196D"/>
    <w:rsid w:val="00ED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1CC9"/>
  <w15:chartTrackingRefBased/>
  <w15:docId w15:val="{E0A66F11-68BE-4727-A6C2-4654537D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96E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196E34"/>
  </w:style>
  <w:style w:type="character" w:customStyle="1" w:styleId="highlight-answer">
    <w:name w:val="highlight-answer"/>
    <w:basedOn w:val="DefaultParagraphFont"/>
    <w:rsid w:val="00196E34"/>
  </w:style>
  <w:style w:type="character" w:styleId="Strong">
    <w:name w:val="Strong"/>
    <w:basedOn w:val="DefaultParagraphFont"/>
    <w:uiPriority w:val="22"/>
    <w:qFormat/>
    <w:rsid w:val="00196E34"/>
    <w:rPr>
      <w:b/>
      <w:bCs/>
    </w:rPr>
  </w:style>
  <w:style w:type="character" w:customStyle="1" w:styleId="Heading3Char">
    <w:name w:val="Heading 3 Char"/>
    <w:basedOn w:val="DefaultParagraphFont"/>
    <w:link w:val="Heading3"/>
    <w:uiPriority w:val="9"/>
    <w:rsid w:val="00196E3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441">
      <w:bodyDiv w:val="1"/>
      <w:marLeft w:val="0"/>
      <w:marRight w:val="0"/>
      <w:marTop w:val="0"/>
      <w:marBottom w:val="0"/>
      <w:divBdr>
        <w:top w:val="none" w:sz="0" w:space="0" w:color="auto"/>
        <w:left w:val="none" w:sz="0" w:space="0" w:color="auto"/>
        <w:bottom w:val="none" w:sz="0" w:space="0" w:color="auto"/>
        <w:right w:val="none" w:sz="0" w:space="0" w:color="auto"/>
      </w:divBdr>
    </w:div>
    <w:div w:id="595288263">
      <w:bodyDiv w:val="1"/>
      <w:marLeft w:val="0"/>
      <w:marRight w:val="0"/>
      <w:marTop w:val="0"/>
      <w:marBottom w:val="0"/>
      <w:divBdr>
        <w:top w:val="none" w:sz="0" w:space="0" w:color="auto"/>
        <w:left w:val="none" w:sz="0" w:space="0" w:color="auto"/>
        <w:bottom w:val="none" w:sz="0" w:space="0" w:color="auto"/>
        <w:right w:val="none" w:sz="0" w:space="0" w:color="auto"/>
      </w:divBdr>
    </w:div>
    <w:div w:id="652149576">
      <w:bodyDiv w:val="1"/>
      <w:marLeft w:val="0"/>
      <w:marRight w:val="0"/>
      <w:marTop w:val="0"/>
      <w:marBottom w:val="0"/>
      <w:divBdr>
        <w:top w:val="none" w:sz="0" w:space="0" w:color="auto"/>
        <w:left w:val="none" w:sz="0" w:space="0" w:color="auto"/>
        <w:bottom w:val="none" w:sz="0" w:space="0" w:color="auto"/>
        <w:right w:val="none" w:sz="0" w:space="0" w:color="auto"/>
      </w:divBdr>
    </w:div>
    <w:div w:id="16766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2024-06-11T06:42:00Z</dcterms:created>
  <dcterms:modified xsi:type="dcterms:W3CDTF">2024-06-11T07:28:00Z</dcterms:modified>
</cp:coreProperties>
</file>