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CA84" w14:textId="645373AF" w:rsidR="00F92A00" w:rsidRDefault="0045099F" w:rsidP="0045099F">
      <w:pPr>
        <w:jc w:val="center"/>
        <w:rPr>
          <w:rFonts w:ascii="Times New Roman" w:hAnsi="Times New Roman" w:cs="Times New Roman"/>
          <w:b/>
          <w:sz w:val="24"/>
          <w:szCs w:val="24"/>
        </w:rPr>
      </w:pPr>
      <w:r w:rsidRPr="0045099F">
        <w:rPr>
          <w:rFonts w:ascii="Times New Roman" w:hAnsi="Times New Roman" w:cs="Times New Roman"/>
          <w:b/>
          <w:sz w:val="24"/>
          <w:szCs w:val="24"/>
        </w:rPr>
        <w:t>Securities and Exchange Commission (SEC) regulations in U.S</w:t>
      </w:r>
    </w:p>
    <w:p w14:paraId="7089F3BD" w14:textId="3CEE3BA9" w:rsidR="0045099F" w:rsidRPr="0045099F" w:rsidRDefault="0045099F" w:rsidP="0045099F">
      <w:pPr>
        <w:jc w:val="both"/>
        <w:rPr>
          <w:rFonts w:ascii="Times New Roman" w:hAnsi="Times New Roman" w:cs="Times New Roman"/>
          <w:sz w:val="24"/>
          <w:szCs w:val="24"/>
        </w:rPr>
      </w:pPr>
      <w:r w:rsidRPr="0045099F">
        <w:rPr>
          <w:rFonts w:ascii="Times New Roman" w:hAnsi="Times New Roman" w:cs="Times New Roman"/>
          <w:sz w:val="24"/>
          <w:szCs w:val="24"/>
        </w:rPr>
        <w:t>The Securities and Exchange Commission (SEC) in the United States is responsible for enforcing federal securities laws, proposing securities rules, and regulating the securities industry, the nation's stock and options exchanges, and other related activities and organizations.</w:t>
      </w:r>
    </w:p>
    <w:p w14:paraId="1A45696D" w14:textId="77777777" w:rsidR="0045099F" w:rsidRPr="0045099F" w:rsidRDefault="0045099F" w:rsidP="0045099F">
      <w:pPr>
        <w:spacing w:before="100" w:beforeAutospacing="1" w:after="100" w:afterAutospacing="1" w:line="240" w:lineRule="auto"/>
        <w:outlineLvl w:val="2"/>
        <w:rPr>
          <w:rFonts w:ascii="Times New Roman" w:eastAsia="Times New Roman" w:hAnsi="Times New Roman" w:cs="Times New Roman"/>
          <w:b/>
          <w:bCs/>
          <w:sz w:val="27"/>
          <w:szCs w:val="27"/>
        </w:rPr>
      </w:pPr>
      <w:r w:rsidRPr="0045099F">
        <w:rPr>
          <w:rFonts w:ascii="Times New Roman" w:eastAsia="Times New Roman" w:hAnsi="Times New Roman" w:cs="Times New Roman"/>
          <w:b/>
          <w:bCs/>
          <w:sz w:val="27"/>
          <w:szCs w:val="27"/>
        </w:rPr>
        <w:t>Data Supporting SEC Regulations (2013-2023)</w:t>
      </w:r>
    </w:p>
    <w:p w14:paraId="1FDAABA7" w14:textId="77777777" w:rsidR="00D67649" w:rsidRDefault="00D67649" w:rsidP="0045099F">
      <w:pPr>
        <w:spacing w:before="100" w:beforeAutospacing="1" w:after="100" w:afterAutospacing="1" w:line="240" w:lineRule="auto"/>
        <w:rPr>
          <w:rFonts w:ascii="Times New Roman" w:eastAsia="Times New Roman" w:hAnsi="Times New Roman" w:cs="Times New Roman"/>
          <w:sz w:val="24"/>
          <w:szCs w:val="24"/>
        </w:rPr>
      </w:pPr>
    </w:p>
    <w:p w14:paraId="73EA394F" w14:textId="39F68F0F" w:rsidR="0045099F" w:rsidRPr="0045099F" w:rsidRDefault="0045099F" w:rsidP="0045099F">
      <w:pPr>
        <w:spacing w:before="100" w:beforeAutospacing="1" w:after="100" w:afterAutospacing="1"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The following table summarizes key statistics related to the impact of these regulations over the past 10 years:</w:t>
      </w:r>
    </w:p>
    <w:tbl>
      <w:tblPr>
        <w:tblW w:w="8873" w:type="dxa"/>
        <w:tblCellSpacing w:w="15"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1702"/>
        <w:gridCol w:w="2533"/>
        <w:gridCol w:w="1803"/>
        <w:gridCol w:w="1802"/>
      </w:tblGrid>
      <w:tr w:rsidR="0045099F" w:rsidRPr="0045099F" w14:paraId="7874DF8B" w14:textId="77777777" w:rsidTr="0045099F">
        <w:trPr>
          <w:tblHeader/>
          <w:tblCellSpacing w:w="15" w:type="dxa"/>
        </w:trPr>
        <w:tc>
          <w:tcPr>
            <w:tcW w:w="988" w:type="dxa"/>
            <w:vAlign w:val="center"/>
            <w:hideMark/>
          </w:tcPr>
          <w:p w14:paraId="7BA58D2C" w14:textId="77777777" w:rsidR="0045099F" w:rsidRPr="0045099F" w:rsidRDefault="0045099F" w:rsidP="0045099F">
            <w:pPr>
              <w:spacing w:after="0" w:line="240" w:lineRule="auto"/>
              <w:jc w:val="center"/>
              <w:rPr>
                <w:rFonts w:ascii="Times New Roman" w:eastAsia="Times New Roman" w:hAnsi="Times New Roman" w:cs="Times New Roman"/>
                <w:b/>
                <w:bCs/>
                <w:sz w:val="24"/>
                <w:szCs w:val="24"/>
              </w:rPr>
            </w:pPr>
            <w:r w:rsidRPr="0045099F">
              <w:rPr>
                <w:rFonts w:ascii="Times New Roman" w:eastAsia="Times New Roman" w:hAnsi="Times New Roman" w:cs="Times New Roman"/>
                <w:b/>
                <w:bCs/>
                <w:sz w:val="24"/>
                <w:szCs w:val="24"/>
              </w:rPr>
              <w:t>Year</w:t>
            </w:r>
          </w:p>
        </w:tc>
        <w:tc>
          <w:tcPr>
            <w:tcW w:w="1672" w:type="dxa"/>
            <w:vAlign w:val="center"/>
            <w:hideMark/>
          </w:tcPr>
          <w:p w14:paraId="1925CC65" w14:textId="77777777" w:rsidR="0045099F" w:rsidRPr="0045099F" w:rsidRDefault="0045099F" w:rsidP="0045099F">
            <w:pPr>
              <w:spacing w:after="0" w:line="240" w:lineRule="auto"/>
              <w:jc w:val="center"/>
              <w:rPr>
                <w:rFonts w:ascii="Times New Roman" w:eastAsia="Times New Roman" w:hAnsi="Times New Roman" w:cs="Times New Roman"/>
                <w:b/>
                <w:bCs/>
                <w:sz w:val="24"/>
                <w:szCs w:val="24"/>
              </w:rPr>
            </w:pPr>
            <w:r w:rsidRPr="0045099F">
              <w:rPr>
                <w:rFonts w:ascii="Times New Roman" w:eastAsia="Times New Roman" w:hAnsi="Times New Roman" w:cs="Times New Roman"/>
                <w:b/>
                <w:bCs/>
                <w:sz w:val="24"/>
                <w:szCs w:val="24"/>
              </w:rPr>
              <w:t>IPOs (Number)</w:t>
            </w:r>
          </w:p>
        </w:tc>
        <w:tc>
          <w:tcPr>
            <w:tcW w:w="2503" w:type="dxa"/>
            <w:vAlign w:val="center"/>
            <w:hideMark/>
          </w:tcPr>
          <w:p w14:paraId="5A1EF876" w14:textId="77777777" w:rsidR="0045099F" w:rsidRPr="0045099F" w:rsidRDefault="0045099F" w:rsidP="0045099F">
            <w:pPr>
              <w:spacing w:after="0" w:line="240" w:lineRule="auto"/>
              <w:jc w:val="center"/>
              <w:rPr>
                <w:rFonts w:ascii="Times New Roman" w:eastAsia="Times New Roman" w:hAnsi="Times New Roman" w:cs="Times New Roman"/>
                <w:b/>
                <w:bCs/>
                <w:sz w:val="24"/>
                <w:szCs w:val="24"/>
              </w:rPr>
            </w:pPr>
            <w:r w:rsidRPr="0045099F">
              <w:rPr>
                <w:rFonts w:ascii="Times New Roman" w:eastAsia="Times New Roman" w:hAnsi="Times New Roman" w:cs="Times New Roman"/>
                <w:b/>
                <w:bCs/>
                <w:sz w:val="24"/>
                <w:szCs w:val="24"/>
              </w:rPr>
              <w:t>Whistleblower Awards ($ Million)</w:t>
            </w:r>
          </w:p>
        </w:tc>
        <w:tc>
          <w:tcPr>
            <w:tcW w:w="1773" w:type="dxa"/>
            <w:vAlign w:val="center"/>
            <w:hideMark/>
          </w:tcPr>
          <w:p w14:paraId="712EA26D" w14:textId="77777777" w:rsidR="0045099F" w:rsidRPr="0045099F" w:rsidRDefault="0045099F" w:rsidP="0045099F">
            <w:pPr>
              <w:spacing w:after="0" w:line="240" w:lineRule="auto"/>
              <w:jc w:val="center"/>
              <w:rPr>
                <w:rFonts w:ascii="Times New Roman" w:eastAsia="Times New Roman" w:hAnsi="Times New Roman" w:cs="Times New Roman"/>
                <w:b/>
                <w:bCs/>
                <w:sz w:val="24"/>
                <w:szCs w:val="24"/>
              </w:rPr>
            </w:pPr>
            <w:r w:rsidRPr="0045099F">
              <w:rPr>
                <w:rFonts w:ascii="Times New Roman" w:eastAsia="Times New Roman" w:hAnsi="Times New Roman" w:cs="Times New Roman"/>
                <w:b/>
                <w:bCs/>
                <w:sz w:val="24"/>
                <w:szCs w:val="24"/>
              </w:rPr>
              <w:t>Enforcement Actions</w:t>
            </w:r>
          </w:p>
        </w:tc>
        <w:tc>
          <w:tcPr>
            <w:tcW w:w="1757" w:type="dxa"/>
            <w:vAlign w:val="center"/>
            <w:hideMark/>
          </w:tcPr>
          <w:p w14:paraId="251A2E74" w14:textId="77777777" w:rsidR="0045099F" w:rsidRPr="0045099F" w:rsidRDefault="0045099F" w:rsidP="0045099F">
            <w:pPr>
              <w:spacing w:after="0" w:line="240" w:lineRule="auto"/>
              <w:jc w:val="center"/>
              <w:rPr>
                <w:rFonts w:ascii="Times New Roman" w:eastAsia="Times New Roman" w:hAnsi="Times New Roman" w:cs="Times New Roman"/>
                <w:b/>
                <w:bCs/>
                <w:sz w:val="24"/>
                <w:szCs w:val="24"/>
              </w:rPr>
            </w:pPr>
            <w:r w:rsidRPr="0045099F">
              <w:rPr>
                <w:rFonts w:ascii="Times New Roman" w:eastAsia="Times New Roman" w:hAnsi="Times New Roman" w:cs="Times New Roman"/>
                <w:b/>
                <w:bCs/>
                <w:sz w:val="24"/>
                <w:szCs w:val="24"/>
              </w:rPr>
              <w:t>Total Penalties and Disgorgements ($ Billion)</w:t>
            </w:r>
          </w:p>
        </w:tc>
      </w:tr>
      <w:tr w:rsidR="0045099F" w:rsidRPr="0045099F" w14:paraId="6950F3C2" w14:textId="77777777" w:rsidTr="0045099F">
        <w:trPr>
          <w:tblCellSpacing w:w="15" w:type="dxa"/>
        </w:trPr>
        <w:tc>
          <w:tcPr>
            <w:tcW w:w="988" w:type="dxa"/>
            <w:vAlign w:val="center"/>
            <w:hideMark/>
          </w:tcPr>
          <w:p w14:paraId="36B0DBAC"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2013</w:t>
            </w:r>
          </w:p>
        </w:tc>
        <w:tc>
          <w:tcPr>
            <w:tcW w:w="1672" w:type="dxa"/>
            <w:vAlign w:val="center"/>
            <w:hideMark/>
          </w:tcPr>
          <w:p w14:paraId="39E818D8"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157</w:t>
            </w:r>
          </w:p>
        </w:tc>
        <w:tc>
          <w:tcPr>
            <w:tcW w:w="2503" w:type="dxa"/>
            <w:vAlign w:val="center"/>
            <w:hideMark/>
          </w:tcPr>
          <w:p w14:paraId="180DFBA0"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14</w:t>
            </w:r>
          </w:p>
        </w:tc>
        <w:tc>
          <w:tcPr>
            <w:tcW w:w="1773" w:type="dxa"/>
            <w:vAlign w:val="center"/>
            <w:hideMark/>
          </w:tcPr>
          <w:p w14:paraId="6B7AE4D7"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686</w:t>
            </w:r>
          </w:p>
        </w:tc>
        <w:tc>
          <w:tcPr>
            <w:tcW w:w="1757" w:type="dxa"/>
            <w:vAlign w:val="center"/>
            <w:hideMark/>
          </w:tcPr>
          <w:p w14:paraId="64AA0364"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3.4</w:t>
            </w:r>
          </w:p>
        </w:tc>
      </w:tr>
      <w:tr w:rsidR="0045099F" w:rsidRPr="0045099F" w14:paraId="7FE62F09" w14:textId="77777777" w:rsidTr="0045099F">
        <w:trPr>
          <w:tblCellSpacing w:w="15" w:type="dxa"/>
        </w:trPr>
        <w:tc>
          <w:tcPr>
            <w:tcW w:w="988" w:type="dxa"/>
            <w:vAlign w:val="center"/>
            <w:hideMark/>
          </w:tcPr>
          <w:p w14:paraId="61A450E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2014</w:t>
            </w:r>
          </w:p>
        </w:tc>
        <w:tc>
          <w:tcPr>
            <w:tcW w:w="1672" w:type="dxa"/>
            <w:vAlign w:val="center"/>
            <w:hideMark/>
          </w:tcPr>
          <w:p w14:paraId="77C0E903"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206</w:t>
            </w:r>
          </w:p>
        </w:tc>
        <w:tc>
          <w:tcPr>
            <w:tcW w:w="2503" w:type="dxa"/>
            <w:vAlign w:val="center"/>
            <w:hideMark/>
          </w:tcPr>
          <w:p w14:paraId="3EB8074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32</w:t>
            </w:r>
          </w:p>
        </w:tc>
        <w:tc>
          <w:tcPr>
            <w:tcW w:w="1773" w:type="dxa"/>
            <w:vAlign w:val="center"/>
            <w:hideMark/>
          </w:tcPr>
          <w:p w14:paraId="34FC4447"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755</w:t>
            </w:r>
          </w:p>
        </w:tc>
        <w:tc>
          <w:tcPr>
            <w:tcW w:w="1757" w:type="dxa"/>
            <w:vAlign w:val="center"/>
            <w:hideMark/>
          </w:tcPr>
          <w:p w14:paraId="4CD41994"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4.1</w:t>
            </w:r>
          </w:p>
        </w:tc>
      </w:tr>
      <w:tr w:rsidR="0045099F" w:rsidRPr="0045099F" w14:paraId="238E3D2A" w14:textId="77777777" w:rsidTr="0045099F">
        <w:trPr>
          <w:tblCellSpacing w:w="15" w:type="dxa"/>
        </w:trPr>
        <w:tc>
          <w:tcPr>
            <w:tcW w:w="988" w:type="dxa"/>
            <w:vAlign w:val="center"/>
            <w:hideMark/>
          </w:tcPr>
          <w:p w14:paraId="3CA7582B"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2015</w:t>
            </w:r>
          </w:p>
        </w:tc>
        <w:tc>
          <w:tcPr>
            <w:tcW w:w="1672" w:type="dxa"/>
            <w:vAlign w:val="center"/>
            <w:hideMark/>
          </w:tcPr>
          <w:p w14:paraId="7AEE32AC"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170</w:t>
            </w:r>
          </w:p>
        </w:tc>
        <w:tc>
          <w:tcPr>
            <w:tcW w:w="2503" w:type="dxa"/>
            <w:vAlign w:val="center"/>
            <w:hideMark/>
          </w:tcPr>
          <w:p w14:paraId="1F1AF483"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37</w:t>
            </w:r>
          </w:p>
        </w:tc>
        <w:tc>
          <w:tcPr>
            <w:tcW w:w="1773" w:type="dxa"/>
            <w:vAlign w:val="center"/>
            <w:hideMark/>
          </w:tcPr>
          <w:p w14:paraId="6822FB2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807</w:t>
            </w:r>
          </w:p>
        </w:tc>
        <w:tc>
          <w:tcPr>
            <w:tcW w:w="1757" w:type="dxa"/>
            <w:vAlign w:val="center"/>
            <w:hideMark/>
          </w:tcPr>
          <w:p w14:paraId="210A4F3B"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4.2</w:t>
            </w:r>
          </w:p>
        </w:tc>
      </w:tr>
      <w:tr w:rsidR="0045099F" w:rsidRPr="0045099F" w14:paraId="3E44C253" w14:textId="77777777" w:rsidTr="0045099F">
        <w:trPr>
          <w:tblCellSpacing w:w="15" w:type="dxa"/>
        </w:trPr>
        <w:tc>
          <w:tcPr>
            <w:tcW w:w="988" w:type="dxa"/>
            <w:vAlign w:val="center"/>
            <w:hideMark/>
          </w:tcPr>
          <w:p w14:paraId="22CD269D"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2016</w:t>
            </w:r>
          </w:p>
        </w:tc>
        <w:tc>
          <w:tcPr>
            <w:tcW w:w="1672" w:type="dxa"/>
            <w:vAlign w:val="center"/>
            <w:hideMark/>
          </w:tcPr>
          <w:p w14:paraId="334F0AE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112</w:t>
            </w:r>
          </w:p>
        </w:tc>
        <w:tc>
          <w:tcPr>
            <w:tcW w:w="2503" w:type="dxa"/>
            <w:vAlign w:val="center"/>
            <w:hideMark/>
          </w:tcPr>
          <w:p w14:paraId="7A62571F"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57</w:t>
            </w:r>
          </w:p>
        </w:tc>
        <w:tc>
          <w:tcPr>
            <w:tcW w:w="1773" w:type="dxa"/>
            <w:vAlign w:val="center"/>
            <w:hideMark/>
          </w:tcPr>
          <w:p w14:paraId="29B52F3B"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868</w:t>
            </w:r>
          </w:p>
        </w:tc>
        <w:tc>
          <w:tcPr>
            <w:tcW w:w="1757" w:type="dxa"/>
            <w:vAlign w:val="center"/>
            <w:hideMark/>
          </w:tcPr>
          <w:p w14:paraId="26E1C4B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4.0</w:t>
            </w:r>
          </w:p>
        </w:tc>
      </w:tr>
      <w:tr w:rsidR="0045099F" w:rsidRPr="0045099F" w14:paraId="57FD8F17" w14:textId="77777777" w:rsidTr="0045099F">
        <w:trPr>
          <w:tblCellSpacing w:w="15" w:type="dxa"/>
        </w:trPr>
        <w:tc>
          <w:tcPr>
            <w:tcW w:w="988" w:type="dxa"/>
            <w:vAlign w:val="center"/>
            <w:hideMark/>
          </w:tcPr>
          <w:p w14:paraId="6EDFD12D"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2017</w:t>
            </w:r>
          </w:p>
        </w:tc>
        <w:tc>
          <w:tcPr>
            <w:tcW w:w="1672" w:type="dxa"/>
            <w:vAlign w:val="center"/>
            <w:hideMark/>
          </w:tcPr>
          <w:p w14:paraId="1B68A230"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160</w:t>
            </w:r>
          </w:p>
        </w:tc>
        <w:tc>
          <w:tcPr>
            <w:tcW w:w="2503" w:type="dxa"/>
            <w:vAlign w:val="center"/>
            <w:hideMark/>
          </w:tcPr>
          <w:p w14:paraId="1822C236"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50</w:t>
            </w:r>
          </w:p>
        </w:tc>
        <w:tc>
          <w:tcPr>
            <w:tcW w:w="1773" w:type="dxa"/>
            <w:vAlign w:val="center"/>
            <w:hideMark/>
          </w:tcPr>
          <w:p w14:paraId="088162FE"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754</w:t>
            </w:r>
          </w:p>
        </w:tc>
        <w:tc>
          <w:tcPr>
            <w:tcW w:w="1757" w:type="dxa"/>
            <w:vAlign w:val="center"/>
            <w:hideMark/>
          </w:tcPr>
          <w:p w14:paraId="66BF67CA"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3.8</w:t>
            </w:r>
          </w:p>
        </w:tc>
      </w:tr>
      <w:tr w:rsidR="0045099F" w:rsidRPr="0045099F" w14:paraId="3FC5A1DA" w14:textId="77777777" w:rsidTr="0045099F">
        <w:trPr>
          <w:tblCellSpacing w:w="15" w:type="dxa"/>
        </w:trPr>
        <w:tc>
          <w:tcPr>
            <w:tcW w:w="988" w:type="dxa"/>
            <w:vAlign w:val="center"/>
            <w:hideMark/>
          </w:tcPr>
          <w:p w14:paraId="356755F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2018</w:t>
            </w:r>
          </w:p>
        </w:tc>
        <w:tc>
          <w:tcPr>
            <w:tcW w:w="1672" w:type="dxa"/>
            <w:vAlign w:val="center"/>
            <w:hideMark/>
          </w:tcPr>
          <w:p w14:paraId="585A0B85"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190</w:t>
            </w:r>
          </w:p>
        </w:tc>
        <w:tc>
          <w:tcPr>
            <w:tcW w:w="2503" w:type="dxa"/>
            <w:vAlign w:val="center"/>
            <w:hideMark/>
          </w:tcPr>
          <w:p w14:paraId="1178D3E5"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168</w:t>
            </w:r>
          </w:p>
        </w:tc>
        <w:tc>
          <w:tcPr>
            <w:tcW w:w="1773" w:type="dxa"/>
            <w:vAlign w:val="center"/>
            <w:hideMark/>
          </w:tcPr>
          <w:p w14:paraId="6365C537"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821</w:t>
            </w:r>
          </w:p>
        </w:tc>
        <w:tc>
          <w:tcPr>
            <w:tcW w:w="1757" w:type="dxa"/>
            <w:vAlign w:val="center"/>
            <w:hideMark/>
          </w:tcPr>
          <w:p w14:paraId="524BC4B1"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3.9</w:t>
            </w:r>
          </w:p>
        </w:tc>
      </w:tr>
      <w:tr w:rsidR="0045099F" w:rsidRPr="0045099F" w14:paraId="11051C08" w14:textId="77777777" w:rsidTr="0045099F">
        <w:trPr>
          <w:tblCellSpacing w:w="15" w:type="dxa"/>
        </w:trPr>
        <w:tc>
          <w:tcPr>
            <w:tcW w:w="988" w:type="dxa"/>
            <w:vAlign w:val="center"/>
            <w:hideMark/>
          </w:tcPr>
          <w:p w14:paraId="1BDF0316"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2019</w:t>
            </w:r>
          </w:p>
        </w:tc>
        <w:tc>
          <w:tcPr>
            <w:tcW w:w="1672" w:type="dxa"/>
            <w:vAlign w:val="center"/>
            <w:hideMark/>
          </w:tcPr>
          <w:p w14:paraId="55862321"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213</w:t>
            </w:r>
          </w:p>
        </w:tc>
        <w:tc>
          <w:tcPr>
            <w:tcW w:w="2503" w:type="dxa"/>
            <w:vAlign w:val="center"/>
            <w:hideMark/>
          </w:tcPr>
          <w:p w14:paraId="15FE956A"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387</w:t>
            </w:r>
          </w:p>
        </w:tc>
        <w:tc>
          <w:tcPr>
            <w:tcW w:w="1773" w:type="dxa"/>
            <w:vAlign w:val="center"/>
            <w:hideMark/>
          </w:tcPr>
          <w:p w14:paraId="62B6B09D"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862</w:t>
            </w:r>
          </w:p>
        </w:tc>
        <w:tc>
          <w:tcPr>
            <w:tcW w:w="1757" w:type="dxa"/>
            <w:vAlign w:val="center"/>
            <w:hideMark/>
          </w:tcPr>
          <w:p w14:paraId="15A25E37"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4.3</w:t>
            </w:r>
          </w:p>
        </w:tc>
      </w:tr>
      <w:tr w:rsidR="0045099F" w:rsidRPr="0045099F" w14:paraId="381C2C18" w14:textId="77777777" w:rsidTr="0045099F">
        <w:trPr>
          <w:tblCellSpacing w:w="15" w:type="dxa"/>
        </w:trPr>
        <w:tc>
          <w:tcPr>
            <w:tcW w:w="988" w:type="dxa"/>
            <w:vAlign w:val="center"/>
            <w:hideMark/>
          </w:tcPr>
          <w:p w14:paraId="0C110D4A"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2020</w:t>
            </w:r>
          </w:p>
        </w:tc>
        <w:tc>
          <w:tcPr>
            <w:tcW w:w="1672" w:type="dxa"/>
            <w:vAlign w:val="center"/>
            <w:hideMark/>
          </w:tcPr>
          <w:p w14:paraId="05379412"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218</w:t>
            </w:r>
          </w:p>
        </w:tc>
        <w:tc>
          <w:tcPr>
            <w:tcW w:w="2503" w:type="dxa"/>
            <w:vAlign w:val="center"/>
            <w:hideMark/>
          </w:tcPr>
          <w:p w14:paraId="40383541"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175</w:t>
            </w:r>
          </w:p>
        </w:tc>
        <w:tc>
          <w:tcPr>
            <w:tcW w:w="1773" w:type="dxa"/>
            <w:vAlign w:val="center"/>
            <w:hideMark/>
          </w:tcPr>
          <w:p w14:paraId="475FD9BA"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715</w:t>
            </w:r>
          </w:p>
        </w:tc>
        <w:tc>
          <w:tcPr>
            <w:tcW w:w="1757" w:type="dxa"/>
            <w:vAlign w:val="center"/>
            <w:hideMark/>
          </w:tcPr>
          <w:p w14:paraId="4330899D"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4.7</w:t>
            </w:r>
          </w:p>
        </w:tc>
      </w:tr>
      <w:tr w:rsidR="0045099F" w:rsidRPr="0045099F" w14:paraId="1A7307F1" w14:textId="77777777" w:rsidTr="0045099F">
        <w:trPr>
          <w:tblCellSpacing w:w="15" w:type="dxa"/>
        </w:trPr>
        <w:tc>
          <w:tcPr>
            <w:tcW w:w="988" w:type="dxa"/>
            <w:vAlign w:val="center"/>
            <w:hideMark/>
          </w:tcPr>
          <w:p w14:paraId="2BD46950"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2021</w:t>
            </w:r>
          </w:p>
        </w:tc>
        <w:tc>
          <w:tcPr>
            <w:tcW w:w="1672" w:type="dxa"/>
            <w:vAlign w:val="center"/>
            <w:hideMark/>
          </w:tcPr>
          <w:p w14:paraId="0ED8FEAD"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1032</w:t>
            </w:r>
          </w:p>
        </w:tc>
        <w:tc>
          <w:tcPr>
            <w:tcW w:w="2503" w:type="dxa"/>
            <w:vAlign w:val="center"/>
            <w:hideMark/>
          </w:tcPr>
          <w:p w14:paraId="35AEF9CE"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564</w:t>
            </w:r>
          </w:p>
        </w:tc>
        <w:tc>
          <w:tcPr>
            <w:tcW w:w="1773" w:type="dxa"/>
            <w:vAlign w:val="center"/>
            <w:hideMark/>
          </w:tcPr>
          <w:p w14:paraId="14B22E34"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697</w:t>
            </w:r>
          </w:p>
        </w:tc>
        <w:tc>
          <w:tcPr>
            <w:tcW w:w="1757" w:type="dxa"/>
            <w:vAlign w:val="center"/>
            <w:hideMark/>
          </w:tcPr>
          <w:p w14:paraId="12A3369E"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3.9</w:t>
            </w:r>
          </w:p>
        </w:tc>
      </w:tr>
      <w:tr w:rsidR="0045099F" w:rsidRPr="0045099F" w14:paraId="4752BEE2" w14:textId="77777777" w:rsidTr="0045099F">
        <w:trPr>
          <w:tblCellSpacing w:w="15" w:type="dxa"/>
        </w:trPr>
        <w:tc>
          <w:tcPr>
            <w:tcW w:w="988" w:type="dxa"/>
            <w:vAlign w:val="center"/>
            <w:hideMark/>
          </w:tcPr>
          <w:p w14:paraId="4A047966"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2022</w:t>
            </w:r>
          </w:p>
        </w:tc>
        <w:tc>
          <w:tcPr>
            <w:tcW w:w="1672" w:type="dxa"/>
            <w:vAlign w:val="center"/>
            <w:hideMark/>
          </w:tcPr>
          <w:p w14:paraId="28B21785"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181</w:t>
            </w:r>
          </w:p>
        </w:tc>
        <w:tc>
          <w:tcPr>
            <w:tcW w:w="2503" w:type="dxa"/>
            <w:vAlign w:val="center"/>
            <w:hideMark/>
          </w:tcPr>
          <w:p w14:paraId="533D1E82"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229</w:t>
            </w:r>
          </w:p>
        </w:tc>
        <w:tc>
          <w:tcPr>
            <w:tcW w:w="1773" w:type="dxa"/>
            <w:vAlign w:val="center"/>
            <w:hideMark/>
          </w:tcPr>
          <w:p w14:paraId="6AC84F38"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760</w:t>
            </w:r>
          </w:p>
        </w:tc>
        <w:tc>
          <w:tcPr>
            <w:tcW w:w="1757" w:type="dxa"/>
            <w:vAlign w:val="center"/>
            <w:hideMark/>
          </w:tcPr>
          <w:p w14:paraId="21940A10"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4.2</w:t>
            </w:r>
          </w:p>
        </w:tc>
      </w:tr>
      <w:tr w:rsidR="0045099F" w:rsidRPr="0045099F" w14:paraId="346979E3" w14:textId="77777777" w:rsidTr="0045099F">
        <w:trPr>
          <w:tblCellSpacing w:w="15" w:type="dxa"/>
        </w:trPr>
        <w:tc>
          <w:tcPr>
            <w:tcW w:w="988" w:type="dxa"/>
            <w:vAlign w:val="center"/>
            <w:hideMark/>
          </w:tcPr>
          <w:p w14:paraId="4C71D159"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2023</w:t>
            </w:r>
          </w:p>
        </w:tc>
        <w:tc>
          <w:tcPr>
            <w:tcW w:w="1672" w:type="dxa"/>
            <w:vAlign w:val="center"/>
            <w:hideMark/>
          </w:tcPr>
          <w:p w14:paraId="457916BA"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192</w:t>
            </w:r>
          </w:p>
        </w:tc>
        <w:tc>
          <w:tcPr>
            <w:tcW w:w="2503" w:type="dxa"/>
            <w:vAlign w:val="center"/>
            <w:hideMark/>
          </w:tcPr>
          <w:p w14:paraId="5169BDC7"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374</w:t>
            </w:r>
          </w:p>
        </w:tc>
        <w:tc>
          <w:tcPr>
            <w:tcW w:w="1773" w:type="dxa"/>
            <w:vAlign w:val="center"/>
            <w:hideMark/>
          </w:tcPr>
          <w:p w14:paraId="60A25DD2"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820</w:t>
            </w:r>
          </w:p>
        </w:tc>
        <w:tc>
          <w:tcPr>
            <w:tcW w:w="1757" w:type="dxa"/>
            <w:vAlign w:val="center"/>
            <w:hideMark/>
          </w:tcPr>
          <w:p w14:paraId="4FF63C05" w14:textId="77777777" w:rsidR="0045099F" w:rsidRPr="0045099F" w:rsidRDefault="0045099F" w:rsidP="0045099F">
            <w:pPr>
              <w:spacing w:after="0" w:line="240" w:lineRule="auto"/>
              <w:rPr>
                <w:rFonts w:ascii="Times New Roman" w:eastAsia="Times New Roman" w:hAnsi="Times New Roman" w:cs="Times New Roman"/>
                <w:sz w:val="24"/>
                <w:szCs w:val="24"/>
              </w:rPr>
            </w:pPr>
            <w:r w:rsidRPr="0045099F">
              <w:rPr>
                <w:rFonts w:ascii="Times New Roman" w:eastAsia="Times New Roman" w:hAnsi="Times New Roman" w:cs="Times New Roman"/>
                <w:sz w:val="24"/>
                <w:szCs w:val="24"/>
              </w:rPr>
              <w:t>4.5</w:t>
            </w:r>
          </w:p>
        </w:tc>
      </w:tr>
    </w:tbl>
    <w:p w14:paraId="3BC6D548" w14:textId="77777777" w:rsidR="00D67649" w:rsidRDefault="00D67649" w:rsidP="0045099F">
      <w:pPr>
        <w:jc w:val="both"/>
        <w:rPr>
          <w:rFonts w:ascii="Times New Roman" w:hAnsi="Times New Roman" w:cs="Times New Roman"/>
          <w:b/>
          <w:sz w:val="24"/>
          <w:szCs w:val="24"/>
        </w:rPr>
      </w:pPr>
    </w:p>
    <w:p w14:paraId="1870D24C" w14:textId="77777777" w:rsidR="00D67649" w:rsidRDefault="00D67649" w:rsidP="0045099F">
      <w:pPr>
        <w:jc w:val="both"/>
        <w:rPr>
          <w:rFonts w:ascii="Times New Roman" w:hAnsi="Times New Roman" w:cs="Times New Roman"/>
          <w:b/>
          <w:sz w:val="24"/>
          <w:szCs w:val="24"/>
        </w:rPr>
      </w:pPr>
    </w:p>
    <w:p w14:paraId="31494A1D" w14:textId="77777777" w:rsidR="00D67649" w:rsidRDefault="00D67649" w:rsidP="0045099F">
      <w:pPr>
        <w:jc w:val="both"/>
        <w:rPr>
          <w:rFonts w:ascii="Times New Roman" w:hAnsi="Times New Roman" w:cs="Times New Roman"/>
          <w:b/>
          <w:sz w:val="24"/>
          <w:szCs w:val="24"/>
        </w:rPr>
      </w:pPr>
    </w:p>
    <w:p w14:paraId="7D926AFB" w14:textId="77777777" w:rsidR="00D67649" w:rsidRDefault="00D67649" w:rsidP="0045099F">
      <w:pPr>
        <w:jc w:val="both"/>
        <w:rPr>
          <w:rFonts w:ascii="Times New Roman" w:hAnsi="Times New Roman" w:cs="Times New Roman"/>
          <w:b/>
          <w:sz w:val="24"/>
          <w:szCs w:val="24"/>
        </w:rPr>
      </w:pPr>
    </w:p>
    <w:p w14:paraId="45577279" w14:textId="77777777" w:rsidR="00D67649" w:rsidRDefault="00D67649" w:rsidP="0045099F">
      <w:pPr>
        <w:jc w:val="both"/>
        <w:rPr>
          <w:rFonts w:ascii="Times New Roman" w:hAnsi="Times New Roman" w:cs="Times New Roman"/>
          <w:b/>
          <w:sz w:val="24"/>
          <w:szCs w:val="24"/>
        </w:rPr>
      </w:pPr>
    </w:p>
    <w:p w14:paraId="1B4DAE22" w14:textId="77777777" w:rsidR="00D67649" w:rsidRDefault="00D67649" w:rsidP="0045099F">
      <w:pPr>
        <w:jc w:val="both"/>
        <w:rPr>
          <w:rFonts w:ascii="Times New Roman" w:hAnsi="Times New Roman" w:cs="Times New Roman"/>
          <w:b/>
          <w:sz w:val="24"/>
          <w:szCs w:val="24"/>
        </w:rPr>
      </w:pPr>
    </w:p>
    <w:p w14:paraId="307830D8" w14:textId="77777777" w:rsidR="00D67649" w:rsidRDefault="00D67649" w:rsidP="0045099F">
      <w:pPr>
        <w:jc w:val="both"/>
        <w:rPr>
          <w:rFonts w:ascii="Times New Roman" w:hAnsi="Times New Roman" w:cs="Times New Roman"/>
          <w:b/>
          <w:sz w:val="24"/>
          <w:szCs w:val="24"/>
        </w:rPr>
      </w:pPr>
    </w:p>
    <w:p w14:paraId="487BC934" w14:textId="77777777" w:rsidR="00D67649" w:rsidRDefault="00D67649" w:rsidP="0045099F">
      <w:pPr>
        <w:jc w:val="both"/>
        <w:rPr>
          <w:rFonts w:ascii="Times New Roman" w:hAnsi="Times New Roman" w:cs="Times New Roman"/>
          <w:b/>
          <w:sz w:val="24"/>
          <w:szCs w:val="24"/>
        </w:rPr>
      </w:pPr>
    </w:p>
    <w:p w14:paraId="435D1636" w14:textId="77777777" w:rsidR="00D67649" w:rsidRDefault="00D67649" w:rsidP="0045099F">
      <w:pPr>
        <w:jc w:val="both"/>
        <w:rPr>
          <w:rFonts w:ascii="Times New Roman" w:hAnsi="Times New Roman" w:cs="Times New Roman"/>
          <w:b/>
          <w:sz w:val="24"/>
          <w:szCs w:val="24"/>
        </w:rPr>
      </w:pPr>
    </w:p>
    <w:p w14:paraId="164F9C1C" w14:textId="77777777" w:rsidR="00D67649" w:rsidRDefault="00D67649" w:rsidP="0045099F">
      <w:pPr>
        <w:jc w:val="both"/>
        <w:rPr>
          <w:rFonts w:ascii="Times New Roman" w:hAnsi="Times New Roman" w:cs="Times New Roman"/>
          <w:b/>
          <w:sz w:val="24"/>
          <w:szCs w:val="24"/>
        </w:rPr>
      </w:pPr>
    </w:p>
    <w:p w14:paraId="3ABEB206" w14:textId="6529F958" w:rsidR="0045099F" w:rsidRDefault="0045099F" w:rsidP="0045099F">
      <w:pPr>
        <w:jc w:val="both"/>
        <w:rPr>
          <w:rFonts w:ascii="Times New Roman" w:hAnsi="Times New Roman" w:cs="Times New Roman"/>
          <w:b/>
          <w:sz w:val="24"/>
          <w:szCs w:val="24"/>
        </w:rPr>
      </w:pPr>
      <w:r>
        <w:rPr>
          <w:rFonts w:ascii="Times New Roman" w:hAnsi="Times New Roman" w:cs="Times New Roman"/>
          <w:b/>
          <w:sz w:val="24"/>
          <w:szCs w:val="24"/>
        </w:rPr>
        <w:t>Graphical Representation of data</w:t>
      </w:r>
    </w:p>
    <w:p w14:paraId="6D98977E" w14:textId="6A089251" w:rsidR="0045099F" w:rsidRDefault="00D67649" w:rsidP="0045099F">
      <w:pPr>
        <w:jc w:val="both"/>
        <w:rPr>
          <w:rFonts w:ascii="Times New Roman" w:hAnsi="Times New Roman" w:cs="Times New Roman"/>
          <w:b/>
          <w:sz w:val="24"/>
          <w:szCs w:val="24"/>
        </w:rPr>
      </w:pPr>
      <w:r>
        <w:rPr>
          <w:noProof/>
        </w:rPr>
        <w:drawing>
          <wp:inline distT="0" distB="0" distL="0" distR="0" wp14:anchorId="1B0215CA" wp14:editId="303D34D7">
            <wp:extent cx="5486400" cy="2773680"/>
            <wp:effectExtent l="0" t="0" r="0" b="7620"/>
            <wp:docPr id="1" name="Chart 1">
              <a:extLst xmlns:a="http://schemas.openxmlformats.org/drawingml/2006/main">
                <a:ext uri="{FF2B5EF4-FFF2-40B4-BE49-F238E27FC236}">
                  <a16:creationId xmlns:a16="http://schemas.microsoft.com/office/drawing/2014/main" id="{8E84C8D9-84C4-46A6-8898-4717AC925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E2278F" w14:textId="301475A3" w:rsidR="00D67649" w:rsidRDefault="00D67649" w:rsidP="0045099F">
      <w:pPr>
        <w:jc w:val="both"/>
        <w:rPr>
          <w:rFonts w:ascii="Times New Roman" w:hAnsi="Times New Roman" w:cs="Times New Roman"/>
          <w:b/>
          <w:sz w:val="24"/>
          <w:szCs w:val="24"/>
        </w:rPr>
      </w:pPr>
    </w:p>
    <w:p w14:paraId="1BF1BC25" w14:textId="4B0D7A1A" w:rsidR="00D67649" w:rsidRPr="00D67649" w:rsidRDefault="00D67649" w:rsidP="0045099F">
      <w:pPr>
        <w:jc w:val="both"/>
        <w:rPr>
          <w:rFonts w:ascii="Times New Roman" w:hAnsi="Times New Roman" w:cs="Times New Roman"/>
          <w:b/>
          <w:sz w:val="24"/>
          <w:szCs w:val="24"/>
        </w:rPr>
      </w:pPr>
      <w:r>
        <w:rPr>
          <w:rFonts w:ascii="Times New Roman" w:hAnsi="Times New Roman" w:cs="Times New Roman"/>
          <w:b/>
          <w:sz w:val="24"/>
          <w:szCs w:val="24"/>
        </w:rPr>
        <w:t>Interpretation of data</w:t>
      </w:r>
    </w:p>
    <w:p w14:paraId="7B805C7B" w14:textId="77777777" w:rsidR="00D67649" w:rsidRPr="00D67649" w:rsidRDefault="00D67649" w:rsidP="00D67649">
      <w:pPr>
        <w:pStyle w:val="Heading4"/>
        <w:rPr>
          <w:rFonts w:ascii="Times New Roman" w:hAnsi="Times New Roman" w:cs="Times New Roman"/>
          <w:i w:val="0"/>
          <w:color w:val="000000" w:themeColor="text1"/>
          <w:sz w:val="24"/>
          <w:szCs w:val="24"/>
        </w:rPr>
      </w:pPr>
      <w:r w:rsidRPr="00D67649">
        <w:rPr>
          <w:i w:val="0"/>
        </w:rPr>
        <w:t xml:space="preserve">. </w:t>
      </w:r>
      <w:r w:rsidRPr="00D67649">
        <w:rPr>
          <w:rStyle w:val="Strong"/>
          <w:rFonts w:ascii="Times New Roman" w:hAnsi="Times New Roman" w:cs="Times New Roman"/>
          <w:b w:val="0"/>
          <w:bCs w:val="0"/>
          <w:i w:val="0"/>
          <w:color w:val="000000" w:themeColor="text1"/>
          <w:sz w:val="24"/>
          <w:szCs w:val="24"/>
        </w:rPr>
        <w:t>IPOs (Number)</w:t>
      </w:r>
    </w:p>
    <w:p w14:paraId="0668DFAF" w14:textId="77777777" w:rsidR="00D67649" w:rsidRPr="00D67649" w:rsidRDefault="00D67649" w:rsidP="00D67649">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Definition:</w:t>
      </w:r>
      <w:r w:rsidRPr="00D67649">
        <w:rPr>
          <w:rFonts w:ascii="Times New Roman" w:hAnsi="Times New Roman" w:cs="Times New Roman"/>
          <w:color w:val="000000" w:themeColor="text1"/>
          <w:sz w:val="24"/>
          <w:szCs w:val="24"/>
        </w:rPr>
        <w:t xml:space="preserve"> The number of Initial Public Offerings each year.</w:t>
      </w:r>
    </w:p>
    <w:p w14:paraId="0059FFF0" w14:textId="77777777" w:rsidR="00D67649" w:rsidRPr="00D67649" w:rsidRDefault="00D67649" w:rsidP="00D67649">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Trend:</w:t>
      </w:r>
      <w:r w:rsidRPr="00D67649">
        <w:rPr>
          <w:rFonts w:ascii="Times New Roman" w:hAnsi="Times New Roman" w:cs="Times New Roman"/>
          <w:color w:val="000000" w:themeColor="text1"/>
          <w:sz w:val="24"/>
          <w:szCs w:val="24"/>
        </w:rPr>
        <w:t xml:space="preserve"> There is a notable surge in IPOs in 2021, reaching 1032, which is significantly higher than in other years. This could be attributed to favorable market conditions, supportive regulatory changes, and possibly a post-pandemic economic rebound.</w:t>
      </w:r>
    </w:p>
    <w:p w14:paraId="17BC58FB" w14:textId="77777777" w:rsidR="00D67649" w:rsidRPr="00D67649" w:rsidRDefault="00D67649" w:rsidP="00D67649">
      <w:pPr>
        <w:pStyle w:val="Heading4"/>
        <w:rPr>
          <w:rFonts w:ascii="Times New Roman" w:hAnsi="Times New Roman" w:cs="Times New Roman"/>
          <w:i w:val="0"/>
          <w:color w:val="000000" w:themeColor="text1"/>
          <w:sz w:val="24"/>
          <w:szCs w:val="24"/>
        </w:rPr>
      </w:pPr>
      <w:r w:rsidRPr="00D67649">
        <w:rPr>
          <w:rFonts w:ascii="Times New Roman" w:hAnsi="Times New Roman" w:cs="Times New Roman"/>
          <w:i w:val="0"/>
          <w:color w:val="000000" w:themeColor="text1"/>
          <w:sz w:val="24"/>
          <w:szCs w:val="24"/>
        </w:rPr>
        <w:t xml:space="preserve">2. </w:t>
      </w:r>
      <w:r w:rsidRPr="00D67649">
        <w:rPr>
          <w:rStyle w:val="Strong"/>
          <w:rFonts w:ascii="Times New Roman" w:hAnsi="Times New Roman" w:cs="Times New Roman"/>
          <w:b w:val="0"/>
          <w:bCs w:val="0"/>
          <w:i w:val="0"/>
          <w:color w:val="000000" w:themeColor="text1"/>
          <w:sz w:val="24"/>
          <w:szCs w:val="24"/>
        </w:rPr>
        <w:t>Whistleblower Awards ($ Million)</w:t>
      </w:r>
    </w:p>
    <w:p w14:paraId="2FAE50E7" w14:textId="77777777" w:rsidR="00D67649" w:rsidRPr="00D67649" w:rsidRDefault="00D67649" w:rsidP="00D67649">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Definition:</w:t>
      </w:r>
      <w:r w:rsidRPr="00D67649">
        <w:rPr>
          <w:rFonts w:ascii="Times New Roman" w:hAnsi="Times New Roman" w:cs="Times New Roman"/>
          <w:color w:val="000000" w:themeColor="text1"/>
          <w:sz w:val="24"/>
          <w:szCs w:val="24"/>
        </w:rPr>
        <w:t xml:space="preserve"> The total value of awards given to whistleblowers each year.</w:t>
      </w:r>
    </w:p>
    <w:p w14:paraId="4D628D35" w14:textId="77777777" w:rsidR="00D67649" w:rsidRPr="00D67649" w:rsidRDefault="00D67649" w:rsidP="00D67649">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Trend:</w:t>
      </w:r>
      <w:r w:rsidRPr="00D67649">
        <w:rPr>
          <w:rFonts w:ascii="Times New Roman" w:hAnsi="Times New Roman" w:cs="Times New Roman"/>
          <w:color w:val="000000" w:themeColor="text1"/>
          <w:sz w:val="24"/>
          <w:szCs w:val="24"/>
        </w:rPr>
        <w:t xml:space="preserve"> The value of whistleblower awards has seen a dramatic increase over the years, particularly peaking at $564 million in 2021. This trend indicates the growing effectiveness and reliance on the SEC’s whistleblower program to uncover securities law violations, leading to significant payouts as incentives.</w:t>
      </w:r>
    </w:p>
    <w:p w14:paraId="58D00DC2" w14:textId="77777777" w:rsidR="00D67649" w:rsidRPr="00D67649" w:rsidRDefault="00D67649" w:rsidP="00D67649">
      <w:pPr>
        <w:pStyle w:val="Heading4"/>
        <w:rPr>
          <w:rFonts w:ascii="Times New Roman" w:hAnsi="Times New Roman" w:cs="Times New Roman"/>
          <w:i w:val="0"/>
          <w:color w:val="000000" w:themeColor="text1"/>
          <w:sz w:val="24"/>
          <w:szCs w:val="24"/>
        </w:rPr>
      </w:pPr>
      <w:r w:rsidRPr="00D67649">
        <w:rPr>
          <w:rFonts w:ascii="Times New Roman" w:hAnsi="Times New Roman" w:cs="Times New Roman"/>
          <w:i w:val="0"/>
          <w:color w:val="000000" w:themeColor="text1"/>
          <w:sz w:val="24"/>
          <w:szCs w:val="24"/>
        </w:rPr>
        <w:t xml:space="preserve">3. </w:t>
      </w:r>
      <w:r w:rsidRPr="00D67649">
        <w:rPr>
          <w:rStyle w:val="Strong"/>
          <w:rFonts w:ascii="Times New Roman" w:hAnsi="Times New Roman" w:cs="Times New Roman"/>
          <w:b w:val="0"/>
          <w:bCs w:val="0"/>
          <w:i w:val="0"/>
          <w:color w:val="000000" w:themeColor="text1"/>
          <w:sz w:val="24"/>
          <w:szCs w:val="24"/>
        </w:rPr>
        <w:t>Enforcement Actions</w:t>
      </w:r>
    </w:p>
    <w:p w14:paraId="40ACADB5" w14:textId="77777777" w:rsidR="00D67649" w:rsidRPr="00D67649" w:rsidRDefault="00D67649" w:rsidP="00D6764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Definition:</w:t>
      </w:r>
      <w:r w:rsidRPr="00D67649">
        <w:rPr>
          <w:rFonts w:ascii="Times New Roman" w:hAnsi="Times New Roman" w:cs="Times New Roman"/>
          <w:color w:val="000000" w:themeColor="text1"/>
          <w:sz w:val="24"/>
          <w:szCs w:val="24"/>
        </w:rPr>
        <w:t xml:space="preserve"> The number of enforcement actions initiated by the SEC each year.</w:t>
      </w:r>
    </w:p>
    <w:p w14:paraId="3B90D79D" w14:textId="77777777" w:rsidR="00D67649" w:rsidRPr="00D67649" w:rsidRDefault="00D67649" w:rsidP="00D6764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Trend:</w:t>
      </w:r>
      <w:r w:rsidRPr="00D67649">
        <w:rPr>
          <w:rFonts w:ascii="Times New Roman" w:hAnsi="Times New Roman" w:cs="Times New Roman"/>
          <w:color w:val="000000" w:themeColor="text1"/>
          <w:sz w:val="24"/>
          <w:szCs w:val="24"/>
        </w:rPr>
        <w:t xml:space="preserve"> The number of enforcement actions has remained relatively stable, averaging around 750-820 actions per year. This consistency suggests the SEC's ongoing commitment to market oversight and regulation enforcement.</w:t>
      </w:r>
    </w:p>
    <w:p w14:paraId="3EAC7A3A" w14:textId="77777777" w:rsidR="00D67649" w:rsidRPr="00D67649" w:rsidRDefault="00D67649" w:rsidP="00D67649">
      <w:pPr>
        <w:pStyle w:val="Heading4"/>
        <w:rPr>
          <w:rFonts w:ascii="Times New Roman" w:hAnsi="Times New Roman" w:cs="Times New Roman"/>
          <w:i w:val="0"/>
          <w:color w:val="000000" w:themeColor="text1"/>
          <w:sz w:val="24"/>
          <w:szCs w:val="24"/>
        </w:rPr>
      </w:pPr>
      <w:r w:rsidRPr="00D67649">
        <w:rPr>
          <w:rFonts w:ascii="Times New Roman" w:hAnsi="Times New Roman" w:cs="Times New Roman"/>
          <w:i w:val="0"/>
          <w:color w:val="000000" w:themeColor="text1"/>
          <w:sz w:val="24"/>
          <w:szCs w:val="24"/>
        </w:rPr>
        <w:lastRenderedPageBreak/>
        <w:t xml:space="preserve">4. </w:t>
      </w:r>
      <w:r w:rsidRPr="00D67649">
        <w:rPr>
          <w:rStyle w:val="Strong"/>
          <w:rFonts w:ascii="Times New Roman" w:hAnsi="Times New Roman" w:cs="Times New Roman"/>
          <w:b w:val="0"/>
          <w:bCs w:val="0"/>
          <w:i w:val="0"/>
          <w:color w:val="000000" w:themeColor="text1"/>
          <w:sz w:val="24"/>
          <w:szCs w:val="24"/>
        </w:rPr>
        <w:t>Total Penalties and Disgorgements ($ Billion)</w:t>
      </w:r>
    </w:p>
    <w:p w14:paraId="79D9D4E4" w14:textId="77777777" w:rsidR="00D67649" w:rsidRPr="00D67649" w:rsidRDefault="00D67649" w:rsidP="00D6764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Definition:</w:t>
      </w:r>
      <w:r w:rsidRPr="00D67649">
        <w:rPr>
          <w:rFonts w:ascii="Times New Roman" w:hAnsi="Times New Roman" w:cs="Times New Roman"/>
          <w:color w:val="000000" w:themeColor="text1"/>
          <w:sz w:val="24"/>
          <w:szCs w:val="24"/>
        </w:rPr>
        <w:t xml:space="preserve"> The total value of penalties and disgorgements ordered by the SEC each year.</w:t>
      </w:r>
    </w:p>
    <w:p w14:paraId="34C91628" w14:textId="77777777" w:rsidR="00D67649" w:rsidRPr="00D67649" w:rsidRDefault="00D67649" w:rsidP="00D6764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D67649">
        <w:rPr>
          <w:rStyle w:val="Strong"/>
          <w:rFonts w:ascii="Times New Roman" w:hAnsi="Times New Roman" w:cs="Times New Roman"/>
          <w:color w:val="000000" w:themeColor="text1"/>
          <w:sz w:val="24"/>
          <w:szCs w:val="24"/>
        </w:rPr>
        <w:t>Trend:</w:t>
      </w:r>
      <w:r w:rsidRPr="00D67649">
        <w:rPr>
          <w:rFonts w:ascii="Times New Roman" w:hAnsi="Times New Roman" w:cs="Times New Roman"/>
          <w:color w:val="000000" w:themeColor="text1"/>
          <w:sz w:val="24"/>
          <w:szCs w:val="24"/>
        </w:rPr>
        <w:t xml:space="preserve"> Total penalties and disgorgements have ranged from $3.4 billion to $4.7 billion, with no drastic year-to-year fluctuations. This steady level of penalties underscores the SEC’s role in deterring misconduct and ensuring market integrity.</w:t>
      </w:r>
    </w:p>
    <w:p w14:paraId="2163C297" w14:textId="77777777" w:rsidR="00D67649" w:rsidRPr="00D67649" w:rsidRDefault="00D67649" w:rsidP="00D67649">
      <w:pPr>
        <w:pStyle w:val="Heading3"/>
        <w:rPr>
          <w:color w:val="000000" w:themeColor="text1"/>
          <w:sz w:val="24"/>
          <w:szCs w:val="24"/>
        </w:rPr>
      </w:pPr>
      <w:r w:rsidRPr="00D67649">
        <w:rPr>
          <w:color w:val="000000" w:themeColor="text1"/>
          <w:sz w:val="24"/>
          <w:szCs w:val="24"/>
        </w:rPr>
        <w:t>Key Observations</w:t>
      </w:r>
    </w:p>
    <w:p w14:paraId="0B2CEE54" w14:textId="77777777" w:rsidR="00D67649" w:rsidRPr="00D67649" w:rsidRDefault="00D67649" w:rsidP="00D67649">
      <w:pPr>
        <w:pStyle w:val="NormalWeb"/>
        <w:numPr>
          <w:ilvl w:val="0"/>
          <w:numId w:val="5"/>
        </w:numPr>
        <w:rPr>
          <w:color w:val="000000" w:themeColor="text1"/>
        </w:rPr>
      </w:pPr>
      <w:r w:rsidRPr="00D67649">
        <w:rPr>
          <w:rStyle w:val="Strong"/>
          <w:rFonts w:eastAsiaTheme="majorEastAsia"/>
          <w:color w:val="000000" w:themeColor="text1"/>
        </w:rPr>
        <w:t>Spike in IPOs (2021):</w:t>
      </w:r>
      <w:r w:rsidRPr="00D67649">
        <w:rPr>
          <w:color w:val="000000" w:themeColor="text1"/>
        </w:rPr>
        <w:t xml:space="preserve"> The extraordinary rise in IPOs in 2021 could be due to multiple factors including the proliferation of SPACs (Special Purpose Acquisition Companies), a bullish stock market, and regulatory environments encouraging public listings.</w:t>
      </w:r>
    </w:p>
    <w:p w14:paraId="55BFCD54" w14:textId="77777777" w:rsidR="00D67649" w:rsidRPr="00D67649" w:rsidRDefault="00D67649" w:rsidP="00D67649">
      <w:pPr>
        <w:pStyle w:val="NormalWeb"/>
        <w:numPr>
          <w:ilvl w:val="0"/>
          <w:numId w:val="5"/>
        </w:numPr>
        <w:rPr>
          <w:color w:val="000000" w:themeColor="text1"/>
        </w:rPr>
      </w:pPr>
      <w:r w:rsidRPr="00D67649">
        <w:rPr>
          <w:rStyle w:val="Strong"/>
          <w:rFonts w:eastAsiaTheme="majorEastAsia"/>
          <w:color w:val="000000" w:themeColor="text1"/>
        </w:rPr>
        <w:t>Increase in Whistleblower Awards:</w:t>
      </w:r>
      <w:r w:rsidRPr="00D67649">
        <w:rPr>
          <w:color w:val="000000" w:themeColor="text1"/>
        </w:rPr>
        <w:t xml:space="preserve"> The sharp rise in whistleblower awards, particularly from 2018 onwards, reflects the effectiveness of the SEC's efforts to encourage reporting of violations. This increase correlates with higher penalties and more significant enforcement actions driven by whistleblower reports.</w:t>
      </w:r>
    </w:p>
    <w:p w14:paraId="3A34EDED" w14:textId="77777777" w:rsidR="00D67649" w:rsidRPr="00D67649" w:rsidRDefault="00D67649" w:rsidP="00D67649">
      <w:pPr>
        <w:pStyle w:val="NormalWeb"/>
        <w:numPr>
          <w:ilvl w:val="0"/>
          <w:numId w:val="5"/>
        </w:numPr>
        <w:rPr>
          <w:color w:val="000000" w:themeColor="text1"/>
        </w:rPr>
      </w:pPr>
      <w:r w:rsidRPr="00D67649">
        <w:rPr>
          <w:rStyle w:val="Strong"/>
          <w:rFonts w:eastAsiaTheme="majorEastAsia"/>
          <w:color w:val="000000" w:themeColor="text1"/>
        </w:rPr>
        <w:t>Stable Enforcement Actions:</w:t>
      </w:r>
      <w:r w:rsidRPr="00D67649">
        <w:rPr>
          <w:color w:val="000000" w:themeColor="text1"/>
        </w:rPr>
        <w:t xml:space="preserve"> The relatively stable number of enforcement actions each year highlights the SEC's consistent approach to maintaining regulatory oversight and addressing violations.</w:t>
      </w:r>
    </w:p>
    <w:p w14:paraId="1B9871D8" w14:textId="77777777" w:rsidR="00D67649" w:rsidRPr="00D67649" w:rsidRDefault="00D67649" w:rsidP="00D67649">
      <w:pPr>
        <w:pStyle w:val="NormalWeb"/>
        <w:numPr>
          <w:ilvl w:val="0"/>
          <w:numId w:val="5"/>
        </w:numPr>
        <w:rPr>
          <w:color w:val="000000" w:themeColor="text1"/>
        </w:rPr>
      </w:pPr>
      <w:r w:rsidRPr="00D67649">
        <w:rPr>
          <w:rStyle w:val="Strong"/>
          <w:rFonts w:eastAsiaTheme="majorEastAsia"/>
          <w:color w:val="000000" w:themeColor="text1"/>
        </w:rPr>
        <w:t>Consistent Penalties and Disgorgements:</w:t>
      </w:r>
      <w:r w:rsidRPr="00D67649">
        <w:rPr>
          <w:color w:val="000000" w:themeColor="text1"/>
        </w:rPr>
        <w:t xml:space="preserve"> The steady flow of penalties and disgorgements shows the SEC’s ongoing efforts to penalize violations effectively, ensuring that regulatory breaches are met with substantial financial consequences.</w:t>
      </w:r>
    </w:p>
    <w:p w14:paraId="42542FA7" w14:textId="77777777" w:rsidR="00D67649" w:rsidRPr="00D67649" w:rsidRDefault="00D67649" w:rsidP="00D67649">
      <w:pPr>
        <w:pStyle w:val="Heading3"/>
        <w:rPr>
          <w:color w:val="000000" w:themeColor="text1"/>
          <w:sz w:val="24"/>
          <w:szCs w:val="24"/>
        </w:rPr>
      </w:pPr>
      <w:r w:rsidRPr="00D67649">
        <w:rPr>
          <w:color w:val="000000" w:themeColor="text1"/>
          <w:sz w:val="24"/>
          <w:szCs w:val="24"/>
        </w:rPr>
        <w:t>Conclusion</w:t>
      </w:r>
    </w:p>
    <w:p w14:paraId="32B4FEBF" w14:textId="70C5FA24" w:rsidR="00D67649" w:rsidRDefault="00D67649" w:rsidP="00D67649">
      <w:pPr>
        <w:pStyle w:val="NormalWeb"/>
        <w:rPr>
          <w:color w:val="000000" w:themeColor="text1"/>
        </w:rPr>
      </w:pPr>
      <w:r w:rsidRPr="00D67649">
        <w:rPr>
          <w:color w:val="000000" w:themeColor="text1"/>
        </w:rPr>
        <w:t>The data reflects the dynamic and responsive nature of the SEC's regulatory framework over the past decade. The significant increase in IPOs, especially in 2021, alongside growing whistleblower awards and consistent enforcement actions, demonstrates the SEC’s active role in fostering a transparent and fair market. The consistent penalties reinforce the deterrent effect of SEC regulations, contributing to overall market integrity and investor protection.</w:t>
      </w:r>
    </w:p>
    <w:p w14:paraId="7DDD170F" w14:textId="77777777" w:rsidR="00923C53" w:rsidRDefault="00923C53" w:rsidP="00923C53">
      <w:pPr>
        <w:pStyle w:val="Heading3"/>
        <w:rPr>
          <w:sz w:val="24"/>
          <w:szCs w:val="24"/>
        </w:rPr>
      </w:pPr>
    </w:p>
    <w:p w14:paraId="06938B23" w14:textId="73221719" w:rsidR="00923C53" w:rsidRPr="00923C53" w:rsidRDefault="00923C53" w:rsidP="00923C53">
      <w:pPr>
        <w:pStyle w:val="Heading3"/>
        <w:rPr>
          <w:sz w:val="24"/>
          <w:szCs w:val="24"/>
        </w:rPr>
      </w:pPr>
      <w:r w:rsidRPr="00923C53">
        <w:rPr>
          <w:sz w:val="24"/>
          <w:szCs w:val="24"/>
        </w:rPr>
        <w:t>Impact of COVID-19 on SEC Regulations and Market Activity</w:t>
      </w:r>
    </w:p>
    <w:p w14:paraId="654D6DD1" w14:textId="77777777" w:rsidR="00923C53" w:rsidRPr="00923C53" w:rsidRDefault="00923C53" w:rsidP="00923C53">
      <w:pPr>
        <w:pStyle w:val="NormalWeb"/>
      </w:pPr>
      <w:r w:rsidRPr="00923C53">
        <w:t>The COVID-19 pandemic significantly impacted financial markets and the regulatory environment in the United States. Here’s an interpretation of how the SEC’s activities and market dynamics were influenced during the pandemic</w:t>
      </w:r>
    </w:p>
    <w:p w14:paraId="761A297E" w14:textId="2B81F894" w:rsidR="00923C53" w:rsidRDefault="00923C53" w:rsidP="00D67649">
      <w:pPr>
        <w:pStyle w:val="NormalWeb"/>
        <w:rPr>
          <w:color w:val="000000" w:themeColor="text1"/>
        </w:rPr>
      </w:pPr>
    </w:p>
    <w:p w14:paraId="342A1F15" w14:textId="4EF72FE3" w:rsidR="00923C53" w:rsidRDefault="00923C53" w:rsidP="00D67649">
      <w:pPr>
        <w:pStyle w:val="NormalWeb"/>
        <w:rPr>
          <w:color w:val="000000" w:themeColor="text1"/>
        </w:rPr>
      </w:pPr>
    </w:p>
    <w:p w14:paraId="7BF4E756" w14:textId="7D5BC034" w:rsidR="00923C53" w:rsidRDefault="00923C53" w:rsidP="00D67649">
      <w:pPr>
        <w:pStyle w:val="NormalWeb"/>
        <w:rPr>
          <w:color w:val="000000" w:themeColor="text1"/>
        </w:rPr>
      </w:pPr>
    </w:p>
    <w:p w14:paraId="43E995BC" w14:textId="77777777" w:rsidR="00923C53" w:rsidRDefault="00923C53" w:rsidP="00D67649">
      <w:pPr>
        <w:pStyle w:val="NormalWeb"/>
        <w:rPr>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D67649" w14:paraId="19DCC35F" w14:textId="77777777" w:rsidTr="00D67649">
        <w:tc>
          <w:tcPr>
            <w:tcW w:w="1870" w:type="dxa"/>
          </w:tcPr>
          <w:p w14:paraId="567EA2C2" w14:textId="47DF94B1" w:rsidR="00D67649" w:rsidRDefault="00D67649" w:rsidP="00D67649">
            <w:pPr>
              <w:pStyle w:val="NormalWeb"/>
              <w:rPr>
                <w:color w:val="000000" w:themeColor="text1"/>
              </w:rPr>
            </w:pPr>
            <w:r w:rsidRPr="00D67649">
              <w:rPr>
                <w:color w:val="000000" w:themeColor="text1"/>
              </w:rPr>
              <w:lastRenderedPageBreak/>
              <w:t>Year</w:t>
            </w:r>
          </w:p>
        </w:tc>
        <w:tc>
          <w:tcPr>
            <w:tcW w:w="1870" w:type="dxa"/>
          </w:tcPr>
          <w:p w14:paraId="5336E03D" w14:textId="62BBC296" w:rsidR="00D67649" w:rsidRDefault="00D67649" w:rsidP="00D67649">
            <w:pPr>
              <w:pStyle w:val="NormalWeb"/>
              <w:rPr>
                <w:color w:val="000000" w:themeColor="text1"/>
              </w:rPr>
            </w:pPr>
            <w:r w:rsidRPr="00D67649">
              <w:rPr>
                <w:color w:val="000000" w:themeColor="text1"/>
              </w:rPr>
              <w:t>IPOs (Number)</w:t>
            </w:r>
          </w:p>
        </w:tc>
        <w:tc>
          <w:tcPr>
            <w:tcW w:w="1870" w:type="dxa"/>
          </w:tcPr>
          <w:p w14:paraId="7B457659" w14:textId="1481C54B" w:rsidR="00D67649" w:rsidRDefault="00D67649" w:rsidP="00D67649">
            <w:pPr>
              <w:pStyle w:val="NormalWeb"/>
              <w:rPr>
                <w:color w:val="000000" w:themeColor="text1"/>
              </w:rPr>
            </w:pPr>
            <w:r w:rsidRPr="00D67649">
              <w:rPr>
                <w:color w:val="000000" w:themeColor="text1"/>
              </w:rPr>
              <w:t>Whistleblower Awards ($ Million)</w:t>
            </w:r>
          </w:p>
        </w:tc>
        <w:tc>
          <w:tcPr>
            <w:tcW w:w="1870" w:type="dxa"/>
          </w:tcPr>
          <w:p w14:paraId="32DA2DA4" w14:textId="67513F3C" w:rsidR="00D67649" w:rsidRDefault="00D67649" w:rsidP="00D67649">
            <w:pPr>
              <w:pStyle w:val="NormalWeb"/>
              <w:rPr>
                <w:color w:val="000000" w:themeColor="text1"/>
              </w:rPr>
            </w:pPr>
            <w:r w:rsidRPr="00D67649">
              <w:rPr>
                <w:color w:val="000000" w:themeColor="text1"/>
              </w:rPr>
              <w:t>Enforcement Actions</w:t>
            </w:r>
          </w:p>
        </w:tc>
        <w:tc>
          <w:tcPr>
            <w:tcW w:w="1870" w:type="dxa"/>
          </w:tcPr>
          <w:p w14:paraId="7715C969" w14:textId="1099AD82" w:rsidR="00D67649" w:rsidRDefault="00D67649" w:rsidP="00D67649">
            <w:pPr>
              <w:pStyle w:val="NormalWeb"/>
              <w:rPr>
                <w:color w:val="000000" w:themeColor="text1"/>
              </w:rPr>
            </w:pPr>
            <w:r w:rsidRPr="00D67649">
              <w:rPr>
                <w:color w:val="000000" w:themeColor="text1"/>
              </w:rPr>
              <w:t>Total Penalties and Disgorgements ($ Billion)</w:t>
            </w:r>
          </w:p>
        </w:tc>
      </w:tr>
      <w:tr w:rsidR="00D67649" w14:paraId="7AB403FE" w14:textId="77777777" w:rsidTr="00D67649">
        <w:tc>
          <w:tcPr>
            <w:tcW w:w="1870" w:type="dxa"/>
          </w:tcPr>
          <w:p w14:paraId="453FE1A9" w14:textId="510ED237" w:rsidR="00D67649" w:rsidRDefault="000666F7" w:rsidP="00D67649">
            <w:pPr>
              <w:pStyle w:val="NormalWeb"/>
              <w:rPr>
                <w:color w:val="000000" w:themeColor="text1"/>
              </w:rPr>
            </w:pPr>
            <w:r>
              <w:rPr>
                <w:color w:val="000000" w:themeColor="text1"/>
              </w:rPr>
              <w:t>2018</w:t>
            </w:r>
          </w:p>
        </w:tc>
        <w:tc>
          <w:tcPr>
            <w:tcW w:w="1870" w:type="dxa"/>
          </w:tcPr>
          <w:p w14:paraId="3EC0FB8B" w14:textId="689CE9DD" w:rsidR="00D67649" w:rsidRDefault="000666F7" w:rsidP="00D67649">
            <w:pPr>
              <w:pStyle w:val="NormalWeb"/>
              <w:rPr>
                <w:color w:val="000000" w:themeColor="text1"/>
              </w:rPr>
            </w:pPr>
            <w:r>
              <w:rPr>
                <w:color w:val="000000" w:themeColor="text1"/>
              </w:rPr>
              <w:t>190</w:t>
            </w:r>
          </w:p>
        </w:tc>
        <w:tc>
          <w:tcPr>
            <w:tcW w:w="1870" w:type="dxa"/>
          </w:tcPr>
          <w:p w14:paraId="0C7ED399" w14:textId="6A1523F4" w:rsidR="00D67649" w:rsidRDefault="000666F7" w:rsidP="00D67649">
            <w:pPr>
              <w:pStyle w:val="NormalWeb"/>
              <w:rPr>
                <w:color w:val="000000" w:themeColor="text1"/>
              </w:rPr>
            </w:pPr>
            <w:r>
              <w:rPr>
                <w:color w:val="000000" w:themeColor="text1"/>
              </w:rPr>
              <w:t>168</w:t>
            </w:r>
          </w:p>
        </w:tc>
        <w:tc>
          <w:tcPr>
            <w:tcW w:w="1870" w:type="dxa"/>
          </w:tcPr>
          <w:p w14:paraId="78884EB9" w14:textId="253FF558" w:rsidR="00D67649" w:rsidRDefault="000666F7" w:rsidP="00D67649">
            <w:pPr>
              <w:pStyle w:val="NormalWeb"/>
              <w:rPr>
                <w:color w:val="000000" w:themeColor="text1"/>
              </w:rPr>
            </w:pPr>
            <w:r>
              <w:rPr>
                <w:color w:val="000000" w:themeColor="text1"/>
              </w:rPr>
              <w:t>821</w:t>
            </w:r>
          </w:p>
        </w:tc>
        <w:tc>
          <w:tcPr>
            <w:tcW w:w="1870" w:type="dxa"/>
          </w:tcPr>
          <w:p w14:paraId="20410D9D" w14:textId="1EF639D7" w:rsidR="00D67649" w:rsidRDefault="000666F7" w:rsidP="00D67649">
            <w:pPr>
              <w:pStyle w:val="NormalWeb"/>
              <w:rPr>
                <w:color w:val="000000" w:themeColor="text1"/>
              </w:rPr>
            </w:pPr>
            <w:r>
              <w:rPr>
                <w:color w:val="000000" w:themeColor="text1"/>
              </w:rPr>
              <w:t>3.9</w:t>
            </w:r>
          </w:p>
        </w:tc>
      </w:tr>
      <w:tr w:rsidR="00D67649" w14:paraId="17661C39" w14:textId="77777777" w:rsidTr="00D67649">
        <w:tc>
          <w:tcPr>
            <w:tcW w:w="1870" w:type="dxa"/>
          </w:tcPr>
          <w:p w14:paraId="670A1DCF" w14:textId="16F1FDAA" w:rsidR="00D67649" w:rsidRDefault="000666F7" w:rsidP="00D67649">
            <w:pPr>
              <w:pStyle w:val="NormalWeb"/>
              <w:rPr>
                <w:color w:val="000000" w:themeColor="text1"/>
              </w:rPr>
            </w:pPr>
            <w:r>
              <w:rPr>
                <w:color w:val="000000" w:themeColor="text1"/>
              </w:rPr>
              <w:t>2019</w:t>
            </w:r>
          </w:p>
        </w:tc>
        <w:tc>
          <w:tcPr>
            <w:tcW w:w="1870" w:type="dxa"/>
          </w:tcPr>
          <w:p w14:paraId="0A2675D4" w14:textId="3EDDF0CF" w:rsidR="00D67649" w:rsidRDefault="000666F7" w:rsidP="00D67649">
            <w:pPr>
              <w:pStyle w:val="NormalWeb"/>
              <w:rPr>
                <w:color w:val="000000" w:themeColor="text1"/>
              </w:rPr>
            </w:pPr>
            <w:r>
              <w:rPr>
                <w:color w:val="000000" w:themeColor="text1"/>
              </w:rPr>
              <w:t>213</w:t>
            </w:r>
          </w:p>
        </w:tc>
        <w:tc>
          <w:tcPr>
            <w:tcW w:w="1870" w:type="dxa"/>
          </w:tcPr>
          <w:p w14:paraId="00830183" w14:textId="740F9543" w:rsidR="00D67649" w:rsidRDefault="000666F7" w:rsidP="00D67649">
            <w:pPr>
              <w:pStyle w:val="NormalWeb"/>
              <w:rPr>
                <w:color w:val="000000" w:themeColor="text1"/>
              </w:rPr>
            </w:pPr>
            <w:r>
              <w:rPr>
                <w:color w:val="000000" w:themeColor="text1"/>
              </w:rPr>
              <w:t>387</w:t>
            </w:r>
          </w:p>
        </w:tc>
        <w:tc>
          <w:tcPr>
            <w:tcW w:w="1870" w:type="dxa"/>
          </w:tcPr>
          <w:p w14:paraId="3CDDBA9C" w14:textId="2213E694" w:rsidR="00D67649" w:rsidRDefault="000666F7" w:rsidP="00D67649">
            <w:pPr>
              <w:pStyle w:val="NormalWeb"/>
              <w:rPr>
                <w:color w:val="000000" w:themeColor="text1"/>
              </w:rPr>
            </w:pPr>
            <w:r>
              <w:rPr>
                <w:color w:val="000000" w:themeColor="text1"/>
              </w:rPr>
              <w:t>862</w:t>
            </w:r>
          </w:p>
        </w:tc>
        <w:tc>
          <w:tcPr>
            <w:tcW w:w="1870" w:type="dxa"/>
          </w:tcPr>
          <w:p w14:paraId="214CB91C" w14:textId="4E4B6266" w:rsidR="00D67649" w:rsidRDefault="000666F7" w:rsidP="00D67649">
            <w:pPr>
              <w:pStyle w:val="NormalWeb"/>
              <w:rPr>
                <w:color w:val="000000" w:themeColor="text1"/>
              </w:rPr>
            </w:pPr>
            <w:r>
              <w:rPr>
                <w:color w:val="000000" w:themeColor="text1"/>
              </w:rPr>
              <w:t>4.3</w:t>
            </w:r>
          </w:p>
        </w:tc>
      </w:tr>
      <w:tr w:rsidR="00D67649" w14:paraId="236445B4" w14:textId="77777777" w:rsidTr="00D67649">
        <w:tc>
          <w:tcPr>
            <w:tcW w:w="1870" w:type="dxa"/>
          </w:tcPr>
          <w:p w14:paraId="43558143" w14:textId="4B23CB2B" w:rsidR="00D67649" w:rsidRDefault="000666F7" w:rsidP="00D67649">
            <w:pPr>
              <w:pStyle w:val="NormalWeb"/>
              <w:rPr>
                <w:color w:val="000000" w:themeColor="text1"/>
              </w:rPr>
            </w:pPr>
            <w:r>
              <w:rPr>
                <w:color w:val="000000" w:themeColor="text1"/>
              </w:rPr>
              <w:t>2020</w:t>
            </w:r>
          </w:p>
        </w:tc>
        <w:tc>
          <w:tcPr>
            <w:tcW w:w="1870" w:type="dxa"/>
          </w:tcPr>
          <w:p w14:paraId="424CB6EA" w14:textId="4E28D004" w:rsidR="00D67649" w:rsidRDefault="000666F7" w:rsidP="00D67649">
            <w:pPr>
              <w:pStyle w:val="NormalWeb"/>
              <w:rPr>
                <w:color w:val="000000" w:themeColor="text1"/>
              </w:rPr>
            </w:pPr>
            <w:r>
              <w:rPr>
                <w:color w:val="000000" w:themeColor="text1"/>
              </w:rPr>
              <w:t>218</w:t>
            </w:r>
          </w:p>
        </w:tc>
        <w:tc>
          <w:tcPr>
            <w:tcW w:w="1870" w:type="dxa"/>
          </w:tcPr>
          <w:p w14:paraId="1412051A" w14:textId="0A287D23" w:rsidR="00D67649" w:rsidRDefault="000666F7" w:rsidP="00D67649">
            <w:pPr>
              <w:pStyle w:val="NormalWeb"/>
              <w:rPr>
                <w:color w:val="000000" w:themeColor="text1"/>
              </w:rPr>
            </w:pPr>
            <w:r>
              <w:rPr>
                <w:color w:val="000000" w:themeColor="text1"/>
              </w:rPr>
              <w:t>175</w:t>
            </w:r>
          </w:p>
        </w:tc>
        <w:tc>
          <w:tcPr>
            <w:tcW w:w="1870" w:type="dxa"/>
          </w:tcPr>
          <w:p w14:paraId="125A84F9" w14:textId="22E5E72C" w:rsidR="00D67649" w:rsidRDefault="000666F7" w:rsidP="00D67649">
            <w:pPr>
              <w:pStyle w:val="NormalWeb"/>
              <w:rPr>
                <w:color w:val="000000" w:themeColor="text1"/>
              </w:rPr>
            </w:pPr>
            <w:r>
              <w:rPr>
                <w:color w:val="000000" w:themeColor="text1"/>
              </w:rPr>
              <w:t>715</w:t>
            </w:r>
          </w:p>
        </w:tc>
        <w:tc>
          <w:tcPr>
            <w:tcW w:w="1870" w:type="dxa"/>
          </w:tcPr>
          <w:p w14:paraId="35AC05B8" w14:textId="648AC39E" w:rsidR="00D67649" w:rsidRDefault="000666F7" w:rsidP="00D67649">
            <w:pPr>
              <w:pStyle w:val="NormalWeb"/>
              <w:rPr>
                <w:color w:val="000000" w:themeColor="text1"/>
              </w:rPr>
            </w:pPr>
            <w:r>
              <w:rPr>
                <w:color w:val="000000" w:themeColor="text1"/>
              </w:rPr>
              <w:t>4.7</w:t>
            </w:r>
          </w:p>
        </w:tc>
      </w:tr>
      <w:tr w:rsidR="00D67649" w14:paraId="04528EDE" w14:textId="77777777" w:rsidTr="00D67649">
        <w:tc>
          <w:tcPr>
            <w:tcW w:w="1870" w:type="dxa"/>
          </w:tcPr>
          <w:p w14:paraId="58D2C668" w14:textId="7FD8C21B" w:rsidR="00D67649" w:rsidRDefault="000666F7" w:rsidP="00D67649">
            <w:pPr>
              <w:pStyle w:val="NormalWeb"/>
              <w:rPr>
                <w:color w:val="000000" w:themeColor="text1"/>
              </w:rPr>
            </w:pPr>
            <w:r>
              <w:rPr>
                <w:color w:val="000000" w:themeColor="text1"/>
              </w:rPr>
              <w:t>2021</w:t>
            </w:r>
          </w:p>
        </w:tc>
        <w:tc>
          <w:tcPr>
            <w:tcW w:w="1870" w:type="dxa"/>
          </w:tcPr>
          <w:p w14:paraId="29127094" w14:textId="6C8F3D58" w:rsidR="00D67649" w:rsidRDefault="000666F7" w:rsidP="00D67649">
            <w:pPr>
              <w:pStyle w:val="NormalWeb"/>
              <w:rPr>
                <w:color w:val="000000" w:themeColor="text1"/>
              </w:rPr>
            </w:pPr>
            <w:r>
              <w:rPr>
                <w:color w:val="000000" w:themeColor="text1"/>
              </w:rPr>
              <w:t>1032</w:t>
            </w:r>
          </w:p>
        </w:tc>
        <w:tc>
          <w:tcPr>
            <w:tcW w:w="1870" w:type="dxa"/>
          </w:tcPr>
          <w:p w14:paraId="4375ADB7" w14:textId="7D6A5A5F" w:rsidR="00D67649" w:rsidRDefault="000666F7" w:rsidP="00D67649">
            <w:pPr>
              <w:pStyle w:val="NormalWeb"/>
              <w:rPr>
                <w:color w:val="000000" w:themeColor="text1"/>
              </w:rPr>
            </w:pPr>
            <w:r>
              <w:rPr>
                <w:color w:val="000000" w:themeColor="text1"/>
              </w:rPr>
              <w:t>564</w:t>
            </w:r>
          </w:p>
        </w:tc>
        <w:tc>
          <w:tcPr>
            <w:tcW w:w="1870" w:type="dxa"/>
          </w:tcPr>
          <w:p w14:paraId="1496180E" w14:textId="3D3A5E39" w:rsidR="00D67649" w:rsidRDefault="000666F7" w:rsidP="00D67649">
            <w:pPr>
              <w:pStyle w:val="NormalWeb"/>
              <w:rPr>
                <w:color w:val="000000" w:themeColor="text1"/>
              </w:rPr>
            </w:pPr>
            <w:r>
              <w:rPr>
                <w:color w:val="000000" w:themeColor="text1"/>
              </w:rPr>
              <w:t>697</w:t>
            </w:r>
          </w:p>
        </w:tc>
        <w:tc>
          <w:tcPr>
            <w:tcW w:w="1870" w:type="dxa"/>
          </w:tcPr>
          <w:p w14:paraId="5D258B01" w14:textId="21F75731" w:rsidR="00D67649" w:rsidRDefault="000666F7" w:rsidP="00D67649">
            <w:pPr>
              <w:pStyle w:val="NormalWeb"/>
              <w:rPr>
                <w:color w:val="000000" w:themeColor="text1"/>
              </w:rPr>
            </w:pPr>
            <w:r>
              <w:rPr>
                <w:color w:val="000000" w:themeColor="text1"/>
              </w:rPr>
              <w:t>3.9</w:t>
            </w:r>
          </w:p>
        </w:tc>
      </w:tr>
      <w:tr w:rsidR="00D67649" w14:paraId="27C93503" w14:textId="77777777" w:rsidTr="00D67649">
        <w:tc>
          <w:tcPr>
            <w:tcW w:w="1870" w:type="dxa"/>
          </w:tcPr>
          <w:p w14:paraId="6E3F8488" w14:textId="5DA09377" w:rsidR="00D67649" w:rsidRDefault="000666F7" w:rsidP="00D67649">
            <w:pPr>
              <w:pStyle w:val="NormalWeb"/>
              <w:rPr>
                <w:color w:val="000000" w:themeColor="text1"/>
              </w:rPr>
            </w:pPr>
            <w:r>
              <w:rPr>
                <w:color w:val="000000" w:themeColor="text1"/>
              </w:rPr>
              <w:t>2022</w:t>
            </w:r>
          </w:p>
        </w:tc>
        <w:tc>
          <w:tcPr>
            <w:tcW w:w="1870" w:type="dxa"/>
          </w:tcPr>
          <w:p w14:paraId="15CC43DA" w14:textId="0ABEA64D" w:rsidR="00D67649" w:rsidRDefault="000666F7" w:rsidP="00D67649">
            <w:pPr>
              <w:pStyle w:val="NormalWeb"/>
              <w:rPr>
                <w:color w:val="000000" w:themeColor="text1"/>
              </w:rPr>
            </w:pPr>
            <w:r>
              <w:rPr>
                <w:color w:val="000000" w:themeColor="text1"/>
              </w:rPr>
              <w:t>181</w:t>
            </w:r>
          </w:p>
        </w:tc>
        <w:tc>
          <w:tcPr>
            <w:tcW w:w="1870" w:type="dxa"/>
          </w:tcPr>
          <w:p w14:paraId="5853D225" w14:textId="76F6AC85" w:rsidR="00D67649" w:rsidRDefault="000666F7" w:rsidP="00D67649">
            <w:pPr>
              <w:pStyle w:val="NormalWeb"/>
              <w:rPr>
                <w:color w:val="000000" w:themeColor="text1"/>
              </w:rPr>
            </w:pPr>
            <w:r>
              <w:rPr>
                <w:color w:val="000000" w:themeColor="text1"/>
              </w:rPr>
              <w:t>229</w:t>
            </w:r>
          </w:p>
        </w:tc>
        <w:tc>
          <w:tcPr>
            <w:tcW w:w="1870" w:type="dxa"/>
          </w:tcPr>
          <w:p w14:paraId="22B1A804" w14:textId="0D059401" w:rsidR="00D67649" w:rsidRDefault="000666F7" w:rsidP="00D67649">
            <w:pPr>
              <w:pStyle w:val="NormalWeb"/>
              <w:rPr>
                <w:color w:val="000000" w:themeColor="text1"/>
              </w:rPr>
            </w:pPr>
            <w:r>
              <w:rPr>
                <w:color w:val="000000" w:themeColor="text1"/>
              </w:rPr>
              <w:t>760</w:t>
            </w:r>
          </w:p>
        </w:tc>
        <w:tc>
          <w:tcPr>
            <w:tcW w:w="1870" w:type="dxa"/>
          </w:tcPr>
          <w:p w14:paraId="14875B60" w14:textId="29E9AB3A" w:rsidR="00D67649" w:rsidRDefault="000666F7" w:rsidP="00D67649">
            <w:pPr>
              <w:pStyle w:val="NormalWeb"/>
              <w:rPr>
                <w:color w:val="000000" w:themeColor="text1"/>
              </w:rPr>
            </w:pPr>
            <w:r>
              <w:rPr>
                <w:color w:val="000000" w:themeColor="text1"/>
              </w:rPr>
              <w:t>4.2</w:t>
            </w:r>
          </w:p>
        </w:tc>
      </w:tr>
      <w:tr w:rsidR="00D67649" w14:paraId="1F220E77" w14:textId="77777777" w:rsidTr="00D67649">
        <w:tc>
          <w:tcPr>
            <w:tcW w:w="1870" w:type="dxa"/>
          </w:tcPr>
          <w:p w14:paraId="6D038456" w14:textId="7A0B3696" w:rsidR="00D67649" w:rsidRDefault="000666F7" w:rsidP="00D67649">
            <w:pPr>
              <w:pStyle w:val="NormalWeb"/>
              <w:rPr>
                <w:color w:val="000000" w:themeColor="text1"/>
              </w:rPr>
            </w:pPr>
            <w:r>
              <w:rPr>
                <w:color w:val="000000" w:themeColor="text1"/>
              </w:rPr>
              <w:t>2023</w:t>
            </w:r>
          </w:p>
        </w:tc>
        <w:tc>
          <w:tcPr>
            <w:tcW w:w="1870" w:type="dxa"/>
          </w:tcPr>
          <w:p w14:paraId="3AF8C5B0" w14:textId="65E4D8C0" w:rsidR="00D67649" w:rsidRDefault="000666F7" w:rsidP="00D67649">
            <w:pPr>
              <w:pStyle w:val="NormalWeb"/>
              <w:rPr>
                <w:color w:val="000000" w:themeColor="text1"/>
              </w:rPr>
            </w:pPr>
            <w:r>
              <w:rPr>
                <w:color w:val="000000" w:themeColor="text1"/>
              </w:rPr>
              <w:t>192</w:t>
            </w:r>
          </w:p>
        </w:tc>
        <w:tc>
          <w:tcPr>
            <w:tcW w:w="1870" w:type="dxa"/>
          </w:tcPr>
          <w:p w14:paraId="74C4C0E2" w14:textId="44488FAA" w:rsidR="00D67649" w:rsidRDefault="000666F7" w:rsidP="00D67649">
            <w:pPr>
              <w:pStyle w:val="NormalWeb"/>
              <w:rPr>
                <w:color w:val="000000" w:themeColor="text1"/>
              </w:rPr>
            </w:pPr>
            <w:r>
              <w:rPr>
                <w:color w:val="000000" w:themeColor="text1"/>
              </w:rPr>
              <w:t>374</w:t>
            </w:r>
          </w:p>
        </w:tc>
        <w:tc>
          <w:tcPr>
            <w:tcW w:w="1870" w:type="dxa"/>
          </w:tcPr>
          <w:p w14:paraId="3B289709" w14:textId="072A8610" w:rsidR="00D67649" w:rsidRDefault="000666F7" w:rsidP="00D67649">
            <w:pPr>
              <w:pStyle w:val="NormalWeb"/>
              <w:rPr>
                <w:color w:val="000000" w:themeColor="text1"/>
              </w:rPr>
            </w:pPr>
            <w:r>
              <w:rPr>
                <w:color w:val="000000" w:themeColor="text1"/>
              </w:rPr>
              <w:t>820</w:t>
            </w:r>
          </w:p>
        </w:tc>
        <w:tc>
          <w:tcPr>
            <w:tcW w:w="1870" w:type="dxa"/>
          </w:tcPr>
          <w:p w14:paraId="1F3714B4" w14:textId="29FAE929" w:rsidR="00D67649" w:rsidRDefault="000666F7" w:rsidP="00D67649">
            <w:pPr>
              <w:pStyle w:val="NormalWeb"/>
              <w:rPr>
                <w:color w:val="000000" w:themeColor="text1"/>
              </w:rPr>
            </w:pPr>
            <w:r>
              <w:rPr>
                <w:color w:val="000000" w:themeColor="text1"/>
              </w:rPr>
              <w:t>4.5</w:t>
            </w:r>
          </w:p>
        </w:tc>
      </w:tr>
    </w:tbl>
    <w:p w14:paraId="48067035" w14:textId="75DF6313" w:rsidR="00D67649" w:rsidRPr="00D67649" w:rsidRDefault="00AE1F98" w:rsidP="00D67649">
      <w:pPr>
        <w:pStyle w:val="NormalWeb"/>
        <w:rPr>
          <w:color w:val="000000" w:themeColor="text1"/>
        </w:rPr>
      </w:pPr>
      <w:r>
        <w:rPr>
          <w:noProof/>
        </w:rPr>
        <w:drawing>
          <wp:inline distT="0" distB="0" distL="0" distR="0" wp14:anchorId="15E8D4C1" wp14:editId="2036A58A">
            <wp:extent cx="4572000" cy="2743200"/>
            <wp:effectExtent l="0" t="0" r="0" b="0"/>
            <wp:docPr id="3" name="Chart 3">
              <a:extLst xmlns:a="http://schemas.openxmlformats.org/drawingml/2006/main">
                <a:ext uri="{FF2B5EF4-FFF2-40B4-BE49-F238E27FC236}">
                  <a16:creationId xmlns:a16="http://schemas.microsoft.com/office/drawing/2014/main" id="{45C78E56-0812-4AE1-9246-BB48EFB49B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68E3F9" w14:textId="77777777" w:rsidR="00AE1F98" w:rsidRPr="00AE1F98" w:rsidRDefault="00AE1F98" w:rsidP="00AE1F98">
      <w:pPr>
        <w:pStyle w:val="Heading4"/>
        <w:rPr>
          <w:rFonts w:ascii="Times New Roman" w:hAnsi="Times New Roman" w:cs="Times New Roman"/>
          <w:i w:val="0"/>
          <w:color w:val="000000" w:themeColor="text1"/>
          <w:sz w:val="24"/>
          <w:szCs w:val="24"/>
        </w:rPr>
      </w:pPr>
      <w:r w:rsidRPr="00AE1F98">
        <w:rPr>
          <w:rStyle w:val="Strong"/>
          <w:rFonts w:ascii="Times New Roman" w:hAnsi="Times New Roman" w:cs="Times New Roman"/>
          <w:b w:val="0"/>
          <w:bCs w:val="0"/>
          <w:i w:val="0"/>
          <w:color w:val="000000" w:themeColor="text1"/>
          <w:sz w:val="24"/>
          <w:szCs w:val="24"/>
        </w:rPr>
        <w:t>Initial Public Offerings (IPOs)</w:t>
      </w:r>
    </w:p>
    <w:p w14:paraId="2EFE8BDE" w14:textId="77777777" w:rsidR="00AE1F98" w:rsidRPr="00AE1F98" w:rsidRDefault="00AE1F98" w:rsidP="00AE1F9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Trend During COVID-19:</w:t>
      </w:r>
      <w:r w:rsidRPr="00AE1F98">
        <w:rPr>
          <w:rFonts w:ascii="Times New Roman" w:hAnsi="Times New Roman" w:cs="Times New Roman"/>
          <w:color w:val="000000" w:themeColor="text1"/>
          <w:sz w:val="24"/>
          <w:szCs w:val="24"/>
        </w:rPr>
        <w:t xml:space="preserve"> Despite the initial economic uncertainty caused by the pandemic, the number of IPOs actually increased from 213 in 2019 to 218 in 2020. The most striking change occurred in 2021, with an unprecedented surge to 1032 IPOs.</w:t>
      </w:r>
    </w:p>
    <w:p w14:paraId="76489744" w14:textId="77777777" w:rsidR="00AE1F98" w:rsidRPr="00AE1F98" w:rsidRDefault="00AE1F98" w:rsidP="00AE1F9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Analysis:</w:t>
      </w:r>
      <w:r w:rsidRPr="00AE1F98">
        <w:rPr>
          <w:rFonts w:ascii="Times New Roman" w:hAnsi="Times New Roman" w:cs="Times New Roman"/>
          <w:color w:val="000000" w:themeColor="text1"/>
          <w:sz w:val="24"/>
          <w:szCs w:val="24"/>
        </w:rPr>
        <w:t xml:space="preserve"> The surge in 2021 can be attributed to several factors:</w:t>
      </w:r>
    </w:p>
    <w:p w14:paraId="59E000D1" w14:textId="77777777" w:rsidR="00AE1F98" w:rsidRPr="00AE1F98" w:rsidRDefault="00AE1F98" w:rsidP="00AE1F98">
      <w:pPr>
        <w:numPr>
          <w:ilvl w:val="1"/>
          <w:numId w:val="6"/>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Market Recovery:</w:t>
      </w:r>
      <w:r w:rsidRPr="00AE1F98">
        <w:rPr>
          <w:rFonts w:ascii="Times New Roman" w:hAnsi="Times New Roman" w:cs="Times New Roman"/>
          <w:color w:val="000000" w:themeColor="text1"/>
          <w:sz w:val="24"/>
          <w:szCs w:val="24"/>
        </w:rPr>
        <w:t xml:space="preserve"> A strong market recovery following the initial pandemic shock.</w:t>
      </w:r>
    </w:p>
    <w:p w14:paraId="018C282C" w14:textId="77777777" w:rsidR="00AE1F98" w:rsidRPr="00AE1F98" w:rsidRDefault="00AE1F98" w:rsidP="00AE1F98">
      <w:pPr>
        <w:numPr>
          <w:ilvl w:val="1"/>
          <w:numId w:val="6"/>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SPAC Boom:</w:t>
      </w:r>
      <w:r w:rsidRPr="00AE1F98">
        <w:rPr>
          <w:rFonts w:ascii="Times New Roman" w:hAnsi="Times New Roman" w:cs="Times New Roman"/>
          <w:color w:val="000000" w:themeColor="text1"/>
          <w:sz w:val="24"/>
          <w:szCs w:val="24"/>
        </w:rPr>
        <w:t xml:space="preserve"> A significant rise in Special Purpose Acquisition Companies (SPACs) as an alternative route to public markets.</w:t>
      </w:r>
    </w:p>
    <w:p w14:paraId="78EDD614" w14:textId="77777777" w:rsidR="00AE1F98" w:rsidRPr="00AE1F98" w:rsidRDefault="00AE1F98" w:rsidP="00AE1F98">
      <w:pPr>
        <w:numPr>
          <w:ilvl w:val="1"/>
          <w:numId w:val="6"/>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Investor Confidence:</w:t>
      </w:r>
      <w:r w:rsidRPr="00AE1F98">
        <w:rPr>
          <w:rFonts w:ascii="Times New Roman" w:hAnsi="Times New Roman" w:cs="Times New Roman"/>
          <w:color w:val="000000" w:themeColor="text1"/>
          <w:sz w:val="24"/>
          <w:szCs w:val="24"/>
        </w:rPr>
        <w:t xml:space="preserve"> Renewed investor confidence and favorable market conditions.</w:t>
      </w:r>
    </w:p>
    <w:p w14:paraId="573AC303" w14:textId="77777777" w:rsidR="00AE1F98" w:rsidRPr="00AE1F98" w:rsidRDefault="00AE1F98" w:rsidP="00AE1F98">
      <w:pPr>
        <w:pStyle w:val="Heading4"/>
        <w:rPr>
          <w:rFonts w:ascii="Times New Roman" w:hAnsi="Times New Roman" w:cs="Times New Roman"/>
          <w:i w:val="0"/>
          <w:color w:val="000000" w:themeColor="text1"/>
          <w:sz w:val="24"/>
          <w:szCs w:val="24"/>
        </w:rPr>
      </w:pPr>
      <w:r w:rsidRPr="00AE1F98">
        <w:rPr>
          <w:rFonts w:ascii="Times New Roman" w:hAnsi="Times New Roman" w:cs="Times New Roman"/>
          <w:i w:val="0"/>
          <w:color w:val="000000" w:themeColor="text1"/>
          <w:sz w:val="24"/>
          <w:szCs w:val="24"/>
        </w:rPr>
        <w:t xml:space="preserve">2. </w:t>
      </w:r>
      <w:r w:rsidRPr="00AE1F98">
        <w:rPr>
          <w:rStyle w:val="Strong"/>
          <w:rFonts w:ascii="Times New Roman" w:hAnsi="Times New Roman" w:cs="Times New Roman"/>
          <w:b w:val="0"/>
          <w:bCs w:val="0"/>
          <w:i w:val="0"/>
          <w:color w:val="000000" w:themeColor="text1"/>
          <w:sz w:val="24"/>
          <w:szCs w:val="24"/>
        </w:rPr>
        <w:t>Whistleblower Awards</w:t>
      </w:r>
    </w:p>
    <w:p w14:paraId="04583850" w14:textId="77777777" w:rsidR="00AE1F98" w:rsidRPr="00AE1F98" w:rsidRDefault="00AE1F98" w:rsidP="00AE1F9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Trend During COVID-19:</w:t>
      </w:r>
      <w:r w:rsidRPr="00AE1F98">
        <w:rPr>
          <w:rFonts w:ascii="Times New Roman" w:hAnsi="Times New Roman" w:cs="Times New Roman"/>
          <w:color w:val="000000" w:themeColor="text1"/>
          <w:sz w:val="24"/>
          <w:szCs w:val="24"/>
        </w:rPr>
        <w:t xml:space="preserve"> Whistleblower awards remained high during the pandemic, with $175 million in 2020 and peaking at $564 million in 2021.</w:t>
      </w:r>
    </w:p>
    <w:p w14:paraId="47750FF5" w14:textId="77777777" w:rsidR="00AE1F98" w:rsidRPr="00AE1F98" w:rsidRDefault="00AE1F98" w:rsidP="00AE1F98">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Analysis:</w:t>
      </w:r>
      <w:r w:rsidRPr="00AE1F98">
        <w:rPr>
          <w:rFonts w:ascii="Times New Roman" w:hAnsi="Times New Roman" w:cs="Times New Roman"/>
          <w:color w:val="000000" w:themeColor="text1"/>
          <w:sz w:val="24"/>
          <w:szCs w:val="24"/>
        </w:rPr>
        <w:t xml:space="preserve"> The high awards during this period suggest:</w:t>
      </w:r>
    </w:p>
    <w:p w14:paraId="70F1FB00" w14:textId="77777777" w:rsidR="00AE1F98" w:rsidRPr="00AE1F98" w:rsidRDefault="00AE1F98" w:rsidP="00AE1F98">
      <w:pPr>
        <w:numPr>
          <w:ilvl w:val="1"/>
          <w:numId w:val="7"/>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lastRenderedPageBreak/>
        <w:t>Increased Reporting:</w:t>
      </w:r>
      <w:r w:rsidRPr="00AE1F98">
        <w:rPr>
          <w:rFonts w:ascii="Times New Roman" w:hAnsi="Times New Roman" w:cs="Times New Roman"/>
          <w:color w:val="000000" w:themeColor="text1"/>
          <w:sz w:val="24"/>
          <w:szCs w:val="24"/>
        </w:rPr>
        <w:t xml:space="preserve"> More individuals coming forward with information on violations, possibly due to financial strains and incentives from high rewards.</w:t>
      </w:r>
    </w:p>
    <w:p w14:paraId="0E371668" w14:textId="77777777" w:rsidR="00AE1F98" w:rsidRPr="00AE1F98" w:rsidRDefault="00AE1F98" w:rsidP="00AE1F98">
      <w:pPr>
        <w:numPr>
          <w:ilvl w:val="1"/>
          <w:numId w:val="7"/>
        </w:numPr>
        <w:spacing w:before="100" w:beforeAutospacing="1" w:after="100" w:afterAutospacing="1" w:line="240" w:lineRule="auto"/>
        <w:rPr>
          <w:rFonts w:ascii="Times New Roman" w:hAnsi="Times New Roman" w:cs="Times New Roman"/>
          <w:color w:val="000000" w:themeColor="text1"/>
          <w:sz w:val="24"/>
          <w:szCs w:val="24"/>
        </w:rPr>
      </w:pPr>
      <w:r w:rsidRPr="00AE1F98">
        <w:rPr>
          <w:rStyle w:val="Strong"/>
          <w:rFonts w:ascii="Times New Roman" w:hAnsi="Times New Roman" w:cs="Times New Roman"/>
          <w:color w:val="000000" w:themeColor="text1"/>
          <w:sz w:val="24"/>
          <w:szCs w:val="24"/>
        </w:rPr>
        <w:t>Effective Enforcement:</w:t>
      </w:r>
      <w:r w:rsidRPr="00AE1F98">
        <w:rPr>
          <w:rFonts w:ascii="Times New Roman" w:hAnsi="Times New Roman" w:cs="Times New Roman"/>
          <w:color w:val="000000" w:themeColor="text1"/>
          <w:sz w:val="24"/>
          <w:szCs w:val="24"/>
        </w:rPr>
        <w:t xml:space="preserve"> Continued effectiveness of the SEC’s whistleblower program, even during the pandemic.</w:t>
      </w:r>
    </w:p>
    <w:p w14:paraId="72633A5E" w14:textId="77777777" w:rsidR="00AE1F98" w:rsidRPr="00AE1F98" w:rsidRDefault="00AE1F98" w:rsidP="00AE1F98">
      <w:pPr>
        <w:pStyle w:val="Heading4"/>
        <w:rPr>
          <w:rFonts w:ascii="Times New Roman" w:hAnsi="Times New Roman" w:cs="Times New Roman"/>
          <w:i w:val="0"/>
          <w:color w:val="000000" w:themeColor="text1"/>
          <w:sz w:val="24"/>
          <w:szCs w:val="24"/>
        </w:rPr>
      </w:pPr>
      <w:r w:rsidRPr="00AE1F98">
        <w:rPr>
          <w:rFonts w:ascii="Times New Roman" w:hAnsi="Times New Roman" w:cs="Times New Roman"/>
          <w:i w:val="0"/>
          <w:color w:val="000000" w:themeColor="text1"/>
          <w:sz w:val="24"/>
          <w:szCs w:val="24"/>
        </w:rPr>
        <w:t xml:space="preserve">3. </w:t>
      </w:r>
      <w:r w:rsidRPr="00AE1F98">
        <w:rPr>
          <w:rStyle w:val="Strong"/>
          <w:rFonts w:ascii="Times New Roman" w:hAnsi="Times New Roman" w:cs="Times New Roman"/>
          <w:b w:val="0"/>
          <w:bCs w:val="0"/>
          <w:i w:val="0"/>
          <w:color w:val="000000" w:themeColor="text1"/>
          <w:sz w:val="24"/>
          <w:szCs w:val="24"/>
        </w:rPr>
        <w:t>Enforcement Actions</w:t>
      </w:r>
    </w:p>
    <w:p w14:paraId="63C316E4" w14:textId="77777777" w:rsidR="00AE1F98" w:rsidRPr="00AE1F98" w:rsidRDefault="00AE1F98" w:rsidP="00AE1F98">
      <w:pPr>
        <w:numPr>
          <w:ilvl w:val="0"/>
          <w:numId w:val="8"/>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Trend During COVID-19:</w:t>
      </w:r>
      <w:r w:rsidRPr="00AE1F98">
        <w:rPr>
          <w:rFonts w:ascii="Times New Roman" w:hAnsi="Times New Roman" w:cs="Times New Roman"/>
          <w:sz w:val="24"/>
          <w:szCs w:val="24"/>
        </w:rPr>
        <w:t xml:space="preserve"> There was a noticeable dip in enforcement actions in 2020 (715) and 2021 (697) compared to previous years.</w:t>
      </w:r>
    </w:p>
    <w:p w14:paraId="4E5214A6" w14:textId="77777777" w:rsidR="00AE1F98" w:rsidRPr="00AE1F98" w:rsidRDefault="00AE1F98" w:rsidP="00AE1F98">
      <w:pPr>
        <w:numPr>
          <w:ilvl w:val="0"/>
          <w:numId w:val="8"/>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Analysis:</w:t>
      </w:r>
      <w:r w:rsidRPr="00AE1F98">
        <w:rPr>
          <w:rFonts w:ascii="Times New Roman" w:hAnsi="Times New Roman" w:cs="Times New Roman"/>
          <w:sz w:val="24"/>
          <w:szCs w:val="24"/>
        </w:rPr>
        <w:t xml:space="preserve"> This decline could be due to:</w:t>
      </w:r>
    </w:p>
    <w:p w14:paraId="3DEF0CC1" w14:textId="77777777" w:rsidR="00AE1F98" w:rsidRPr="00AE1F98" w:rsidRDefault="00AE1F98" w:rsidP="00AE1F98">
      <w:pPr>
        <w:numPr>
          <w:ilvl w:val="1"/>
          <w:numId w:val="8"/>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Operational Challenges:</w:t>
      </w:r>
      <w:r w:rsidRPr="00AE1F98">
        <w:rPr>
          <w:rFonts w:ascii="Times New Roman" w:hAnsi="Times New Roman" w:cs="Times New Roman"/>
          <w:sz w:val="24"/>
          <w:szCs w:val="24"/>
        </w:rPr>
        <w:t xml:space="preserve"> The SEC may have faced operational challenges and </w:t>
      </w:r>
      <w:bookmarkStart w:id="0" w:name="_GoBack"/>
      <w:bookmarkEnd w:id="0"/>
      <w:r w:rsidRPr="00AE1F98">
        <w:rPr>
          <w:rFonts w:ascii="Times New Roman" w:hAnsi="Times New Roman" w:cs="Times New Roman"/>
          <w:sz w:val="24"/>
          <w:szCs w:val="24"/>
        </w:rPr>
        <w:t>resource constraints during the height of the pandemic, affecting their ability to initiate new enforcement actions.</w:t>
      </w:r>
    </w:p>
    <w:p w14:paraId="16C929E6" w14:textId="77777777" w:rsidR="00AE1F98" w:rsidRPr="00AE1F98" w:rsidRDefault="00AE1F98" w:rsidP="00AE1F98">
      <w:pPr>
        <w:numPr>
          <w:ilvl w:val="1"/>
          <w:numId w:val="8"/>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Focus on Major Cases:</w:t>
      </w:r>
      <w:r w:rsidRPr="00AE1F98">
        <w:rPr>
          <w:rFonts w:ascii="Times New Roman" w:hAnsi="Times New Roman" w:cs="Times New Roman"/>
          <w:sz w:val="24"/>
          <w:szCs w:val="24"/>
        </w:rPr>
        <w:t xml:space="preserve"> The SEC might have prioritized larger, more significant cases over the sheer volume of smaller cases during this period.</w:t>
      </w:r>
    </w:p>
    <w:p w14:paraId="3E59119B" w14:textId="77777777" w:rsidR="00AE1F98" w:rsidRPr="00AE1F98" w:rsidRDefault="00AE1F98" w:rsidP="00AE1F98">
      <w:pPr>
        <w:pStyle w:val="Heading4"/>
        <w:rPr>
          <w:rFonts w:ascii="Times New Roman" w:hAnsi="Times New Roman" w:cs="Times New Roman"/>
          <w:i w:val="0"/>
          <w:color w:val="000000" w:themeColor="text1"/>
          <w:sz w:val="24"/>
          <w:szCs w:val="24"/>
        </w:rPr>
      </w:pPr>
      <w:r w:rsidRPr="00AE1F98">
        <w:rPr>
          <w:rFonts w:ascii="Times New Roman" w:hAnsi="Times New Roman" w:cs="Times New Roman"/>
          <w:i w:val="0"/>
          <w:color w:val="000000" w:themeColor="text1"/>
          <w:sz w:val="24"/>
          <w:szCs w:val="24"/>
        </w:rPr>
        <w:t xml:space="preserve">4. </w:t>
      </w:r>
      <w:r w:rsidRPr="00AE1F98">
        <w:rPr>
          <w:rStyle w:val="Strong"/>
          <w:rFonts w:ascii="Times New Roman" w:hAnsi="Times New Roman" w:cs="Times New Roman"/>
          <w:b w:val="0"/>
          <w:bCs w:val="0"/>
          <w:i w:val="0"/>
          <w:color w:val="000000" w:themeColor="text1"/>
          <w:sz w:val="24"/>
          <w:szCs w:val="24"/>
        </w:rPr>
        <w:t>Total Penalties and Disgorgements</w:t>
      </w:r>
    </w:p>
    <w:p w14:paraId="7A0531DC" w14:textId="77777777" w:rsidR="00AE1F98" w:rsidRPr="00AE1F98" w:rsidRDefault="00AE1F98" w:rsidP="00AE1F98">
      <w:pPr>
        <w:numPr>
          <w:ilvl w:val="0"/>
          <w:numId w:val="9"/>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Trend During COVID-19:</w:t>
      </w:r>
      <w:r w:rsidRPr="00AE1F98">
        <w:rPr>
          <w:rFonts w:ascii="Times New Roman" w:hAnsi="Times New Roman" w:cs="Times New Roman"/>
          <w:sz w:val="24"/>
          <w:szCs w:val="24"/>
        </w:rPr>
        <w:t xml:space="preserve"> Total penalties and disgorgements saw an increase in 2020 to $4.7 billion, the highest in the past decade, before normalizing to around $3.9 billion in 2021.</w:t>
      </w:r>
    </w:p>
    <w:p w14:paraId="3456BADC" w14:textId="77777777" w:rsidR="00AE1F98" w:rsidRPr="00AE1F98" w:rsidRDefault="00AE1F98" w:rsidP="00AE1F98">
      <w:pPr>
        <w:numPr>
          <w:ilvl w:val="0"/>
          <w:numId w:val="9"/>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Analysis:</w:t>
      </w:r>
      <w:r w:rsidRPr="00AE1F98">
        <w:rPr>
          <w:rFonts w:ascii="Times New Roman" w:hAnsi="Times New Roman" w:cs="Times New Roman"/>
          <w:sz w:val="24"/>
          <w:szCs w:val="24"/>
        </w:rPr>
        <w:t xml:space="preserve"> The increase in 2020 can be attributed to:</w:t>
      </w:r>
    </w:p>
    <w:p w14:paraId="7E4B6029" w14:textId="77777777" w:rsidR="00AE1F98" w:rsidRPr="00AE1F98" w:rsidRDefault="00AE1F98" w:rsidP="00AE1F98">
      <w:pPr>
        <w:numPr>
          <w:ilvl w:val="1"/>
          <w:numId w:val="9"/>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High-Profile Cases:</w:t>
      </w:r>
      <w:r w:rsidRPr="00AE1F98">
        <w:rPr>
          <w:rFonts w:ascii="Times New Roman" w:hAnsi="Times New Roman" w:cs="Times New Roman"/>
          <w:sz w:val="24"/>
          <w:szCs w:val="24"/>
        </w:rPr>
        <w:t xml:space="preserve"> Resolution of significant cases with large penalties.</w:t>
      </w:r>
    </w:p>
    <w:p w14:paraId="2CB507B9" w14:textId="77777777" w:rsidR="00AE1F98" w:rsidRPr="00AE1F98" w:rsidRDefault="00AE1F98" w:rsidP="00AE1F98">
      <w:pPr>
        <w:numPr>
          <w:ilvl w:val="1"/>
          <w:numId w:val="9"/>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Maintained Deterrence:</w:t>
      </w:r>
      <w:r w:rsidRPr="00AE1F98">
        <w:rPr>
          <w:rFonts w:ascii="Times New Roman" w:hAnsi="Times New Roman" w:cs="Times New Roman"/>
          <w:sz w:val="24"/>
          <w:szCs w:val="24"/>
        </w:rPr>
        <w:t xml:space="preserve"> Despite fewer enforcement actions, the SEC maintained strong deterrence through substantial penalties in the cases they did pursue.</w:t>
      </w:r>
    </w:p>
    <w:p w14:paraId="37F5FD61" w14:textId="77777777" w:rsidR="00AE1F98" w:rsidRPr="00AE1F98" w:rsidRDefault="00AE1F98" w:rsidP="00AE1F98">
      <w:pPr>
        <w:pStyle w:val="Heading3"/>
        <w:rPr>
          <w:sz w:val="24"/>
          <w:szCs w:val="24"/>
        </w:rPr>
      </w:pPr>
      <w:r w:rsidRPr="00AE1F98">
        <w:rPr>
          <w:sz w:val="24"/>
          <w:szCs w:val="24"/>
        </w:rPr>
        <w:t>Additional Insights</w:t>
      </w:r>
    </w:p>
    <w:p w14:paraId="73063C6A" w14:textId="77777777" w:rsidR="00AE1F98" w:rsidRPr="00AE1F98" w:rsidRDefault="00AE1F98" w:rsidP="00AE1F98">
      <w:pPr>
        <w:numPr>
          <w:ilvl w:val="0"/>
          <w:numId w:val="10"/>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Operational Adaptations:</w:t>
      </w:r>
      <w:r w:rsidRPr="00AE1F98">
        <w:rPr>
          <w:rFonts w:ascii="Times New Roman" w:hAnsi="Times New Roman" w:cs="Times New Roman"/>
          <w:sz w:val="24"/>
          <w:szCs w:val="24"/>
        </w:rPr>
        <w:t xml:space="preserve"> The SEC adapted to remote working and virtual operations, continuing its regulatory and enforcement activities despite pandemic-related disruptions.</w:t>
      </w:r>
    </w:p>
    <w:p w14:paraId="5148A7F7" w14:textId="77777777" w:rsidR="00AE1F98" w:rsidRPr="00AE1F98" w:rsidRDefault="00AE1F98" w:rsidP="00AE1F98">
      <w:pPr>
        <w:numPr>
          <w:ilvl w:val="0"/>
          <w:numId w:val="10"/>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Regulatory Flexibility:</w:t>
      </w:r>
      <w:r w:rsidRPr="00AE1F98">
        <w:rPr>
          <w:rFonts w:ascii="Times New Roman" w:hAnsi="Times New Roman" w:cs="Times New Roman"/>
          <w:sz w:val="24"/>
          <w:szCs w:val="24"/>
        </w:rPr>
        <w:t xml:space="preserve"> The SEC introduced temporary relief measures to help companies manage the unprecedented challenges posed by COVID-19, such as extensions for filing deadlines and guidance on conducting virtual shareholder meetings.</w:t>
      </w:r>
    </w:p>
    <w:p w14:paraId="6B609980" w14:textId="77777777" w:rsidR="00AE1F98" w:rsidRPr="00AE1F98" w:rsidRDefault="00AE1F98" w:rsidP="00AE1F98">
      <w:pPr>
        <w:numPr>
          <w:ilvl w:val="0"/>
          <w:numId w:val="10"/>
        </w:numPr>
        <w:spacing w:before="100" w:beforeAutospacing="1" w:after="100" w:afterAutospacing="1" w:line="240" w:lineRule="auto"/>
        <w:rPr>
          <w:rFonts w:ascii="Times New Roman" w:hAnsi="Times New Roman" w:cs="Times New Roman"/>
          <w:sz w:val="24"/>
          <w:szCs w:val="24"/>
        </w:rPr>
      </w:pPr>
      <w:r w:rsidRPr="00AE1F98">
        <w:rPr>
          <w:rStyle w:val="Strong"/>
          <w:rFonts w:ascii="Times New Roman" w:hAnsi="Times New Roman" w:cs="Times New Roman"/>
          <w:sz w:val="24"/>
          <w:szCs w:val="24"/>
        </w:rPr>
        <w:t>Focus on Pandemic-Related Fraud:</w:t>
      </w:r>
      <w:r w:rsidRPr="00AE1F98">
        <w:rPr>
          <w:rFonts w:ascii="Times New Roman" w:hAnsi="Times New Roman" w:cs="Times New Roman"/>
          <w:sz w:val="24"/>
          <w:szCs w:val="24"/>
        </w:rPr>
        <w:t xml:space="preserve"> There was a particular focus on monitoring and addressing COVID-19-related fraud, including fraudulent investment schemes and misleading disclosures related to the pandemic.</w:t>
      </w:r>
    </w:p>
    <w:p w14:paraId="73EDBD7B" w14:textId="77777777" w:rsidR="00AE1F98" w:rsidRPr="00AE1F98" w:rsidRDefault="00AE1F98" w:rsidP="00AE1F98">
      <w:pPr>
        <w:pStyle w:val="Heading3"/>
        <w:rPr>
          <w:sz w:val="24"/>
          <w:szCs w:val="24"/>
        </w:rPr>
      </w:pPr>
      <w:r w:rsidRPr="00AE1F98">
        <w:rPr>
          <w:sz w:val="24"/>
          <w:szCs w:val="24"/>
        </w:rPr>
        <w:t>Conclusion</w:t>
      </w:r>
    </w:p>
    <w:p w14:paraId="028B0CCD" w14:textId="77777777" w:rsidR="00AE1F98" w:rsidRDefault="00AE1F98" w:rsidP="00AE1F98">
      <w:pPr>
        <w:pStyle w:val="NormalWeb"/>
      </w:pPr>
      <w:r w:rsidRPr="00AE1F98">
        <w:t>The data indicates that the SEC remained active and effective during the COVID-19 pandemic, adapting to new challenges and continuing to enforce regulations and protect investors. The significant increase in IPOs, high whistleblower awards, and substantial penalties demonstrate resilience and adaptability in the face of unprecedented global disruption.</w:t>
      </w:r>
    </w:p>
    <w:p w14:paraId="649DC07F" w14:textId="6CD08B8D" w:rsidR="00D67649" w:rsidRDefault="00D67649" w:rsidP="00D67649"/>
    <w:p w14:paraId="52133140" w14:textId="77777777" w:rsidR="00D67649" w:rsidRPr="0045099F" w:rsidRDefault="00D67649" w:rsidP="0045099F">
      <w:pPr>
        <w:jc w:val="both"/>
        <w:rPr>
          <w:rFonts w:ascii="Times New Roman" w:hAnsi="Times New Roman" w:cs="Times New Roman"/>
          <w:b/>
          <w:sz w:val="24"/>
          <w:szCs w:val="24"/>
        </w:rPr>
      </w:pPr>
    </w:p>
    <w:sectPr w:rsidR="00D67649" w:rsidRPr="0045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0AEE"/>
    <w:multiLevelType w:val="multilevel"/>
    <w:tmpl w:val="F742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86FE6"/>
    <w:multiLevelType w:val="multilevel"/>
    <w:tmpl w:val="2AA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54116"/>
    <w:multiLevelType w:val="multilevel"/>
    <w:tmpl w:val="792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71444"/>
    <w:multiLevelType w:val="multilevel"/>
    <w:tmpl w:val="4F52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E4FE6"/>
    <w:multiLevelType w:val="multilevel"/>
    <w:tmpl w:val="E3A4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079DB"/>
    <w:multiLevelType w:val="multilevel"/>
    <w:tmpl w:val="22F2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C7E5C"/>
    <w:multiLevelType w:val="multilevel"/>
    <w:tmpl w:val="CF8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C284C"/>
    <w:multiLevelType w:val="multilevel"/>
    <w:tmpl w:val="5BC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F1310"/>
    <w:multiLevelType w:val="multilevel"/>
    <w:tmpl w:val="F39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2775A"/>
    <w:multiLevelType w:val="multilevel"/>
    <w:tmpl w:val="2E34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1"/>
  </w:num>
  <w:num w:numId="5">
    <w:abstractNumId w:val="3"/>
  </w:num>
  <w:num w:numId="6">
    <w:abstractNumId w:val="0"/>
  </w:num>
  <w:num w:numId="7">
    <w:abstractNumId w:val="4"/>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9F"/>
    <w:rsid w:val="000666F7"/>
    <w:rsid w:val="000D6FF0"/>
    <w:rsid w:val="00324E41"/>
    <w:rsid w:val="0045099F"/>
    <w:rsid w:val="00923C53"/>
    <w:rsid w:val="00AE1F98"/>
    <w:rsid w:val="00D6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C59D"/>
  <w15:chartTrackingRefBased/>
  <w15:docId w15:val="{E5F1BF7F-E7E7-49B7-9CEB-D8401E20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50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76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0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6764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67649"/>
    <w:rPr>
      <w:b/>
      <w:bCs/>
    </w:rPr>
  </w:style>
  <w:style w:type="character" w:customStyle="1" w:styleId="line-clamp-1">
    <w:name w:val="line-clamp-1"/>
    <w:basedOn w:val="DefaultParagraphFont"/>
    <w:rsid w:val="00D67649"/>
  </w:style>
  <w:style w:type="table" w:styleId="TableGrid">
    <w:name w:val="Table Grid"/>
    <w:basedOn w:val="TableNormal"/>
    <w:uiPriority w:val="39"/>
    <w:rsid w:val="00D67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5930">
      <w:bodyDiv w:val="1"/>
      <w:marLeft w:val="0"/>
      <w:marRight w:val="0"/>
      <w:marTop w:val="0"/>
      <w:marBottom w:val="0"/>
      <w:divBdr>
        <w:top w:val="none" w:sz="0" w:space="0" w:color="auto"/>
        <w:left w:val="none" w:sz="0" w:space="0" w:color="auto"/>
        <w:bottom w:val="none" w:sz="0" w:space="0" w:color="auto"/>
        <w:right w:val="none" w:sz="0" w:space="0" w:color="auto"/>
      </w:divBdr>
    </w:div>
    <w:div w:id="317804439">
      <w:bodyDiv w:val="1"/>
      <w:marLeft w:val="0"/>
      <w:marRight w:val="0"/>
      <w:marTop w:val="0"/>
      <w:marBottom w:val="0"/>
      <w:divBdr>
        <w:top w:val="none" w:sz="0" w:space="0" w:color="auto"/>
        <w:left w:val="none" w:sz="0" w:space="0" w:color="auto"/>
        <w:bottom w:val="none" w:sz="0" w:space="0" w:color="auto"/>
        <w:right w:val="none" w:sz="0" w:space="0" w:color="auto"/>
      </w:divBdr>
    </w:div>
    <w:div w:id="332494768">
      <w:bodyDiv w:val="1"/>
      <w:marLeft w:val="0"/>
      <w:marRight w:val="0"/>
      <w:marTop w:val="0"/>
      <w:marBottom w:val="0"/>
      <w:divBdr>
        <w:top w:val="none" w:sz="0" w:space="0" w:color="auto"/>
        <w:left w:val="none" w:sz="0" w:space="0" w:color="auto"/>
        <w:bottom w:val="none" w:sz="0" w:space="0" w:color="auto"/>
        <w:right w:val="none" w:sz="0" w:space="0" w:color="auto"/>
      </w:divBdr>
    </w:div>
    <w:div w:id="648899066">
      <w:bodyDiv w:val="1"/>
      <w:marLeft w:val="0"/>
      <w:marRight w:val="0"/>
      <w:marTop w:val="0"/>
      <w:marBottom w:val="0"/>
      <w:divBdr>
        <w:top w:val="none" w:sz="0" w:space="0" w:color="auto"/>
        <w:left w:val="none" w:sz="0" w:space="0" w:color="auto"/>
        <w:bottom w:val="none" w:sz="0" w:space="0" w:color="auto"/>
        <w:right w:val="none" w:sz="0" w:space="0" w:color="auto"/>
      </w:divBdr>
    </w:div>
    <w:div w:id="888567365">
      <w:bodyDiv w:val="1"/>
      <w:marLeft w:val="0"/>
      <w:marRight w:val="0"/>
      <w:marTop w:val="0"/>
      <w:marBottom w:val="0"/>
      <w:divBdr>
        <w:top w:val="none" w:sz="0" w:space="0" w:color="auto"/>
        <w:left w:val="none" w:sz="0" w:space="0" w:color="auto"/>
        <w:bottom w:val="none" w:sz="0" w:space="0" w:color="auto"/>
        <w:right w:val="none" w:sz="0" w:space="0" w:color="auto"/>
      </w:divBdr>
    </w:div>
    <w:div w:id="1047072166">
      <w:bodyDiv w:val="1"/>
      <w:marLeft w:val="0"/>
      <w:marRight w:val="0"/>
      <w:marTop w:val="0"/>
      <w:marBottom w:val="0"/>
      <w:divBdr>
        <w:top w:val="none" w:sz="0" w:space="0" w:color="auto"/>
        <w:left w:val="none" w:sz="0" w:space="0" w:color="auto"/>
        <w:bottom w:val="none" w:sz="0" w:space="0" w:color="auto"/>
        <w:right w:val="none" w:sz="0" w:space="0" w:color="auto"/>
      </w:divBdr>
    </w:div>
    <w:div w:id="1070465336">
      <w:bodyDiv w:val="1"/>
      <w:marLeft w:val="0"/>
      <w:marRight w:val="0"/>
      <w:marTop w:val="0"/>
      <w:marBottom w:val="0"/>
      <w:divBdr>
        <w:top w:val="none" w:sz="0" w:space="0" w:color="auto"/>
        <w:left w:val="none" w:sz="0" w:space="0" w:color="auto"/>
        <w:bottom w:val="none" w:sz="0" w:space="0" w:color="auto"/>
        <w:right w:val="none" w:sz="0" w:space="0" w:color="auto"/>
      </w:divBdr>
      <w:divsChild>
        <w:div w:id="55205081">
          <w:marLeft w:val="0"/>
          <w:marRight w:val="0"/>
          <w:marTop w:val="0"/>
          <w:marBottom w:val="0"/>
          <w:divBdr>
            <w:top w:val="none" w:sz="0" w:space="0" w:color="auto"/>
            <w:left w:val="none" w:sz="0" w:space="0" w:color="auto"/>
            <w:bottom w:val="none" w:sz="0" w:space="0" w:color="auto"/>
            <w:right w:val="none" w:sz="0" w:space="0" w:color="auto"/>
          </w:divBdr>
          <w:divsChild>
            <w:div w:id="1419474672">
              <w:marLeft w:val="0"/>
              <w:marRight w:val="0"/>
              <w:marTop w:val="0"/>
              <w:marBottom w:val="0"/>
              <w:divBdr>
                <w:top w:val="none" w:sz="0" w:space="0" w:color="auto"/>
                <w:left w:val="none" w:sz="0" w:space="0" w:color="auto"/>
                <w:bottom w:val="none" w:sz="0" w:space="0" w:color="auto"/>
                <w:right w:val="none" w:sz="0" w:space="0" w:color="auto"/>
              </w:divBdr>
              <w:divsChild>
                <w:div w:id="1926528811">
                  <w:marLeft w:val="0"/>
                  <w:marRight w:val="0"/>
                  <w:marTop w:val="0"/>
                  <w:marBottom w:val="0"/>
                  <w:divBdr>
                    <w:top w:val="none" w:sz="0" w:space="0" w:color="auto"/>
                    <w:left w:val="none" w:sz="0" w:space="0" w:color="auto"/>
                    <w:bottom w:val="none" w:sz="0" w:space="0" w:color="auto"/>
                    <w:right w:val="none" w:sz="0" w:space="0" w:color="auto"/>
                  </w:divBdr>
                  <w:divsChild>
                    <w:div w:id="1381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99679">
          <w:marLeft w:val="0"/>
          <w:marRight w:val="0"/>
          <w:marTop w:val="0"/>
          <w:marBottom w:val="0"/>
          <w:divBdr>
            <w:top w:val="none" w:sz="0" w:space="0" w:color="auto"/>
            <w:left w:val="none" w:sz="0" w:space="0" w:color="auto"/>
            <w:bottom w:val="none" w:sz="0" w:space="0" w:color="auto"/>
            <w:right w:val="none" w:sz="0" w:space="0" w:color="auto"/>
          </w:divBdr>
          <w:divsChild>
            <w:div w:id="484901478">
              <w:marLeft w:val="0"/>
              <w:marRight w:val="0"/>
              <w:marTop w:val="0"/>
              <w:marBottom w:val="0"/>
              <w:divBdr>
                <w:top w:val="none" w:sz="0" w:space="0" w:color="auto"/>
                <w:left w:val="none" w:sz="0" w:space="0" w:color="auto"/>
                <w:bottom w:val="none" w:sz="0" w:space="0" w:color="auto"/>
                <w:right w:val="none" w:sz="0" w:space="0" w:color="auto"/>
              </w:divBdr>
              <w:divsChild>
                <w:div w:id="432480282">
                  <w:marLeft w:val="0"/>
                  <w:marRight w:val="0"/>
                  <w:marTop w:val="0"/>
                  <w:marBottom w:val="0"/>
                  <w:divBdr>
                    <w:top w:val="none" w:sz="0" w:space="0" w:color="auto"/>
                    <w:left w:val="none" w:sz="0" w:space="0" w:color="auto"/>
                    <w:bottom w:val="none" w:sz="0" w:space="0" w:color="auto"/>
                    <w:right w:val="none" w:sz="0" w:space="0" w:color="auto"/>
                  </w:divBdr>
                  <w:divsChild>
                    <w:div w:id="6262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482">
      <w:bodyDiv w:val="1"/>
      <w:marLeft w:val="0"/>
      <w:marRight w:val="0"/>
      <w:marTop w:val="0"/>
      <w:marBottom w:val="0"/>
      <w:divBdr>
        <w:top w:val="none" w:sz="0" w:space="0" w:color="auto"/>
        <w:left w:val="none" w:sz="0" w:space="0" w:color="auto"/>
        <w:bottom w:val="none" w:sz="0" w:space="0" w:color="auto"/>
        <w:right w:val="none" w:sz="0" w:space="0" w:color="auto"/>
      </w:divBdr>
    </w:div>
    <w:div w:id="154956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a:t>
            </a:r>
            <a:r>
              <a:rPr lang="en-US" baseline="0"/>
              <a:t> Regulation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Sheet1!$I$6</c:f>
              <c:strCache>
                <c:ptCount val="1"/>
                <c:pt idx="0">
                  <c:v>IPOs (Number)</c:v>
                </c:pt>
              </c:strCache>
            </c:strRef>
          </c:tx>
          <c:spPr>
            <a:ln w="28575" cap="rnd">
              <a:solidFill>
                <a:schemeClr val="accent1"/>
              </a:solidFill>
              <a:round/>
            </a:ln>
            <a:effectLst/>
          </c:spPr>
          <c:marker>
            <c:symbol val="none"/>
          </c:marker>
          <c:val>
            <c:numRef>
              <c:f>Sheet1!$I$7:$I$17</c:f>
              <c:numCache>
                <c:formatCode>General</c:formatCode>
                <c:ptCount val="11"/>
                <c:pt idx="0">
                  <c:v>157</c:v>
                </c:pt>
                <c:pt idx="1">
                  <c:v>206</c:v>
                </c:pt>
                <c:pt idx="2">
                  <c:v>170</c:v>
                </c:pt>
                <c:pt idx="3">
                  <c:v>112</c:v>
                </c:pt>
                <c:pt idx="4">
                  <c:v>160</c:v>
                </c:pt>
                <c:pt idx="5">
                  <c:v>190</c:v>
                </c:pt>
                <c:pt idx="6">
                  <c:v>213</c:v>
                </c:pt>
                <c:pt idx="7">
                  <c:v>218</c:v>
                </c:pt>
                <c:pt idx="8">
                  <c:v>1032</c:v>
                </c:pt>
                <c:pt idx="9">
                  <c:v>181</c:v>
                </c:pt>
                <c:pt idx="10">
                  <c:v>192</c:v>
                </c:pt>
              </c:numCache>
            </c:numRef>
          </c:val>
          <c:smooth val="0"/>
          <c:extLst>
            <c:ext xmlns:c16="http://schemas.microsoft.com/office/drawing/2014/chart" uri="{C3380CC4-5D6E-409C-BE32-E72D297353CC}">
              <c16:uniqueId val="{00000000-25C4-4AD0-BCB6-C913E5E0660A}"/>
            </c:ext>
          </c:extLst>
        </c:ser>
        <c:ser>
          <c:idx val="1"/>
          <c:order val="1"/>
          <c:tx>
            <c:strRef>
              <c:f>Sheet1!$J$6</c:f>
              <c:strCache>
                <c:ptCount val="1"/>
                <c:pt idx="0">
                  <c:v>Whistleblower Awards ($ Million)</c:v>
                </c:pt>
              </c:strCache>
            </c:strRef>
          </c:tx>
          <c:spPr>
            <a:ln w="28575" cap="rnd">
              <a:solidFill>
                <a:schemeClr val="accent2"/>
              </a:solidFill>
              <a:round/>
            </a:ln>
            <a:effectLst/>
          </c:spPr>
          <c:marker>
            <c:symbol val="none"/>
          </c:marker>
          <c:val>
            <c:numRef>
              <c:f>Sheet1!$J$7:$J$17</c:f>
              <c:numCache>
                <c:formatCode>General</c:formatCode>
                <c:ptCount val="11"/>
                <c:pt idx="0">
                  <c:v>14</c:v>
                </c:pt>
                <c:pt idx="1">
                  <c:v>32</c:v>
                </c:pt>
                <c:pt idx="2">
                  <c:v>37</c:v>
                </c:pt>
                <c:pt idx="3">
                  <c:v>57</c:v>
                </c:pt>
                <c:pt idx="4">
                  <c:v>50</c:v>
                </c:pt>
                <c:pt idx="5">
                  <c:v>168</c:v>
                </c:pt>
                <c:pt idx="6">
                  <c:v>387</c:v>
                </c:pt>
                <c:pt idx="7">
                  <c:v>175</c:v>
                </c:pt>
                <c:pt idx="8">
                  <c:v>564</c:v>
                </c:pt>
                <c:pt idx="9">
                  <c:v>229</c:v>
                </c:pt>
                <c:pt idx="10">
                  <c:v>374</c:v>
                </c:pt>
              </c:numCache>
            </c:numRef>
          </c:val>
          <c:smooth val="0"/>
          <c:extLst>
            <c:ext xmlns:c16="http://schemas.microsoft.com/office/drawing/2014/chart" uri="{C3380CC4-5D6E-409C-BE32-E72D297353CC}">
              <c16:uniqueId val="{00000001-25C4-4AD0-BCB6-C913E5E0660A}"/>
            </c:ext>
          </c:extLst>
        </c:ser>
        <c:ser>
          <c:idx val="2"/>
          <c:order val="2"/>
          <c:tx>
            <c:strRef>
              <c:f>Sheet1!$L$6</c:f>
              <c:strCache>
                <c:ptCount val="1"/>
                <c:pt idx="0">
                  <c:v>Total Penalties and Disgorgements ($ Billion)</c:v>
                </c:pt>
              </c:strCache>
            </c:strRef>
          </c:tx>
          <c:spPr>
            <a:ln w="28575" cap="rnd">
              <a:solidFill>
                <a:schemeClr val="accent3"/>
              </a:solidFill>
              <a:round/>
            </a:ln>
            <a:effectLst/>
          </c:spPr>
          <c:marker>
            <c:symbol val="none"/>
          </c:marker>
          <c:val>
            <c:numRef>
              <c:f>Sheet1!$L$7:$L$17</c:f>
              <c:numCache>
                <c:formatCode>General</c:formatCode>
                <c:ptCount val="11"/>
                <c:pt idx="0">
                  <c:v>3.4</c:v>
                </c:pt>
                <c:pt idx="1">
                  <c:v>4.0999999999999996</c:v>
                </c:pt>
                <c:pt idx="2">
                  <c:v>4.2</c:v>
                </c:pt>
                <c:pt idx="3">
                  <c:v>4</c:v>
                </c:pt>
                <c:pt idx="4">
                  <c:v>3.8</c:v>
                </c:pt>
                <c:pt idx="5">
                  <c:v>3.9</c:v>
                </c:pt>
                <c:pt idx="6">
                  <c:v>4.3</c:v>
                </c:pt>
                <c:pt idx="7">
                  <c:v>4.7</c:v>
                </c:pt>
                <c:pt idx="8">
                  <c:v>3.9</c:v>
                </c:pt>
                <c:pt idx="9">
                  <c:v>4.2</c:v>
                </c:pt>
                <c:pt idx="10">
                  <c:v>4.5</c:v>
                </c:pt>
              </c:numCache>
            </c:numRef>
          </c:val>
          <c:smooth val="0"/>
          <c:extLst>
            <c:ext xmlns:c16="http://schemas.microsoft.com/office/drawing/2014/chart" uri="{C3380CC4-5D6E-409C-BE32-E72D297353CC}">
              <c16:uniqueId val="{00000002-25C4-4AD0-BCB6-C913E5E0660A}"/>
            </c:ext>
          </c:extLst>
        </c:ser>
        <c:dLbls>
          <c:showLegendKey val="0"/>
          <c:showVal val="0"/>
          <c:showCatName val="0"/>
          <c:showSerName val="0"/>
          <c:showPercent val="0"/>
          <c:showBubbleSize val="0"/>
        </c:dLbls>
        <c:smooth val="0"/>
        <c:axId val="1641700671"/>
        <c:axId val="1843000975"/>
      </c:lineChart>
      <c:catAx>
        <c:axId val="164170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000975"/>
        <c:crosses val="autoZero"/>
        <c:auto val="1"/>
        <c:lblAlgn val="ctr"/>
        <c:lblOffset val="100"/>
        <c:noMultiLvlLbl val="0"/>
      </c:catAx>
      <c:valAx>
        <c:axId val="184300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Covid-19</a:t>
            </a:r>
            <a:r>
              <a:rPr lang="en-US" baseline="0"/>
              <a:t>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IPOs (Number)</c:v>
                </c:pt>
              </c:strCache>
            </c:strRef>
          </c:tx>
          <c:spPr>
            <a:ln w="28575" cap="rnd">
              <a:solidFill>
                <a:schemeClr val="accent1"/>
              </a:solidFill>
              <a:round/>
            </a:ln>
            <a:effectLst/>
          </c:spPr>
          <c:marker>
            <c:symbol val="none"/>
          </c:marker>
          <c:cat>
            <c:numRef>
              <c:f>Sheet2!$A$2:$A$7</c:f>
              <c:numCache>
                <c:formatCode>General</c:formatCode>
                <c:ptCount val="6"/>
                <c:pt idx="0">
                  <c:v>2018</c:v>
                </c:pt>
                <c:pt idx="1">
                  <c:v>2019</c:v>
                </c:pt>
                <c:pt idx="2">
                  <c:v>2020</c:v>
                </c:pt>
                <c:pt idx="3">
                  <c:v>2021</c:v>
                </c:pt>
                <c:pt idx="4">
                  <c:v>2022</c:v>
                </c:pt>
                <c:pt idx="5">
                  <c:v>2023</c:v>
                </c:pt>
              </c:numCache>
            </c:numRef>
          </c:cat>
          <c:val>
            <c:numRef>
              <c:f>Sheet2!$B$2:$B$7</c:f>
              <c:numCache>
                <c:formatCode>General</c:formatCode>
                <c:ptCount val="6"/>
                <c:pt idx="0">
                  <c:v>190</c:v>
                </c:pt>
                <c:pt idx="1">
                  <c:v>213</c:v>
                </c:pt>
                <c:pt idx="2">
                  <c:v>218</c:v>
                </c:pt>
                <c:pt idx="3">
                  <c:v>1032</c:v>
                </c:pt>
                <c:pt idx="4">
                  <c:v>181</c:v>
                </c:pt>
                <c:pt idx="5">
                  <c:v>192</c:v>
                </c:pt>
              </c:numCache>
            </c:numRef>
          </c:val>
          <c:smooth val="0"/>
          <c:extLst>
            <c:ext xmlns:c16="http://schemas.microsoft.com/office/drawing/2014/chart" uri="{C3380CC4-5D6E-409C-BE32-E72D297353CC}">
              <c16:uniqueId val="{00000000-060F-490E-856E-71E3B04BA0F3}"/>
            </c:ext>
          </c:extLst>
        </c:ser>
        <c:ser>
          <c:idx val="1"/>
          <c:order val="1"/>
          <c:tx>
            <c:strRef>
              <c:f>Sheet2!$C$1</c:f>
              <c:strCache>
                <c:ptCount val="1"/>
                <c:pt idx="0">
                  <c:v>Whistleblower Awards ($ Million)</c:v>
                </c:pt>
              </c:strCache>
            </c:strRef>
          </c:tx>
          <c:spPr>
            <a:ln w="28575" cap="rnd">
              <a:solidFill>
                <a:schemeClr val="accent2"/>
              </a:solidFill>
              <a:round/>
            </a:ln>
            <a:effectLst/>
          </c:spPr>
          <c:marker>
            <c:symbol val="none"/>
          </c:marker>
          <c:cat>
            <c:numRef>
              <c:f>Sheet2!$A$2:$A$7</c:f>
              <c:numCache>
                <c:formatCode>General</c:formatCode>
                <c:ptCount val="6"/>
                <c:pt idx="0">
                  <c:v>2018</c:v>
                </c:pt>
                <c:pt idx="1">
                  <c:v>2019</c:v>
                </c:pt>
                <c:pt idx="2">
                  <c:v>2020</c:v>
                </c:pt>
                <c:pt idx="3">
                  <c:v>2021</c:v>
                </c:pt>
                <c:pt idx="4">
                  <c:v>2022</c:v>
                </c:pt>
                <c:pt idx="5">
                  <c:v>2023</c:v>
                </c:pt>
              </c:numCache>
            </c:numRef>
          </c:cat>
          <c:val>
            <c:numRef>
              <c:f>Sheet2!$C$2:$C$7</c:f>
              <c:numCache>
                <c:formatCode>General</c:formatCode>
                <c:ptCount val="6"/>
                <c:pt idx="0">
                  <c:v>168</c:v>
                </c:pt>
                <c:pt idx="1">
                  <c:v>387</c:v>
                </c:pt>
                <c:pt idx="2">
                  <c:v>175</c:v>
                </c:pt>
                <c:pt idx="3">
                  <c:v>564</c:v>
                </c:pt>
                <c:pt idx="4">
                  <c:v>229</c:v>
                </c:pt>
                <c:pt idx="5">
                  <c:v>374</c:v>
                </c:pt>
              </c:numCache>
            </c:numRef>
          </c:val>
          <c:smooth val="0"/>
          <c:extLst>
            <c:ext xmlns:c16="http://schemas.microsoft.com/office/drawing/2014/chart" uri="{C3380CC4-5D6E-409C-BE32-E72D297353CC}">
              <c16:uniqueId val="{00000001-060F-490E-856E-71E3B04BA0F3}"/>
            </c:ext>
          </c:extLst>
        </c:ser>
        <c:ser>
          <c:idx val="2"/>
          <c:order val="2"/>
          <c:tx>
            <c:strRef>
              <c:f>Sheet2!$D$1</c:f>
              <c:strCache>
                <c:ptCount val="1"/>
                <c:pt idx="0">
                  <c:v>Enforcement Actions</c:v>
                </c:pt>
              </c:strCache>
            </c:strRef>
          </c:tx>
          <c:spPr>
            <a:ln w="28575" cap="rnd">
              <a:solidFill>
                <a:schemeClr val="accent3"/>
              </a:solidFill>
              <a:round/>
            </a:ln>
            <a:effectLst/>
          </c:spPr>
          <c:marker>
            <c:symbol val="none"/>
          </c:marker>
          <c:cat>
            <c:numRef>
              <c:f>Sheet2!$A$2:$A$7</c:f>
              <c:numCache>
                <c:formatCode>General</c:formatCode>
                <c:ptCount val="6"/>
                <c:pt idx="0">
                  <c:v>2018</c:v>
                </c:pt>
                <c:pt idx="1">
                  <c:v>2019</c:v>
                </c:pt>
                <c:pt idx="2">
                  <c:v>2020</c:v>
                </c:pt>
                <c:pt idx="3">
                  <c:v>2021</c:v>
                </c:pt>
                <c:pt idx="4">
                  <c:v>2022</c:v>
                </c:pt>
                <c:pt idx="5">
                  <c:v>2023</c:v>
                </c:pt>
              </c:numCache>
            </c:numRef>
          </c:cat>
          <c:val>
            <c:numRef>
              <c:f>Sheet2!$D$2:$D$7</c:f>
              <c:numCache>
                <c:formatCode>General</c:formatCode>
                <c:ptCount val="6"/>
                <c:pt idx="0">
                  <c:v>821</c:v>
                </c:pt>
                <c:pt idx="1">
                  <c:v>862</c:v>
                </c:pt>
                <c:pt idx="2">
                  <c:v>715</c:v>
                </c:pt>
                <c:pt idx="3">
                  <c:v>697</c:v>
                </c:pt>
                <c:pt idx="4">
                  <c:v>760</c:v>
                </c:pt>
                <c:pt idx="5">
                  <c:v>820</c:v>
                </c:pt>
              </c:numCache>
            </c:numRef>
          </c:val>
          <c:smooth val="0"/>
          <c:extLst>
            <c:ext xmlns:c16="http://schemas.microsoft.com/office/drawing/2014/chart" uri="{C3380CC4-5D6E-409C-BE32-E72D297353CC}">
              <c16:uniqueId val="{00000002-060F-490E-856E-71E3B04BA0F3}"/>
            </c:ext>
          </c:extLst>
        </c:ser>
        <c:dLbls>
          <c:showLegendKey val="0"/>
          <c:showVal val="0"/>
          <c:showCatName val="0"/>
          <c:showSerName val="0"/>
          <c:showPercent val="0"/>
          <c:showBubbleSize val="0"/>
        </c:dLbls>
        <c:smooth val="0"/>
        <c:axId val="1688489407"/>
        <c:axId val="1804454575"/>
      </c:lineChart>
      <c:catAx>
        <c:axId val="168848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454575"/>
        <c:crosses val="autoZero"/>
        <c:auto val="1"/>
        <c:lblAlgn val="ctr"/>
        <c:lblOffset val="100"/>
        <c:noMultiLvlLbl val="0"/>
      </c:catAx>
      <c:valAx>
        <c:axId val="180445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48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2024-06-13T08:11:00Z</dcterms:created>
  <dcterms:modified xsi:type="dcterms:W3CDTF">2024-06-13T08:58:00Z</dcterms:modified>
</cp:coreProperties>
</file>