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9C676" w14:textId="25A90A89" w:rsidR="006D343C" w:rsidRPr="00D6078C" w:rsidRDefault="00D6078C" w:rsidP="00D6078C">
      <w:pPr>
        <w:spacing w:before="100" w:beforeAutospacing="1" w:after="100" w:afterAutospacing="1" w:line="240" w:lineRule="auto"/>
        <w:jc w:val="center"/>
        <w:rPr>
          <w:rFonts w:ascii="Times New Roman" w:eastAsia="Times New Roman" w:hAnsi="Times New Roman" w:cs="Times New Roman"/>
          <w:b/>
          <w:sz w:val="28"/>
          <w:szCs w:val="28"/>
        </w:rPr>
      </w:pPr>
      <w:r w:rsidRPr="00D6078C">
        <w:rPr>
          <w:rFonts w:ascii="Times New Roman" w:hAnsi="Times New Roman" w:cs="Times New Roman"/>
          <w:b/>
          <w:sz w:val="28"/>
          <w:szCs w:val="28"/>
        </w:rPr>
        <w:t xml:space="preserve">Volcker Rule </w:t>
      </w:r>
      <w:r w:rsidRPr="00D6078C">
        <w:rPr>
          <w:rFonts w:ascii="Times New Roman" w:hAnsi="Times New Roman" w:cs="Times New Roman"/>
          <w:b/>
          <w:sz w:val="28"/>
          <w:szCs w:val="28"/>
        </w:rPr>
        <w:t xml:space="preserve">and </w:t>
      </w:r>
      <w:r w:rsidRPr="00D6078C">
        <w:rPr>
          <w:rFonts w:ascii="Times New Roman" w:hAnsi="Times New Roman" w:cs="Times New Roman"/>
          <w:b/>
          <w:sz w:val="28"/>
          <w:szCs w:val="28"/>
        </w:rPr>
        <w:t>Retail banking operations in U.S banking system</w:t>
      </w:r>
    </w:p>
    <w:p w14:paraId="0457A747" w14:textId="58ABA51A" w:rsidR="006D343C" w:rsidRPr="006D343C" w:rsidRDefault="006D343C" w:rsidP="006D343C">
      <w:pPr>
        <w:spacing w:before="100" w:beforeAutospacing="1" w:after="100" w:afterAutospacing="1" w:line="240" w:lineRule="auto"/>
        <w:jc w:val="both"/>
        <w:rPr>
          <w:rFonts w:ascii="Times New Roman" w:eastAsia="Times New Roman" w:hAnsi="Times New Roman" w:cs="Times New Roman"/>
          <w:sz w:val="24"/>
          <w:szCs w:val="24"/>
        </w:rPr>
      </w:pPr>
      <w:r w:rsidRPr="006D343C">
        <w:rPr>
          <w:rFonts w:ascii="Times New Roman" w:eastAsia="Times New Roman" w:hAnsi="Times New Roman" w:cs="Times New Roman"/>
          <w:sz w:val="24"/>
          <w:szCs w:val="24"/>
        </w:rPr>
        <w:t>The Volcker Rule, part of the Dodd-Frank Wall Street Reform and Consumer Protection Act enacted in response to the 2008 financial crisis, plays a significant role in shaping the landscape of retail banking operations within the U.S. banking system. Here's an overview of the Volcker Rule and its impact on retail banking:</w:t>
      </w:r>
    </w:p>
    <w:p w14:paraId="31B90617" w14:textId="77777777" w:rsidR="006D343C" w:rsidRPr="006D343C" w:rsidRDefault="006D343C" w:rsidP="006D343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D343C">
        <w:rPr>
          <w:rFonts w:ascii="Times New Roman" w:eastAsia="Times New Roman" w:hAnsi="Times New Roman" w:cs="Times New Roman"/>
          <w:b/>
          <w:bCs/>
          <w:sz w:val="24"/>
          <w:szCs w:val="24"/>
        </w:rPr>
        <w:t>Overview of the Volcker Rule</w:t>
      </w:r>
    </w:p>
    <w:p w14:paraId="222B7C25" w14:textId="77777777" w:rsidR="006D343C" w:rsidRPr="006D343C" w:rsidRDefault="006D343C" w:rsidP="006D343C">
      <w:pPr>
        <w:spacing w:before="100" w:beforeAutospacing="1" w:after="100" w:afterAutospacing="1" w:line="240" w:lineRule="auto"/>
        <w:jc w:val="both"/>
        <w:rPr>
          <w:rFonts w:ascii="Times New Roman" w:eastAsia="Times New Roman" w:hAnsi="Times New Roman" w:cs="Times New Roman"/>
          <w:sz w:val="24"/>
          <w:szCs w:val="24"/>
        </w:rPr>
      </w:pPr>
      <w:r w:rsidRPr="006D343C">
        <w:rPr>
          <w:rFonts w:ascii="Times New Roman" w:eastAsia="Times New Roman" w:hAnsi="Times New Roman" w:cs="Times New Roman"/>
          <w:sz w:val="24"/>
          <w:szCs w:val="24"/>
        </w:rPr>
        <w:t>The Volcker Rule, named after former Federal Reserve Chairman Paul Volcker, aims to reduce the risk and conflict of interest in the financial sector by prohibiting banks from engaging in proprietary trading and limiting their ownership of and relationships with hedge funds and private equity funds. The core objectives are to:</w:t>
      </w:r>
    </w:p>
    <w:p w14:paraId="79465E78" w14:textId="77777777" w:rsidR="006D343C" w:rsidRPr="006D343C" w:rsidRDefault="006D343C" w:rsidP="006D343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D343C">
        <w:rPr>
          <w:rFonts w:ascii="Times New Roman" w:eastAsia="Times New Roman" w:hAnsi="Times New Roman" w:cs="Times New Roman"/>
          <w:sz w:val="24"/>
          <w:szCs w:val="24"/>
        </w:rPr>
        <w:t>Prevent banks from making speculative investments that do not benefit their customers.</w:t>
      </w:r>
    </w:p>
    <w:p w14:paraId="1BA3294B" w14:textId="77777777" w:rsidR="006D343C" w:rsidRPr="006D343C" w:rsidRDefault="006D343C" w:rsidP="006D343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D343C">
        <w:rPr>
          <w:rFonts w:ascii="Times New Roman" w:eastAsia="Times New Roman" w:hAnsi="Times New Roman" w:cs="Times New Roman"/>
          <w:sz w:val="24"/>
          <w:szCs w:val="24"/>
        </w:rPr>
        <w:t>Reduce the likelihood of banks engaging in high-risk activities that could lead to financial instability.</w:t>
      </w:r>
    </w:p>
    <w:p w14:paraId="5D73D3EC" w14:textId="77777777" w:rsidR="006D343C" w:rsidRPr="006D343C" w:rsidRDefault="006D343C" w:rsidP="006D343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D343C">
        <w:rPr>
          <w:rFonts w:ascii="Times New Roman" w:eastAsia="Times New Roman" w:hAnsi="Times New Roman" w:cs="Times New Roman"/>
          <w:b/>
          <w:bCs/>
          <w:sz w:val="24"/>
          <w:szCs w:val="24"/>
        </w:rPr>
        <w:t>Impact on Retail Banking Operations</w:t>
      </w:r>
    </w:p>
    <w:p w14:paraId="3F95EEFC" w14:textId="77777777" w:rsidR="006D343C" w:rsidRPr="006D343C" w:rsidRDefault="006D343C" w:rsidP="006D343C">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D343C">
        <w:rPr>
          <w:rFonts w:ascii="Times New Roman" w:eastAsia="Times New Roman" w:hAnsi="Times New Roman" w:cs="Times New Roman"/>
          <w:b/>
          <w:bCs/>
          <w:sz w:val="24"/>
          <w:szCs w:val="24"/>
        </w:rPr>
        <w:t>1. Separation of Activities</w:t>
      </w:r>
    </w:p>
    <w:p w14:paraId="75FE02C0" w14:textId="77777777" w:rsidR="006D343C" w:rsidRPr="006D343C" w:rsidRDefault="006D343C" w:rsidP="006D343C">
      <w:pPr>
        <w:spacing w:before="100" w:beforeAutospacing="1" w:after="100" w:afterAutospacing="1" w:line="240" w:lineRule="auto"/>
        <w:jc w:val="both"/>
        <w:rPr>
          <w:rFonts w:ascii="Times New Roman" w:eastAsia="Times New Roman" w:hAnsi="Times New Roman" w:cs="Times New Roman"/>
          <w:sz w:val="24"/>
          <w:szCs w:val="24"/>
        </w:rPr>
      </w:pPr>
      <w:r w:rsidRPr="006D343C">
        <w:rPr>
          <w:rFonts w:ascii="Times New Roman" w:eastAsia="Times New Roman" w:hAnsi="Times New Roman" w:cs="Times New Roman"/>
          <w:sz w:val="24"/>
          <w:szCs w:val="24"/>
        </w:rPr>
        <w:t>The Volcker Rule enforces a clear separation between investment banking, proprietary trading, and traditional retail banking activities. For retail banking operations, this means:</w:t>
      </w:r>
    </w:p>
    <w:p w14:paraId="2CBC6B59" w14:textId="77777777" w:rsidR="006D343C" w:rsidRPr="006D343C" w:rsidRDefault="006D343C" w:rsidP="006D343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D343C">
        <w:rPr>
          <w:rFonts w:ascii="Times New Roman" w:eastAsia="Times New Roman" w:hAnsi="Times New Roman" w:cs="Times New Roman"/>
          <w:b/>
          <w:bCs/>
          <w:sz w:val="24"/>
          <w:szCs w:val="24"/>
        </w:rPr>
        <w:t>Focus on Core Banking Services:</w:t>
      </w:r>
      <w:r w:rsidRPr="006D343C">
        <w:rPr>
          <w:rFonts w:ascii="Times New Roman" w:eastAsia="Times New Roman" w:hAnsi="Times New Roman" w:cs="Times New Roman"/>
          <w:sz w:val="24"/>
          <w:szCs w:val="24"/>
        </w:rPr>
        <w:t xml:space="preserve"> Retail banks are more focused on providing traditional banking services such as accepting deposits, offering loans, and managing customer accounts.</w:t>
      </w:r>
    </w:p>
    <w:p w14:paraId="536F08E0" w14:textId="77777777" w:rsidR="006D343C" w:rsidRPr="006D343C" w:rsidRDefault="006D343C" w:rsidP="006D343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D343C">
        <w:rPr>
          <w:rFonts w:ascii="Times New Roman" w:eastAsia="Times New Roman" w:hAnsi="Times New Roman" w:cs="Times New Roman"/>
          <w:b/>
          <w:bCs/>
          <w:sz w:val="24"/>
          <w:szCs w:val="24"/>
        </w:rPr>
        <w:t>Reduced Risk Exposure:</w:t>
      </w:r>
      <w:r w:rsidRPr="006D343C">
        <w:rPr>
          <w:rFonts w:ascii="Times New Roman" w:eastAsia="Times New Roman" w:hAnsi="Times New Roman" w:cs="Times New Roman"/>
          <w:sz w:val="24"/>
          <w:szCs w:val="24"/>
        </w:rPr>
        <w:t xml:space="preserve"> By limiting risky investment activities, retail banks are less exposed to the volatile markets and the potential for significant financial losses.</w:t>
      </w:r>
    </w:p>
    <w:p w14:paraId="65B46785" w14:textId="77777777" w:rsidR="006D343C" w:rsidRPr="006D343C" w:rsidRDefault="006D343C" w:rsidP="006D343C">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D343C">
        <w:rPr>
          <w:rFonts w:ascii="Times New Roman" w:eastAsia="Times New Roman" w:hAnsi="Times New Roman" w:cs="Times New Roman"/>
          <w:b/>
          <w:bCs/>
          <w:sz w:val="24"/>
          <w:szCs w:val="24"/>
        </w:rPr>
        <w:t>2. Compliance and Regulatory Burden</w:t>
      </w:r>
    </w:p>
    <w:p w14:paraId="54F4339B" w14:textId="77777777" w:rsidR="006D343C" w:rsidRPr="006D343C" w:rsidRDefault="006D343C" w:rsidP="006D343C">
      <w:pPr>
        <w:spacing w:before="100" w:beforeAutospacing="1" w:after="100" w:afterAutospacing="1" w:line="240" w:lineRule="auto"/>
        <w:jc w:val="both"/>
        <w:rPr>
          <w:rFonts w:ascii="Times New Roman" w:eastAsia="Times New Roman" w:hAnsi="Times New Roman" w:cs="Times New Roman"/>
          <w:sz w:val="24"/>
          <w:szCs w:val="24"/>
        </w:rPr>
      </w:pPr>
      <w:r w:rsidRPr="006D343C">
        <w:rPr>
          <w:rFonts w:ascii="Times New Roman" w:eastAsia="Times New Roman" w:hAnsi="Times New Roman" w:cs="Times New Roman"/>
          <w:sz w:val="24"/>
          <w:szCs w:val="24"/>
        </w:rPr>
        <w:t>Retail banks must implement robust compliance programs to ensure they do not engage in prohibited activities under the Volcker Rule. This includes:</w:t>
      </w:r>
    </w:p>
    <w:p w14:paraId="376C966E" w14:textId="77777777" w:rsidR="006D343C" w:rsidRPr="006D343C" w:rsidRDefault="006D343C" w:rsidP="006D343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D343C">
        <w:rPr>
          <w:rFonts w:ascii="Times New Roman" w:eastAsia="Times New Roman" w:hAnsi="Times New Roman" w:cs="Times New Roman"/>
          <w:b/>
          <w:bCs/>
          <w:sz w:val="24"/>
          <w:szCs w:val="24"/>
        </w:rPr>
        <w:t>Enhanced Monitoring:</w:t>
      </w:r>
      <w:r w:rsidRPr="006D343C">
        <w:rPr>
          <w:rFonts w:ascii="Times New Roman" w:eastAsia="Times New Roman" w:hAnsi="Times New Roman" w:cs="Times New Roman"/>
          <w:sz w:val="24"/>
          <w:szCs w:val="24"/>
        </w:rPr>
        <w:t xml:space="preserve"> Banks need to establish systems to monitor and report their trading activities and investments.</w:t>
      </w:r>
    </w:p>
    <w:p w14:paraId="5BD3BA9F" w14:textId="77777777" w:rsidR="006D343C" w:rsidRPr="006D343C" w:rsidRDefault="006D343C" w:rsidP="006D343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D343C">
        <w:rPr>
          <w:rFonts w:ascii="Times New Roman" w:eastAsia="Times New Roman" w:hAnsi="Times New Roman" w:cs="Times New Roman"/>
          <w:b/>
          <w:bCs/>
          <w:sz w:val="24"/>
          <w:szCs w:val="24"/>
        </w:rPr>
        <w:t>Increased Costs:</w:t>
      </w:r>
      <w:r w:rsidRPr="006D343C">
        <w:rPr>
          <w:rFonts w:ascii="Times New Roman" w:eastAsia="Times New Roman" w:hAnsi="Times New Roman" w:cs="Times New Roman"/>
          <w:sz w:val="24"/>
          <w:szCs w:val="24"/>
        </w:rPr>
        <w:t xml:space="preserve"> Compliance with the Volcker Rule can lead to higher operational costs due to the need for additional regulatory staff and technology investments.</w:t>
      </w:r>
    </w:p>
    <w:p w14:paraId="64AB5C99" w14:textId="77777777" w:rsidR="006D343C" w:rsidRPr="006D343C" w:rsidRDefault="006D343C" w:rsidP="006D343C">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D343C">
        <w:rPr>
          <w:rFonts w:ascii="Times New Roman" w:eastAsia="Times New Roman" w:hAnsi="Times New Roman" w:cs="Times New Roman"/>
          <w:b/>
          <w:bCs/>
          <w:sz w:val="24"/>
          <w:szCs w:val="24"/>
        </w:rPr>
        <w:t>3. Impact on Revenue and Profitability</w:t>
      </w:r>
    </w:p>
    <w:p w14:paraId="1D0C3692" w14:textId="77777777" w:rsidR="006D343C" w:rsidRPr="006D343C" w:rsidRDefault="006D343C" w:rsidP="006D343C">
      <w:pPr>
        <w:spacing w:before="100" w:beforeAutospacing="1" w:after="100" w:afterAutospacing="1" w:line="240" w:lineRule="auto"/>
        <w:jc w:val="both"/>
        <w:rPr>
          <w:rFonts w:ascii="Times New Roman" w:eastAsia="Times New Roman" w:hAnsi="Times New Roman" w:cs="Times New Roman"/>
          <w:sz w:val="24"/>
          <w:szCs w:val="24"/>
        </w:rPr>
      </w:pPr>
      <w:r w:rsidRPr="006D343C">
        <w:rPr>
          <w:rFonts w:ascii="Times New Roman" w:eastAsia="Times New Roman" w:hAnsi="Times New Roman" w:cs="Times New Roman"/>
          <w:sz w:val="24"/>
          <w:szCs w:val="24"/>
        </w:rPr>
        <w:t>The restrictions imposed by the Volcker Rule can impact the profitability of retail banks:</w:t>
      </w:r>
    </w:p>
    <w:p w14:paraId="78964279" w14:textId="77777777" w:rsidR="006D343C" w:rsidRPr="006D343C" w:rsidRDefault="006D343C" w:rsidP="006D343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D343C">
        <w:rPr>
          <w:rFonts w:ascii="Times New Roman" w:eastAsia="Times New Roman" w:hAnsi="Times New Roman" w:cs="Times New Roman"/>
          <w:b/>
          <w:bCs/>
          <w:sz w:val="24"/>
          <w:szCs w:val="24"/>
        </w:rPr>
        <w:lastRenderedPageBreak/>
        <w:t>Limited Trading Profits:</w:t>
      </w:r>
      <w:r w:rsidRPr="006D343C">
        <w:rPr>
          <w:rFonts w:ascii="Times New Roman" w:eastAsia="Times New Roman" w:hAnsi="Times New Roman" w:cs="Times New Roman"/>
          <w:sz w:val="24"/>
          <w:szCs w:val="24"/>
        </w:rPr>
        <w:t xml:space="preserve"> By prohibiting proprietary trading, retail banks lose a potential revenue stream that could have been derived from speculative investments.</w:t>
      </w:r>
    </w:p>
    <w:p w14:paraId="37810814" w14:textId="77777777" w:rsidR="006D343C" w:rsidRPr="006D343C" w:rsidRDefault="006D343C" w:rsidP="006D343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D343C">
        <w:rPr>
          <w:rFonts w:ascii="Times New Roman" w:eastAsia="Times New Roman" w:hAnsi="Times New Roman" w:cs="Times New Roman"/>
          <w:b/>
          <w:bCs/>
          <w:sz w:val="24"/>
          <w:szCs w:val="24"/>
        </w:rPr>
        <w:t>Focus on Interest-Based Income:</w:t>
      </w:r>
      <w:r w:rsidRPr="006D343C">
        <w:rPr>
          <w:rFonts w:ascii="Times New Roman" w:eastAsia="Times New Roman" w:hAnsi="Times New Roman" w:cs="Times New Roman"/>
          <w:sz w:val="24"/>
          <w:szCs w:val="24"/>
        </w:rPr>
        <w:t xml:space="preserve"> Retail banks may shift their focus towards generating income from traditional banking activities like interest on loans and fees for services.</w:t>
      </w:r>
    </w:p>
    <w:p w14:paraId="6C1FC54C" w14:textId="77777777" w:rsidR="006D343C" w:rsidRPr="006D343C" w:rsidRDefault="006D343C" w:rsidP="006D343C">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D343C">
        <w:rPr>
          <w:rFonts w:ascii="Times New Roman" w:eastAsia="Times New Roman" w:hAnsi="Times New Roman" w:cs="Times New Roman"/>
          <w:b/>
          <w:bCs/>
          <w:sz w:val="24"/>
          <w:szCs w:val="24"/>
        </w:rPr>
        <w:t>4. Customer-Centric Approach</w:t>
      </w:r>
    </w:p>
    <w:p w14:paraId="19E0F33E" w14:textId="77777777" w:rsidR="006D343C" w:rsidRPr="006D343C" w:rsidRDefault="006D343C" w:rsidP="006D343C">
      <w:pPr>
        <w:spacing w:before="100" w:beforeAutospacing="1" w:after="100" w:afterAutospacing="1" w:line="240" w:lineRule="auto"/>
        <w:jc w:val="both"/>
        <w:rPr>
          <w:rFonts w:ascii="Times New Roman" w:eastAsia="Times New Roman" w:hAnsi="Times New Roman" w:cs="Times New Roman"/>
          <w:sz w:val="24"/>
          <w:szCs w:val="24"/>
        </w:rPr>
      </w:pPr>
      <w:r w:rsidRPr="006D343C">
        <w:rPr>
          <w:rFonts w:ascii="Times New Roman" w:eastAsia="Times New Roman" w:hAnsi="Times New Roman" w:cs="Times New Roman"/>
          <w:sz w:val="24"/>
          <w:szCs w:val="24"/>
        </w:rPr>
        <w:t>With the emphasis away from speculative trading, retail banks are more likely to adopt a customer-centric approach, which can enhance their relationship with consumers:</w:t>
      </w:r>
    </w:p>
    <w:p w14:paraId="65E04419" w14:textId="77777777" w:rsidR="006D343C" w:rsidRPr="006D343C" w:rsidRDefault="006D343C" w:rsidP="006D343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D343C">
        <w:rPr>
          <w:rFonts w:ascii="Times New Roman" w:eastAsia="Times New Roman" w:hAnsi="Times New Roman" w:cs="Times New Roman"/>
          <w:b/>
          <w:bCs/>
          <w:sz w:val="24"/>
          <w:szCs w:val="24"/>
        </w:rPr>
        <w:t>Improved Trust:</w:t>
      </w:r>
      <w:r w:rsidRPr="006D343C">
        <w:rPr>
          <w:rFonts w:ascii="Times New Roman" w:eastAsia="Times New Roman" w:hAnsi="Times New Roman" w:cs="Times New Roman"/>
          <w:sz w:val="24"/>
          <w:szCs w:val="24"/>
        </w:rPr>
        <w:t xml:space="preserve"> By focusing on customer-oriented services, retail banks can rebuild and strengthen trust with their clients.</w:t>
      </w:r>
    </w:p>
    <w:p w14:paraId="67A16439" w14:textId="77777777" w:rsidR="006D343C" w:rsidRPr="006D343C" w:rsidRDefault="006D343C" w:rsidP="006D343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D343C">
        <w:rPr>
          <w:rFonts w:ascii="Times New Roman" w:eastAsia="Times New Roman" w:hAnsi="Times New Roman" w:cs="Times New Roman"/>
          <w:b/>
          <w:bCs/>
          <w:sz w:val="24"/>
          <w:szCs w:val="24"/>
        </w:rPr>
        <w:t>Product Innovation:</w:t>
      </w:r>
      <w:r w:rsidRPr="006D343C">
        <w:rPr>
          <w:rFonts w:ascii="Times New Roman" w:eastAsia="Times New Roman" w:hAnsi="Times New Roman" w:cs="Times New Roman"/>
          <w:sz w:val="24"/>
          <w:szCs w:val="24"/>
        </w:rPr>
        <w:t xml:space="preserve"> Retail banks might invest more in developing innovative financial products and services that meet the needs of their retail customers.</w:t>
      </w:r>
    </w:p>
    <w:p w14:paraId="358EC330" w14:textId="77777777" w:rsidR="006D343C" w:rsidRPr="006D343C" w:rsidRDefault="006D343C" w:rsidP="006D343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D343C">
        <w:rPr>
          <w:rFonts w:ascii="Times New Roman" w:eastAsia="Times New Roman" w:hAnsi="Times New Roman" w:cs="Times New Roman"/>
          <w:b/>
          <w:bCs/>
          <w:sz w:val="24"/>
          <w:szCs w:val="24"/>
        </w:rPr>
        <w:t>Conclusion</w:t>
      </w:r>
    </w:p>
    <w:p w14:paraId="40E2D22B" w14:textId="0381496B" w:rsidR="006D343C" w:rsidRDefault="006D343C" w:rsidP="006D343C">
      <w:pPr>
        <w:spacing w:before="100" w:beforeAutospacing="1" w:after="100" w:afterAutospacing="1" w:line="240" w:lineRule="auto"/>
        <w:jc w:val="both"/>
        <w:rPr>
          <w:rFonts w:ascii="Times New Roman" w:eastAsia="Times New Roman" w:hAnsi="Times New Roman" w:cs="Times New Roman"/>
          <w:sz w:val="24"/>
          <w:szCs w:val="24"/>
        </w:rPr>
      </w:pPr>
      <w:r w:rsidRPr="006D343C">
        <w:rPr>
          <w:rFonts w:ascii="Times New Roman" w:eastAsia="Times New Roman" w:hAnsi="Times New Roman" w:cs="Times New Roman"/>
          <w:sz w:val="24"/>
          <w:szCs w:val="24"/>
        </w:rPr>
        <w:t>The Volcker Rule has had a significant impact on retail banking operations by promoting safer banking practices, reducing risky investment behaviors, and encouraging a more customer-focused approach. While it increases the regulatory burden and potentially limits certain revenue streams, the overarching goal is to create a more stable and reliable financial system that benefits both consumers and the economy as a whole.</w:t>
      </w:r>
    </w:p>
    <w:p w14:paraId="11EA3669" w14:textId="77777777" w:rsidR="00D6078C" w:rsidRDefault="00D6078C" w:rsidP="006D343C">
      <w:pPr>
        <w:spacing w:before="100" w:beforeAutospacing="1" w:after="100" w:afterAutospacing="1" w:line="240" w:lineRule="auto"/>
        <w:jc w:val="both"/>
        <w:rPr>
          <w:rFonts w:ascii="Times New Roman" w:eastAsia="Times New Roman" w:hAnsi="Times New Roman" w:cs="Times New Roman"/>
          <w:sz w:val="24"/>
          <w:szCs w:val="24"/>
        </w:rPr>
      </w:pPr>
    </w:p>
    <w:p w14:paraId="4767FA0E" w14:textId="613617E2" w:rsidR="00D6078C" w:rsidRPr="00D6078C" w:rsidRDefault="00D6078C" w:rsidP="00D6078C">
      <w:pPr>
        <w:pStyle w:val="ListParagraph"/>
        <w:numPr>
          <w:ilvl w:val="0"/>
          <w:numId w:val="6"/>
        </w:numPr>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D6078C">
        <w:rPr>
          <w:rStyle w:val="Strong"/>
          <w:rFonts w:ascii="Times New Roman" w:hAnsi="Times New Roman" w:cs="Times New Roman"/>
          <w:sz w:val="24"/>
          <w:szCs w:val="24"/>
        </w:rPr>
        <w:t>Reduction in Proprietary Trading Activities</w:t>
      </w:r>
    </w:p>
    <w:p w14:paraId="733F2CB7" w14:textId="54248163" w:rsidR="00D6078C" w:rsidRDefault="00D6078C" w:rsidP="00D6078C">
      <w:pPr>
        <w:pStyle w:val="ListParagraph"/>
        <w:spacing w:before="100" w:beforeAutospacing="1" w:after="100" w:afterAutospacing="1" w:line="240" w:lineRule="auto"/>
        <w:jc w:val="both"/>
        <w:rPr>
          <w:rFonts w:ascii="Times New Roman" w:eastAsia="Times New Roman" w:hAnsi="Times New Roman" w:cs="Times New Roman"/>
          <w:sz w:val="24"/>
          <w:szCs w:val="24"/>
        </w:rPr>
      </w:pPr>
      <w:r>
        <w:rPr>
          <w:noProof/>
        </w:rPr>
        <w:drawing>
          <wp:inline distT="0" distB="0" distL="0" distR="0" wp14:anchorId="5ABED534" wp14:editId="6C31F8D9">
            <wp:extent cx="4667250" cy="2628900"/>
            <wp:effectExtent l="0" t="0" r="0" b="0"/>
            <wp:docPr id="1" name="Chart 1">
              <a:extLst xmlns:a="http://schemas.openxmlformats.org/drawingml/2006/main">
                <a:ext uri="{FF2B5EF4-FFF2-40B4-BE49-F238E27FC236}">
                  <a16:creationId xmlns:a16="http://schemas.microsoft.com/office/drawing/2014/main" id="{E8F1EC55-AF16-42F1-9FFB-90AEAAC780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8483D1" w14:textId="5D8D3099" w:rsidR="00D6078C" w:rsidRDefault="00D6078C" w:rsidP="00D6078C">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0C8E3AF2" w14:textId="477815D4" w:rsidR="00D6078C" w:rsidRDefault="00D6078C" w:rsidP="00D6078C">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64EA3D88" w14:textId="09476A3E" w:rsidR="00D6078C" w:rsidRDefault="00D6078C" w:rsidP="00D6078C">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13C38C37" w14:textId="4FE6DC97" w:rsidR="00D6078C" w:rsidRDefault="00D6078C" w:rsidP="00D6078C">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5020E16C" w14:textId="1874C7E0" w:rsidR="00D6078C" w:rsidRDefault="00D6078C" w:rsidP="00D6078C">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53249578" w14:textId="7DBEFDC1" w:rsidR="00D6078C" w:rsidRPr="00D6078C" w:rsidRDefault="00D6078C" w:rsidP="00D6078C">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sz w:val="24"/>
          <w:szCs w:val="24"/>
        </w:rPr>
      </w:pPr>
      <w:r w:rsidRPr="00D6078C">
        <w:rPr>
          <w:rFonts w:ascii="Times New Roman" w:hAnsi="Times New Roman" w:cs="Times New Roman"/>
          <w:b/>
          <w:sz w:val="24"/>
          <w:szCs w:val="24"/>
        </w:rPr>
        <w:lastRenderedPageBreak/>
        <w:t>Compliance Costs for Banks</w:t>
      </w:r>
    </w:p>
    <w:p w14:paraId="2319BDA4" w14:textId="0FF75666" w:rsidR="00D6078C" w:rsidRDefault="00D6078C" w:rsidP="00D6078C">
      <w:pPr>
        <w:pStyle w:val="ListParagraph"/>
        <w:spacing w:before="100" w:beforeAutospacing="1" w:after="100" w:afterAutospacing="1" w:line="240" w:lineRule="auto"/>
        <w:ind w:left="450"/>
        <w:jc w:val="both"/>
        <w:rPr>
          <w:rFonts w:ascii="Times New Roman" w:eastAsia="Times New Roman" w:hAnsi="Times New Roman" w:cs="Times New Roman"/>
          <w:b/>
          <w:sz w:val="24"/>
          <w:szCs w:val="24"/>
        </w:rPr>
      </w:pPr>
      <w:r>
        <w:rPr>
          <w:noProof/>
        </w:rPr>
        <w:drawing>
          <wp:inline distT="0" distB="0" distL="0" distR="0" wp14:anchorId="30F76500" wp14:editId="3B9F2325">
            <wp:extent cx="4673600" cy="2540000"/>
            <wp:effectExtent l="0" t="0" r="12700" b="12700"/>
            <wp:docPr id="2" name="Chart 2">
              <a:extLst xmlns:a="http://schemas.openxmlformats.org/drawingml/2006/main">
                <a:ext uri="{FF2B5EF4-FFF2-40B4-BE49-F238E27FC236}">
                  <a16:creationId xmlns:a16="http://schemas.microsoft.com/office/drawing/2014/main" id="{1B32C30F-2762-44B4-BFFF-73467488D2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BA3CA1" w14:textId="32825E10" w:rsidR="00D6078C" w:rsidRDefault="00D6078C" w:rsidP="00D6078C">
      <w:pPr>
        <w:pStyle w:val="ListParagraph"/>
        <w:spacing w:before="100" w:beforeAutospacing="1" w:after="100" w:afterAutospacing="1" w:line="240" w:lineRule="auto"/>
        <w:ind w:left="450"/>
        <w:jc w:val="both"/>
        <w:rPr>
          <w:rFonts w:ascii="Times New Roman" w:eastAsia="Times New Roman" w:hAnsi="Times New Roman" w:cs="Times New Roman"/>
          <w:b/>
          <w:sz w:val="24"/>
          <w:szCs w:val="24"/>
        </w:rPr>
      </w:pPr>
    </w:p>
    <w:p w14:paraId="4E5F564A" w14:textId="5DF8208E" w:rsidR="00D6078C" w:rsidRPr="00D6078C" w:rsidRDefault="00D6078C" w:rsidP="00D6078C">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sz w:val="24"/>
          <w:szCs w:val="24"/>
        </w:rPr>
      </w:pPr>
      <w:r w:rsidRPr="00D6078C">
        <w:rPr>
          <w:rFonts w:ascii="Times New Roman" w:hAnsi="Times New Roman" w:cs="Times New Roman"/>
          <w:b/>
          <w:sz w:val="24"/>
          <w:szCs w:val="24"/>
        </w:rPr>
        <w:t>Changes in Bank Profitability</w:t>
      </w:r>
    </w:p>
    <w:p w14:paraId="1305D117" w14:textId="77777777" w:rsidR="00D6078C" w:rsidRPr="00D6078C" w:rsidRDefault="00D6078C" w:rsidP="00D6078C">
      <w:pPr>
        <w:pStyle w:val="ListParagraph"/>
        <w:spacing w:before="100" w:beforeAutospacing="1" w:after="100" w:afterAutospacing="1" w:line="240" w:lineRule="auto"/>
        <w:ind w:left="450"/>
        <w:jc w:val="both"/>
        <w:rPr>
          <w:rFonts w:ascii="Times New Roman" w:eastAsia="Times New Roman" w:hAnsi="Times New Roman" w:cs="Times New Roman"/>
          <w:b/>
          <w:sz w:val="24"/>
          <w:szCs w:val="24"/>
        </w:rPr>
      </w:pPr>
    </w:p>
    <w:p w14:paraId="0C18002E" w14:textId="6133093D" w:rsidR="00D6078C" w:rsidRDefault="00D6078C" w:rsidP="00D6078C">
      <w:pPr>
        <w:pStyle w:val="ListParagraph"/>
        <w:spacing w:before="100" w:beforeAutospacing="1" w:after="100" w:afterAutospacing="1" w:line="240" w:lineRule="auto"/>
        <w:ind w:left="450"/>
        <w:jc w:val="both"/>
        <w:rPr>
          <w:rFonts w:ascii="Times New Roman" w:eastAsia="Times New Roman" w:hAnsi="Times New Roman" w:cs="Times New Roman"/>
          <w:b/>
          <w:sz w:val="24"/>
          <w:szCs w:val="24"/>
        </w:rPr>
      </w:pPr>
      <w:r>
        <w:rPr>
          <w:noProof/>
        </w:rPr>
        <w:drawing>
          <wp:inline distT="0" distB="0" distL="0" distR="0" wp14:anchorId="51259C1E" wp14:editId="5126F0FE">
            <wp:extent cx="5035550" cy="3009900"/>
            <wp:effectExtent l="0" t="0" r="12700" b="0"/>
            <wp:docPr id="3" name="Chart 3">
              <a:extLst xmlns:a="http://schemas.openxmlformats.org/drawingml/2006/main">
                <a:ext uri="{FF2B5EF4-FFF2-40B4-BE49-F238E27FC236}">
                  <a16:creationId xmlns:a16="http://schemas.microsoft.com/office/drawing/2014/main" id="{E0E1F6AD-B763-48AD-A0EA-376E1678A0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9E8D0A" w14:textId="219D9E8E" w:rsidR="00D6078C" w:rsidRDefault="00D6078C" w:rsidP="00D6078C">
      <w:pPr>
        <w:spacing w:before="100" w:beforeAutospacing="1" w:after="100" w:afterAutospacing="1" w:line="240" w:lineRule="auto"/>
        <w:jc w:val="both"/>
        <w:rPr>
          <w:rFonts w:ascii="Times New Roman" w:eastAsia="Times New Roman" w:hAnsi="Times New Roman" w:cs="Times New Roman"/>
          <w:b/>
          <w:sz w:val="24"/>
          <w:szCs w:val="24"/>
        </w:rPr>
      </w:pPr>
    </w:p>
    <w:p w14:paraId="36D87A2A" w14:textId="77777777" w:rsidR="00D6078C" w:rsidRPr="00D6078C" w:rsidRDefault="00D6078C" w:rsidP="00D6078C">
      <w:pPr>
        <w:spacing w:before="100" w:beforeAutospacing="1" w:after="100" w:afterAutospacing="1" w:line="240" w:lineRule="auto"/>
        <w:jc w:val="both"/>
        <w:rPr>
          <w:rFonts w:ascii="Times New Roman" w:eastAsia="Times New Roman" w:hAnsi="Times New Roman" w:cs="Times New Roman"/>
          <w:b/>
          <w:sz w:val="24"/>
          <w:szCs w:val="24"/>
        </w:rPr>
      </w:pPr>
    </w:p>
    <w:p w14:paraId="4FDBBDE4" w14:textId="77777777" w:rsidR="00D6078C" w:rsidRDefault="00D6078C" w:rsidP="00D6078C">
      <w:pPr>
        <w:spacing w:before="100" w:beforeAutospacing="1" w:after="100" w:afterAutospacing="1" w:line="240" w:lineRule="auto"/>
        <w:jc w:val="both"/>
        <w:rPr>
          <w:rFonts w:ascii="Times New Roman" w:hAnsi="Times New Roman" w:cs="Times New Roman"/>
          <w:b/>
          <w:sz w:val="24"/>
          <w:szCs w:val="24"/>
        </w:rPr>
      </w:pPr>
    </w:p>
    <w:p w14:paraId="65006085" w14:textId="77777777" w:rsidR="00D6078C" w:rsidRDefault="00D6078C" w:rsidP="00D6078C">
      <w:pPr>
        <w:spacing w:before="100" w:beforeAutospacing="1" w:after="100" w:afterAutospacing="1" w:line="240" w:lineRule="auto"/>
        <w:jc w:val="both"/>
        <w:rPr>
          <w:rFonts w:ascii="Times New Roman" w:hAnsi="Times New Roman" w:cs="Times New Roman"/>
          <w:b/>
          <w:sz w:val="24"/>
          <w:szCs w:val="24"/>
        </w:rPr>
      </w:pPr>
    </w:p>
    <w:p w14:paraId="080A95E1" w14:textId="77777777" w:rsidR="00D6078C" w:rsidRDefault="00D6078C" w:rsidP="00D6078C">
      <w:pPr>
        <w:spacing w:before="100" w:beforeAutospacing="1" w:after="100" w:afterAutospacing="1" w:line="240" w:lineRule="auto"/>
        <w:jc w:val="both"/>
        <w:rPr>
          <w:rFonts w:ascii="Times New Roman" w:hAnsi="Times New Roman" w:cs="Times New Roman"/>
          <w:b/>
          <w:sz w:val="24"/>
          <w:szCs w:val="24"/>
        </w:rPr>
      </w:pPr>
    </w:p>
    <w:p w14:paraId="16BAFDB0" w14:textId="0E2605C3" w:rsidR="00D6078C" w:rsidRPr="00D6078C" w:rsidRDefault="00D6078C" w:rsidP="00D6078C">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sz w:val="24"/>
          <w:szCs w:val="24"/>
        </w:rPr>
      </w:pPr>
      <w:r w:rsidRPr="00D6078C">
        <w:rPr>
          <w:rFonts w:ascii="Times New Roman" w:hAnsi="Times New Roman" w:cs="Times New Roman"/>
          <w:b/>
          <w:sz w:val="24"/>
          <w:szCs w:val="24"/>
        </w:rPr>
        <w:lastRenderedPageBreak/>
        <w:t>Customer Trust and Satisfaction</w:t>
      </w:r>
    </w:p>
    <w:p w14:paraId="63B7CCE6" w14:textId="0B5EB446" w:rsidR="00D6078C" w:rsidRDefault="00D6078C" w:rsidP="00D6078C">
      <w:pPr>
        <w:pStyle w:val="ListParagraph"/>
        <w:spacing w:before="100" w:beforeAutospacing="1" w:after="100" w:afterAutospacing="1" w:line="240" w:lineRule="auto"/>
        <w:jc w:val="both"/>
        <w:rPr>
          <w:rFonts w:ascii="Times New Roman" w:eastAsia="Times New Roman" w:hAnsi="Times New Roman" w:cs="Times New Roman"/>
          <w:b/>
          <w:sz w:val="24"/>
          <w:szCs w:val="24"/>
        </w:rPr>
      </w:pPr>
      <w:r>
        <w:rPr>
          <w:noProof/>
        </w:rPr>
        <w:drawing>
          <wp:inline distT="0" distB="0" distL="0" distR="0" wp14:anchorId="420F001D" wp14:editId="54842556">
            <wp:extent cx="4572000" cy="2743200"/>
            <wp:effectExtent l="0" t="0" r="0" b="0"/>
            <wp:docPr id="4" name="Chart 4">
              <a:extLst xmlns:a="http://schemas.openxmlformats.org/drawingml/2006/main">
                <a:ext uri="{FF2B5EF4-FFF2-40B4-BE49-F238E27FC236}">
                  <a16:creationId xmlns:a16="http://schemas.microsoft.com/office/drawing/2014/main" id="{5A355E8A-CDCC-4BD4-ABAD-33F310E217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B368CBD" w14:textId="7C5184E1" w:rsidR="00D6078C" w:rsidRDefault="00D6078C" w:rsidP="00D6078C">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14:paraId="5E63B2FB" w14:textId="31D64224" w:rsidR="00D6078C" w:rsidRDefault="00D6078C" w:rsidP="00D6078C">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14:paraId="03B43BB2" w14:textId="3462BC42" w:rsidR="00D6078C" w:rsidRDefault="00D6078C" w:rsidP="00D6078C">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14:paraId="4ADD0A57" w14:textId="7EA150B6" w:rsidR="00D6078C" w:rsidRPr="00D6078C" w:rsidRDefault="00D6078C" w:rsidP="00D6078C">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sz w:val="24"/>
          <w:szCs w:val="24"/>
        </w:rPr>
      </w:pPr>
      <w:r w:rsidRPr="00D6078C">
        <w:rPr>
          <w:rFonts w:ascii="Times New Roman" w:hAnsi="Times New Roman" w:cs="Times New Roman"/>
          <w:b/>
          <w:sz w:val="24"/>
          <w:szCs w:val="24"/>
        </w:rPr>
        <w:t>Investment in Traditional Banking Services</w:t>
      </w:r>
    </w:p>
    <w:p w14:paraId="0DA25965" w14:textId="25F1E2B5" w:rsidR="00D6078C" w:rsidRDefault="00116F73" w:rsidP="00D6078C">
      <w:pPr>
        <w:pStyle w:val="ListParagraph"/>
        <w:spacing w:before="100" w:beforeAutospacing="1" w:after="100" w:afterAutospacing="1" w:line="240" w:lineRule="auto"/>
        <w:jc w:val="both"/>
        <w:rPr>
          <w:rFonts w:ascii="Times New Roman" w:eastAsia="Times New Roman" w:hAnsi="Times New Roman" w:cs="Times New Roman"/>
          <w:b/>
          <w:sz w:val="24"/>
          <w:szCs w:val="24"/>
        </w:rPr>
      </w:pPr>
      <w:r>
        <w:rPr>
          <w:noProof/>
        </w:rPr>
        <w:drawing>
          <wp:inline distT="0" distB="0" distL="0" distR="0" wp14:anchorId="4F1EE3F2" wp14:editId="6F1B8BAF">
            <wp:extent cx="4572000" cy="2743200"/>
            <wp:effectExtent l="0" t="0" r="0" b="0"/>
            <wp:docPr id="5" name="Chart 5">
              <a:extLst xmlns:a="http://schemas.openxmlformats.org/drawingml/2006/main">
                <a:ext uri="{FF2B5EF4-FFF2-40B4-BE49-F238E27FC236}">
                  <a16:creationId xmlns:a16="http://schemas.microsoft.com/office/drawing/2014/main" id="{49DDC008-293F-4BF8-8542-19584BB9CB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B930582" w14:textId="62471834" w:rsidR="00116F73" w:rsidRDefault="00116F73" w:rsidP="00D6078C">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14:paraId="3B76AB73" w14:textId="77777777" w:rsidR="00116F73" w:rsidRPr="00116F73" w:rsidRDefault="00116F73" w:rsidP="00116F73">
      <w:pPr>
        <w:pStyle w:val="Heading3"/>
        <w:jc w:val="both"/>
        <w:rPr>
          <w:sz w:val="24"/>
          <w:szCs w:val="24"/>
        </w:rPr>
      </w:pPr>
      <w:r w:rsidRPr="00116F73">
        <w:rPr>
          <w:sz w:val="24"/>
          <w:szCs w:val="24"/>
        </w:rPr>
        <w:t>Overall Interpretation</w:t>
      </w:r>
    </w:p>
    <w:p w14:paraId="529C22EF" w14:textId="77777777" w:rsidR="00116F73" w:rsidRPr="00116F73" w:rsidRDefault="00116F73" w:rsidP="00116F73">
      <w:pPr>
        <w:pStyle w:val="NormalWeb"/>
        <w:jc w:val="both"/>
      </w:pPr>
      <w:r w:rsidRPr="00116F73">
        <w:t>The visualizations collectively illustrate significant shifts in the U.S. banking landscape following the Volcker Rule:</w:t>
      </w:r>
    </w:p>
    <w:p w14:paraId="4AF50197" w14:textId="77777777" w:rsidR="00116F73" w:rsidRPr="00116F73" w:rsidRDefault="00116F73" w:rsidP="00116F73">
      <w:pPr>
        <w:numPr>
          <w:ilvl w:val="0"/>
          <w:numId w:val="7"/>
        </w:numPr>
        <w:spacing w:before="100" w:beforeAutospacing="1" w:after="100" w:afterAutospacing="1" w:line="240" w:lineRule="auto"/>
        <w:jc w:val="both"/>
        <w:rPr>
          <w:rFonts w:ascii="Times New Roman" w:hAnsi="Times New Roman" w:cs="Times New Roman"/>
          <w:sz w:val="24"/>
          <w:szCs w:val="24"/>
        </w:rPr>
      </w:pPr>
      <w:r w:rsidRPr="00116F73">
        <w:rPr>
          <w:rStyle w:val="Strong"/>
          <w:rFonts w:ascii="Times New Roman" w:hAnsi="Times New Roman" w:cs="Times New Roman"/>
          <w:sz w:val="24"/>
          <w:szCs w:val="24"/>
        </w:rPr>
        <w:t>Reduction in Risky Activities:</w:t>
      </w:r>
      <w:r w:rsidRPr="00116F73">
        <w:rPr>
          <w:rFonts w:ascii="Times New Roman" w:hAnsi="Times New Roman" w:cs="Times New Roman"/>
          <w:sz w:val="24"/>
          <w:szCs w:val="24"/>
        </w:rPr>
        <w:t xml:space="preserve"> A sharp decline in proprietary trading activities reflects compliance with the rule’s restrictions.</w:t>
      </w:r>
    </w:p>
    <w:p w14:paraId="344AE4BC" w14:textId="77777777" w:rsidR="00116F73" w:rsidRPr="00116F73" w:rsidRDefault="00116F73" w:rsidP="00116F73">
      <w:pPr>
        <w:numPr>
          <w:ilvl w:val="0"/>
          <w:numId w:val="7"/>
        </w:numPr>
        <w:spacing w:before="100" w:beforeAutospacing="1" w:after="100" w:afterAutospacing="1" w:line="240" w:lineRule="auto"/>
        <w:jc w:val="both"/>
        <w:rPr>
          <w:rFonts w:ascii="Times New Roman" w:hAnsi="Times New Roman" w:cs="Times New Roman"/>
          <w:sz w:val="24"/>
          <w:szCs w:val="24"/>
        </w:rPr>
      </w:pPr>
      <w:r w:rsidRPr="00116F73">
        <w:rPr>
          <w:rStyle w:val="Strong"/>
          <w:rFonts w:ascii="Times New Roman" w:hAnsi="Times New Roman" w:cs="Times New Roman"/>
          <w:sz w:val="24"/>
          <w:szCs w:val="24"/>
        </w:rPr>
        <w:lastRenderedPageBreak/>
        <w:t>Increased Compliance Costs:</w:t>
      </w:r>
      <w:r w:rsidRPr="00116F73">
        <w:rPr>
          <w:rFonts w:ascii="Times New Roman" w:hAnsi="Times New Roman" w:cs="Times New Roman"/>
          <w:sz w:val="24"/>
          <w:szCs w:val="24"/>
        </w:rPr>
        <w:t xml:space="preserve"> Banks face higher operational costs due to the need to adhere to new regulations.</w:t>
      </w:r>
    </w:p>
    <w:p w14:paraId="3835C2D6" w14:textId="77777777" w:rsidR="00116F73" w:rsidRPr="00116F73" w:rsidRDefault="00116F73" w:rsidP="00116F73">
      <w:pPr>
        <w:numPr>
          <w:ilvl w:val="0"/>
          <w:numId w:val="7"/>
        </w:numPr>
        <w:spacing w:before="100" w:beforeAutospacing="1" w:after="100" w:afterAutospacing="1" w:line="240" w:lineRule="auto"/>
        <w:jc w:val="both"/>
        <w:rPr>
          <w:rFonts w:ascii="Times New Roman" w:hAnsi="Times New Roman" w:cs="Times New Roman"/>
          <w:sz w:val="24"/>
          <w:szCs w:val="24"/>
        </w:rPr>
      </w:pPr>
      <w:r w:rsidRPr="00116F73">
        <w:rPr>
          <w:rStyle w:val="Strong"/>
          <w:rFonts w:ascii="Times New Roman" w:hAnsi="Times New Roman" w:cs="Times New Roman"/>
          <w:sz w:val="24"/>
          <w:szCs w:val="24"/>
        </w:rPr>
        <w:t>Adaptation and Recovery:</w:t>
      </w:r>
      <w:r w:rsidRPr="00116F73">
        <w:rPr>
          <w:rFonts w:ascii="Times New Roman" w:hAnsi="Times New Roman" w:cs="Times New Roman"/>
          <w:sz w:val="24"/>
          <w:szCs w:val="24"/>
        </w:rPr>
        <w:t xml:space="preserve"> Initial dips in profitability are followed by recovery as banks adapt their business models.</w:t>
      </w:r>
    </w:p>
    <w:p w14:paraId="01804A9C" w14:textId="77777777" w:rsidR="00116F73" w:rsidRPr="00116F73" w:rsidRDefault="00116F73" w:rsidP="00116F73">
      <w:pPr>
        <w:numPr>
          <w:ilvl w:val="0"/>
          <w:numId w:val="7"/>
        </w:numPr>
        <w:spacing w:before="100" w:beforeAutospacing="1" w:after="100" w:afterAutospacing="1" w:line="240" w:lineRule="auto"/>
        <w:jc w:val="both"/>
        <w:rPr>
          <w:rFonts w:ascii="Times New Roman" w:hAnsi="Times New Roman" w:cs="Times New Roman"/>
          <w:sz w:val="24"/>
          <w:szCs w:val="24"/>
        </w:rPr>
      </w:pPr>
      <w:r w:rsidRPr="00116F73">
        <w:rPr>
          <w:rStyle w:val="Strong"/>
          <w:rFonts w:ascii="Times New Roman" w:hAnsi="Times New Roman" w:cs="Times New Roman"/>
          <w:sz w:val="24"/>
          <w:szCs w:val="24"/>
        </w:rPr>
        <w:t>Enhanced Customer Focus:</w:t>
      </w:r>
      <w:r w:rsidRPr="00116F73">
        <w:rPr>
          <w:rFonts w:ascii="Times New Roman" w:hAnsi="Times New Roman" w:cs="Times New Roman"/>
          <w:sz w:val="24"/>
          <w:szCs w:val="24"/>
        </w:rPr>
        <w:t xml:space="preserve"> Improved customer trust and satisfaction scores highlight a successful pivot towards customer-centric operations.</w:t>
      </w:r>
    </w:p>
    <w:p w14:paraId="31BB055C" w14:textId="77777777" w:rsidR="00116F73" w:rsidRPr="00116F73" w:rsidRDefault="00116F73" w:rsidP="00116F73">
      <w:pPr>
        <w:numPr>
          <w:ilvl w:val="0"/>
          <w:numId w:val="7"/>
        </w:numPr>
        <w:spacing w:before="100" w:beforeAutospacing="1" w:after="100" w:afterAutospacing="1" w:line="240" w:lineRule="auto"/>
        <w:jc w:val="both"/>
        <w:rPr>
          <w:rFonts w:ascii="Times New Roman" w:hAnsi="Times New Roman" w:cs="Times New Roman"/>
          <w:sz w:val="24"/>
          <w:szCs w:val="24"/>
        </w:rPr>
      </w:pPr>
      <w:r w:rsidRPr="00116F73">
        <w:rPr>
          <w:rStyle w:val="Strong"/>
          <w:rFonts w:ascii="Times New Roman" w:hAnsi="Times New Roman" w:cs="Times New Roman"/>
          <w:sz w:val="24"/>
          <w:szCs w:val="24"/>
        </w:rPr>
        <w:t>Strategic Investments:</w:t>
      </w:r>
      <w:r w:rsidRPr="00116F73">
        <w:rPr>
          <w:rFonts w:ascii="Times New Roman" w:hAnsi="Times New Roman" w:cs="Times New Roman"/>
          <w:sz w:val="24"/>
          <w:szCs w:val="24"/>
        </w:rPr>
        <w:t xml:space="preserve"> Increased investments in loans, customer services, and technology demonstrate banks’ commitment to traditional banking services and innovation.</w:t>
      </w:r>
    </w:p>
    <w:p w14:paraId="6EC96739" w14:textId="77777777" w:rsidR="00116F73" w:rsidRPr="00116F73" w:rsidRDefault="00116F73" w:rsidP="00116F73">
      <w:pPr>
        <w:pStyle w:val="NormalWeb"/>
        <w:jc w:val="both"/>
      </w:pPr>
      <w:r w:rsidRPr="00116F73">
        <w:t>These trends underscore the broader goal of the Volcker Rule: to create a more stable, customer-focused banking environment by limiting risky speculative activities.</w:t>
      </w:r>
    </w:p>
    <w:p w14:paraId="5C7863C6" w14:textId="77777777" w:rsidR="00116F73" w:rsidRPr="00D6078C" w:rsidRDefault="00116F73" w:rsidP="00D6078C">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14:paraId="58A58B45" w14:textId="77777777" w:rsidR="00F92A00" w:rsidRPr="00D6078C" w:rsidRDefault="00116F73">
      <w:pPr>
        <w:rPr>
          <w:rFonts w:ascii="Times New Roman" w:hAnsi="Times New Roman" w:cs="Times New Roman"/>
          <w:b/>
          <w:sz w:val="24"/>
          <w:szCs w:val="24"/>
        </w:rPr>
      </w:pPr>
      <w:bookmarkStart w:id="0" w:name="_GoBack"/>
      <w:bookmarkEnd w:id="0"/>
    </w:p>
    <w:sectPr w:rsidR="00F92A00" w:rsidRPr="00D60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6ABC"/>
    <w:multiLevelType w:val="multilevel"/>
    <w:tmpl w:val="D2B2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F2AD7"/>
    <w:multiLevelType w:val="multilevel"/>
    <w:tmpl w:val="616E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F77D5"/>
    <w:multiLevelType w:val="multilevel"/>
    <w:tmpl w:val="E910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F071C"/>
    <w:multiLevelType w:val="hybridMultilevel"/>
    <w:tmpl w:val="39C472F8"/>
    <w:lvl w:ilvl="0" w:tplc="DAFEDBE8">
      <w:start w:val="1"/>
      <w:numFmt w:val="decimal"/>
      <w:lvlText w:val="%1."/>
      <w:lvlJc w:val="left"/>
      <w:pPr>
        <w:ind w:left="72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42922EFB"/>
    <w:multiLevelType w:val="multilevel"/>
    <w:tmpl w:val="1BFA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B6CB2"/>
    <w:multiLevelType w:val="multilevel"/>
    <w:tmpl w:val="4E80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906F8"/>
    <w:multiLevelType w:val="multilevel"/>
    <w:tmpl w:val="EF76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3C"/>
    <w:rsid w:val="000D6FF0"/>
    <w:rsid w:val="00116F73"/>
    <w:rsid w:val="00324E41"/>
    <w:rsid w:val="006D343C"/>
    <w:rsid w:val="00D6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C39B"/>
  <w15:chartTrackingRefBased/>
  <w15:docId w15:val="{16E4393C-8D7E-48BE-8FD6-048F5669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D34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34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343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343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D34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343C"/>
    <w:rPr>
      <w:b/>
      <w:bCs/>
    </w:rPr>
  </w:style>
  <w:style w:type="paragraph" w:styleId="ListParagraph">
    <w:name w:val="List Paragraph"/>
    <w:basedOn w:val="Normal"/>
    <w:uiPriority w:val="34"/>
    <w:qFormat/>
    <w:rsid w:val="00D60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538706">
      <w:bodyDiv w:val="1"/>
      <w:marLeft w:val="0"/>
      <w:marRight w:val="0"/>
      <w:marTop w:val="0"/>
      <w:marBottom w:val="0"/>
      <w:divBdr>
        <w:top w:val="none" w:sz="0" w:space="0" w:color="auto"/>
        <w:left w:val="none" w:sz="0" w:space="0" w:color="auto"/>
        <w:bottom w:val="none" w:sz="0" w:space="0" w:color="auto"/>
        <w:right w:val="none" w:sz="0" w:space="0" w:color="auto"/>
      </w:divBdr>
    </w:div>
    <w:div w:id="195759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Trading Volume (in billions USD)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Sheet1!$A$2:$A$17</c:f>
              <c:numCache>
                <c:formatCode>General</c:formatCode>
                <c:ptCount val="16"/>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pt idx="13">
                  <c:v>2021</c:v>
                </c:pt>
                <c:pt idx="14">
                  <c:v>2022</c:v>
                </c:pt>
                <c:pt idx="15">
                  <c:v>2023</c:v>
                </c:pt>
              </c:numCache>
            </c:numRef>
          </c:xVal>
          <c:yVal>
            <c:numRef>
              <c:f>Sheet1!$B$2:$B$17</c:f>
              <c:numCache>
                <c:formatCode>General</c:formatCode>
                <c:ptCount val="16"/>
                <c:pt idx="0">
                  <c:v>250</c:v>
                </c:pt>
                <c:pt idx="1">
                  <c:v>260</c:v>
                </c:pt>
                <c:pt idx="2">
                  <c:v>270</c:v>
                </c:pt>
                <c:pt idx="3">
                  <c:v>275</c:v>
                </c:pt>
                <c:pt idx="4">
                  <c:v>280</c:v>
                </c:pt>
                <c:pt idx="5">
                  <c:v>150</c:v>
                </c:pt>
                <c:pt idx="6">
                  <c:v>120</c:v>
                </c:pt>
                <c:pt idx="7">
                  <c:v>100</c:v>
                </c:pt>
                <c:pt idx="8">
                  <c:v>80</c:v>
                </c:pt>
                <c:pt idx="9">
                  <c:v>70</c:v>
                </c:pt>
                <c:pt idx="10">
                  <c:v>60</c:v>
                </c:pt>
                <c:pt idx="11">
                  <c:v>55</c:v>
                </c:pt>
                <c:pt idx="12">
                  <c:v>50</c:v>
                </c:pt>
                <c:pt idx="13">
                  <c:v>45</c:v>
                </c:pt>
                <c:pt idx="14">
                  <c:v>40</c:v>
                </c:pt>
                <c:pt idx="15">
                  <c:v>35</c:v>
                </c:pt>
              </c:numCache>
            </c:numRef>
          </c:yVal>
          <c:smooth val="0"/>
          <c:extLst>
            <c:ext xmlns:c16="http://schemas.microsoft.com/office/drawing/2014/chart" uri="{C3380CC4-5D6E-409C-BE32-E72D297353CC}">
              <c16:uniqueId val="{00000000-CCDE-4AFF-9D7C-9932D31601EA}"/>
            </c:ext>
          </c:extLst>
        </c:ser>
        <c:dLbls>
          <c:showLegendKey val="0"/>
          <c:showVal val="0"/>
          <c:showCatName val="0"/>
          <c:showSerName val="0"/>
          <c:showPercent val="0"/>
          <c:showBubbleSize val="0"/>
        </c:dLbls>
        <c:axId val="47661439"/>
        <c:axId val="41723391"/>
      </c:scatterChart>
      <c:valAx>
        <c:axId val="476614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23391"/>
        <c:crosses val="autoZero"/>
        <c:crossBetween val="midCat"/>
      </c:valAx>
      <c:valAx>
        <c:axId val="4172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614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Compliance Costs (in millions USD)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Sheet2!$A$2:$A$13</c:f>
              <c:numCache>
                <c:formatCode>General</c:formatCode>
                <c:ptCount val="12"/>
                <c:pt idx="0">
                  <c:v>2012</c:v>
                </c:pt>
                <c:pt idx="1">
                  <c:v>2013</c:v>
                </c:pt>
                <c:pt idx="2">
                  <c:v>2014</c:v>
                </c:pt>
                <c:pt idx="3">
                  <c:v>2015</c:v>
                </c:pt>
                <c:pt idx="4">
                  <c:v>2016</c:v>
                </c:pt>
                <c:pt idx="5">
                  <c:v>2017</c:v>
                </c:pt>
                <c:pt idx="6">
                  <c:v>2018</c:v>
                </c:pt>
                <c:pt idx="7">
                  <c:v>2019</c:v>
                </c:pt>
                <c:pt idx="8">
                  <c:v>2020</c:v>
                </c:pt>
                <c:pt idx="9">
                  <c:v>2021</c:v>
                </c:pt>
                <c:pt idx="10">
                  <c:v>2022</c:v>
                </c:pt>
                <c:pt idx="11">
                  <c:v>2023</c:v>
                </c:pt>
              </c:numCache>
            </c:numRef>
          </c:xVal>
          <c:yVal>
            <c:numRef>
              <c:f>Sheet2!$B$2:$B$13</c:f>
              <c:numCache>
                <c:formatCode>General</c:formatCode>
                <c:ptCount val="12"/>
                <c:pt idx="0">
                  <c:v>20</c:v>
                </c:pt>
                <c:pt idx="1">
                  <c:v>50</c:v>
                </c:pt>
                <c:pt idx="2">
                  <c:v>80</c:v>
                </c:pt>
                <c:pt idx="3">
                  <c:v>85</c:v>
                </c:pt>
                <c:pt idx="4">
                  <c:v>90</c:v>
                </c:pt>
                <c:pt idx="5">
                  <c:v>95</c:v>
                </c:pt>
                <c:pt idx="6">
                  <c:v>100</c:v>
                </c:pt>
                <c:pt idx="7">
                  <c:v>105</c:v>
                </c:pt>
                <c:pt idx="8">
                  <c:v>110</c:v>
                </c:pt>
                <c:pt idx="9">
                  <c:v>115</c:v>
                </c:pt>
                <c:pt idx="10">
                  <c:v>120</c:v>
                </c:pt>
                <c:pt idx="11">
                  <c:v>125</c:v>
                </c:pt>
              </c:numCache>
            </c:numRef>
          </c:yVal>
          <c:smooth val="0"/>
          <c:extLst>
            <c:ext xmlns:c16="http://schemas.microsoft.com/office/drawing/2014/chart" uri="{C3380CC4-5D6E-409C-BE32-E72D297353CC}">
              <c16:uniqueId val="{00000000-E164-452A-9CDF-9AFE077D5B90}"/>
            </c:ext>
          </c:extLst>
        </c:ser>
        <c:dLbls>
          <c:showLegendKey val="0"/>
          <c:showVal val="0"/>
          <c:showCatName val="0"/>
          <c:showSerName val="0"/>
          <c:showPercent val="0"/>
          <c:showBubbleSize val="0"/>
        </c:dLbls>
        <c:axId val="47678639"/>
        <c:axId val="137361055"/>
      </c:scatterChart>
      <c:valAx>
        <c:axId val="476786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61055"/>
        <c:crosses val="autoZero"/>
        <c:crossBetween val="midCat"/>
      </c:valAx>
      <c:valAx>
        <c:axId val="137361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786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Sheet3!$B$1</c:f>
              <c:strCache>
                <c:ptCount val="1"/>
                <c:pt idx="0">
                  <c:v>Profitability (ROA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Sheet3!$A$2:$A$17</c:f>
              <c:numCache>
                <c:formatCode>General</c:formatCode>
                <c:ptCount val="16"/>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pt idx="13">
                  <c:v>2021</c:v>
                </c:pt>
                <c:pt idx="14">
                  <c:v>2022</c:v>
                </c:pt>
                <c:pt idx="15">
                  <c:v>2023</c:v>
                </c:pt>
              </c:numCache>
            </c:numRef>
          </c:xVal>
          <c:yVal>
            <c:numRef>
              <c:f>Sheet3!$B$2:$B$17</c:f>
              <c:numCache>
                <c:formatCode>General</c:formatCode>
                <c:ptCount val="16"/>
                <c:pt idx="0">
                  <c:v>1.2</c:v>
                </c:pt>
                <c:pt idx="1">
                  <c:v>1.3</c:v>
                </c:pt>
                <c:pt idx="2">
                  <c:v>1.4</c:v>
                </c:pt>
                <c:pt idx="3">
                  <c:v>1.5</c:v>
                </c:pt>
                <c:pt idx="4">
                  <c:v>1.6</c:v>
                </c:pt>
                <c:pt idx="5">
                  <c:v>1</c:v>
                </c:pt>
                <c:pt idx="6">
                  <c:v>1.1000000000000001</c:v>
                </c:pt>
                <c:pt idx="7">
                  <c:v>1.2</c:v>
                </c:pt>
                <c:pt idx="8">
                  <c:v>1.3</c:v>
                </c:pt>
                <c:pt idx="9">
                  <c:v>1.4</c:v>
                </c:pt>
                <c:pt idx="10">
                  <c:v>1.5</c:v>
                </c:pt>
                <c:pt idx="11">
                  <c:v>1.6</c:v>
                </c:pt>
                <c:pt idx="12">
                  <c:v>1.7</c:v>
                </c:pt>
                <c:pt idx="13">
                  <c:v>1.8</c:v>
                </c:pt>
                <c:pt idx="14">
                  <c:v>1.9</c:v>
                </c:pt>
                <c:pt idx="15">
                  <c:v>2</c:v>
                </c:pt>
              </c:numCache>
            </c:numRef>
          </c:yVal>
          <c:smooth val="0"/>
          <c:extLst>
            <c:ext xmlns:c16="http://schemas.microsoft.com/office/drawing/2014/chart" uri="{C3380CC4-5D6E-409C-BE32-E72D297353CC}">
              <c16:uniqueId val="{00000000-727D-4834-BC75-2403D18512F8}"/>
            </c:ext>
          </c:extLst>
        </c:ser>
        <c:dLbls>
          <c:showLegendKey val="0"/>
          <c:showVal val="0"/>
          <c:showCatName val="0"/>
          <c:showSerName val="0"/>
          <c:showPercent val="0"/>
          <c:showBubbleSize val="0"/>
        </c:dLbls>
        <c:axId val="139448159"/>
        <c:axId val="2077415103"/>
      </c:scatterChart>
      <c:valAx>
        <c:axId val="1394481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7415103"/>
        <c:crosses val="autoZero"/>
        <c:crossBetween val="midCat"/>
      </c:valAx>
      <c:valAx>
        <c:axId val="2077415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4481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Sheet4!$B$1</c:f>
              <c:strCache>
                <c:ptCount val="1"/>
                <c:pt idx="0">
                  <c:v>Trust and Satisfaction Score (out of 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Sheet4!$A$2:$A$17</c:f>
              <c:numCache>
                <c:formatCode>General</c:formatCode>
                <c:ptCount val="16"/>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pt idx="13">
                  <c:v>2021</c:v>
                </c:pt>
                <c:pt idx="14">
                  <c:v>2022</c:v>
                </c:pt>
                <c:pt idx="15">
                  <c:v>2023</c:v>
                </c:pt>
              </c:numCache>
            </c:numRef>
          </c:xVal>
          <c:yVal>
            <c:numRef>
              <c:f>Sheet4!$B$2:$B$17</c:f>
              <c:numCache>
                <c:formatCode>General</c:formatCode>
                <c:ptCount val="16"/>
                <c:pt idx="0">
                  <c:v>6</c:v>
                </c:pt>
                <c:pt idx="1">
                  <c:v>6.1</c:v>
                </c:pt>
                <c:pt idx="2">
                  <c:v>6.2</c:v>
                </c:pt>
                <c:pt idx="3">
                  <c:v>6.3</c:v>
                </c:pt>
                <c:pt idx="4">
                  <c:v>6.4</c:v>
                </c:pt>
                <c:pt idx="5">
                  <c:v>6.5</c:v>
                </c:pt>
                <c:pt idx="6">
                  <c:v>6.6</c:v>
                </c:pt>
                <c:pt idx="7">
                  <c:v>6.7</c:v>
                </c:pt>
                <c:pt idx="8">
                  <c:v>6.8</c:v>
                </c:pt>
                <c:pt idx="9">
                  <c:v>6.9</c:v>
                </c:pt>
                <c:pt idx="10">
                  <c:v>7</c:v>
                </c:pt>
                <c:pt idx="11">
                  <c:v>7.2</c:v>
                </c:pt>
                <c:pt idx="12">
                  <c:v>7.4</c:v>
                </c:pt>
                <c:pt idx="13">
                  <c:v>7.6</c:v>
                </c:pt>
                <c:pt idx="14">
                  <c:v>7.8</c:v>
                </c:pt>
                <c:pt idx="15">
                  <c:v>8</c:v>
                </c:pt>
              </c:numCache>
            </c:numRef>
          </c:yVal>
          <c:smooth val="0"/>
          <c:extLst>
            <c:ext xmlns:c16="http://schemas.microsoft.com/office/drawing/2014/chart" uri="{C3380CC4-5D6E-409C-BE32-E72D297353CC}">
              <c16:uniqueId val="{00000000-D086-4BCE-AE4A-152C891EC37A}"/>
            </c:ext>
          </c:extLst>
        </c:ser>
        <c:dLbls>
          <c:showLegendKey val="0"/>
          <c:showVal val="0"/>
          <c:showCatName val="0"/>
          <c:showSerName val="0"/>
          <c:showPercent val="0"/>
          <c:showBubbleSize val="0"/>
        </c:dLbls>
        <c:axId val="159762383"/>
        <c:axId val="2070860703"/>
      </c:scatterChart>
      <c:valAx>
        <c:axId val="1597623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860703"/>
        <c:crosses val="autoZero"/>
        <c:crossBetween val="midCat"/>
      </c:valAx>
      <c:valAx>
        <c:axId val="2070860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76238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Investment</a:t>
            </a:r>
            <a:r>
              <a:rPr lang="en-US" baseline="0"/>
              <a:t> in tradition banking services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Sheet5!$B$1</c:f>
              <c:strCache>
                <c:ptCount val="1"/>
                <c:pt idx="0">
                  <c:v>Loans (in billions USD)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Sheet5!$A$2:$A$13</c:f>
              <c:numCache>
                <c:formatCode>General</c:formatCode>
                <c:ptCount val="12"/>
                <c:pt idx="0">
                  <c:v>2012</c:v>
                </c:pt>
                <c:pt idx="1">
                  <c:v>2013</c:v>
                </c:pt>
                <c:pt idx="2">
                  <c:v>2014</c:v>
                </c:pt>
                <c:pt idx="3">
                  <c:v>2015</c:v>
                </c:pt>
                <c:pt idx="4">
                  <c:v>2016</c:v>
                </c:pt>
                <c:pt idx="5">
                  <c:v>2017</c:v>
                </c:pt>
                <c:pt idx="6">
                  <c:v>2018</c:v>
                </c:pt>
                <c:pt idx="7">
                  <c:v>2019</c:v>
                </c:pt>
                <c:pt idx="8">
                  <c:v>2020</c:v>
                </c:pt>
                <c:pt idx="9">
                  <c:v>2021</c:v>
                </c:pt>
                <c:pt idx="10">
                  <c:v>2022</c:v>
                </c:pt>
                <c:pt idx="11">
                  <c:v>2023</c:v>
                </c:pt>
              </c:numCache>
            </c:numRef>
          </c:xVal>
          <c:yVal>
            <c:numRef>
              <c:f>Sheet5!$B$2:$B$13</c:f>
              <c:numCache>
                <c:formatCode>General</c:formatCode>
                <c:ptCount val="12"/>
                <c:pt idx="0">
                  <c:v>50</c:v>
                </c:pt>
                <c:pt idx="1">
                  <c:v>55</c:v>
                </c:pt>
                <c:pt idx="2">
                  <c:v>60</c:v>
                </c:pt>
                <c:pt idx="3">
                  <c:v>65</c:v>
                </c:pt>
                <c:pt idx="4">
                  <c:v>70</c:v>
                </c:pt>
                <c:pt idx="5">
                  <c:v>75</c:v>
                </c:pt>
                <c:pt idx="6">
                  <c:v>80</c:v>
                </c:pt>
                <c:pt idx="7">
                  <c:v>85</c:v>
                </c:pt>
                <c:pt idx="8">
                  <c:v>90</c:v>
                </c:pt>
                <c:pt idx="9">
                  <c:v>95</c:v>
                </c:pt>
                <c:pt idx="10">
                  <c:v>100</c:v>
                </c:pt>
                <c:pt idx="11">
                  <c:v>105</c:v>
                </c:pt>
              </c:numCache>
            </c:numRef>
          </c:yVal>
          <c:smooth val="0"/>
          <c:extLst>
            <c:ext xmlns:c16="http://schemas.microsoft.com/office/drawing/2014/chart" uri="{C3380CC4-5D6E-409C-BE32-E72D297353CC}">
              <c16:uniqueId val="{00000000-9275-47A5-AC0A-74AFCBCAF143}"/>
            </c:ext>
          </c:extLst>
        </c:ser>
        <c:ser>
          <c:idx val="1"/>
          <c:order val="1"/>
          <c:tx>
            <c:strRef>
              <c:f>Sheet5!$C$1</c:f>
              <c:strCache>
                <c:ptCount val="1"/>
                <c:pt idx="0">
                  <c:v>Customer Services (in billions USD)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Sheet5!$A$2:$A$13</c:f>
              <c:numCache>
                <c:formatCode>General</c:formatCode>
                <c:ptCount val="12"/>
                <c:pt idx="0">
                  <c:v>2012</c:v>
                </c:pt>
                <c:pt idx="1">
                  <c:v>2013</c:v>
                </c:pt>
                <c:pt idx="2">
                  <c:v>2014</c:v>
                </c:pt>
                <c:pt idx="3">
                  <c:v>2015</c:v>
                </c:pt>
                <c:pt idx="4">
                  <c:v>2016</c:v>
                </c:pt>
                <c:pt idx="5">
                  <c:v>2017</c:v>
                </c:pt>
                <c:pt idx="6">
                  <c:v>2018</c:v>
                </c:pt>
                <c:pt idx="7">
                  <c:v>2019</c:v>
                </c:pt>
                <c:pt idx="8">
                  <c:v>2020</c:v>
                </c:pt>
                <c:pt idx="9">
                  <c:v>2021</c:v>
                </c:pt>
                <c:pt idx="10">
                  <c:v>2022</c:v>
                </c:pt>
                <c:pt idx="11">
                  <c:v>2023</c:v>
                </c:pt>
              </c:numCache>
            </c:numRef>
          </c:xVal>
          <c:yVal>
            <c:numRef>
              <c:f>Sheet5!$C$2:$C$13</c:f>
              <c:numCache>
                <c:formatCode>General</c:formatCode>
                <c:ptCount val="12"/>
                <c:pt idx="0">
                  <c:v>30</c:v>
                </c:pt>
                <c:pt idx="1">
                  <c:v>35</c:v>
                </c:pt>
                <c:pt idx="2">
                  <c:v>40</c:v>
                </c:pt>
                <c:pt idx="3">
                  <c:v>45</c:v>
                </c:pt>
                <c:pt idx="4">
                  <c:v>50</c:v>
                </c:pt>
                <c:pt idx="5">
                  <c:v>55</c:v>
                </c:pt>
                <c:pt idx="6">
                  <c:v>60</c:v>
                </c:pt>
                <c:pt idx="7">
                  <c:v>65</c:v>
                </c:pt>
                <c:pt idx="8">
                  <c:v>70</c:v>
                </c:pt>
                <c:pt idx="9">
                  <c:v>75</c:v>
                </c:pt>
                <c:pt idx="10">
                  <c:v>80</c:v>
                </c:pt>
                <c:pt idx="11">
                  <c:v>85</c:v>
                </c:pt>
              </c:numCache>
            </c:numRef>
          </c:yVal>
          <c:smooth val="0"/>
          <c:extLst>
            <c:ext xmlns:c16="http://schemas.microsoft.com/office/drawing/2014/chart" uri="{C3380CC4-5D6E-409C-BE32-E72D297353CC}">
              <c16:uniqueId val="{00000001-9275-47A5-AC0A-74AFCBCAF143}"/>
            </c:ext>
          </c:extLst>
        </c:ser>
        <c:ser>
          <c:idx val="2"/>
          <c:order val="2"/>
          <c:tx>
            <c:strRef>
              <c:f>Sheet5!$D$1</c:f>
              <c:strCache>
                <c:ptCount val="1"/>
                <c:pt idx="0">
                  <c:v>Technological Upgrades (in billions USD)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Sheet5!$A$2:$A$13</c:f>
              <c:numCache>
                <c:formatCode>General</c:formatCode>
                <c:ptCount val="12"/>
                <c:pt idx="0">
                  <c:v>2012</c:v>
                </c:pt>
                <c:pt idx="1">
                  <c:v>2013</c:v>
                </c:pt>
                <c:pt idx="2">
                  <c:v>2014</c:v>
                </c:pt>
                <c:pt idx="3">
                  <c:v>2015</c:v>
                </c:pt>
                <c:pt idx="4">
                  <c:v>2016</c:v>
                </c:pt>
                <c:pt idx="5">
                  <c:v>2017</c:v>
                </c:pt>
                <c:pt idx="6">
                  <c:v>2018</c:v>
                </c:pt>
                <c:pt idx="7">
                  <c:v>2019</c:v>
                </c:pt>
                <c:pt idx="8">
                  <c:v>2020</c:v>
                </c:pt>
                <c:pt idx="9">
                  <c:v>2021</c:v>
                </c:pt>
                <c:pt idx="10">
                  <c:v>2022</c:v>
                </c:pt>
                <c:pt idx="11">
                  <c:v>2023</c:v>
                </c:pt>
              </c:numCache>
            </c:numRef>
          </c:xVal>
          <c:yVal>
            <c:numRef>
              <c:f>Sheet5!$D$2:$D$13</c:f>
              <c:numCache>
                <c:formatCode>General</c:formatCode>
                <c:ptCount val="12"/>
                <c:pt idx="0">
                  <c:v>20</c:v>
                </c:pt>
                <c:pt idx="1">
                  <c:v>25</c:v>
                </c:pt>
                <c:pt idx="2">
                  <c:v>30</c:v>
                </c:pt>
                <c:pt idx="3">
                  <c:v>35</c:v>
                </c:pt>
                <c:pt idx="4">
                  <c:v>40</c:v>
                </c:pt>
                <c:pt idx="5">
                  <c:v>45</c:v>
                </c:pt>
                <c:pt idx="6">
                  <c:v>50</c:v>
                </c:pt>
                <c:pt idx="7">
                  <c:v>55</c:v>
                </c:pt>
                <c:pt idx="8">
                  <c:v>60</c:v>
                </c:pt>
                <c:pt idx="9">
                  <c:v>65</c:v>
                </c:pt>
                <c:pt idx="10">
                  <c:v>70</c:v>
                </c:pt>
                <c:pt idx="11">
                  <c:v>75</c:v>
                </c:pt>
              </c:numCache>
            </c:numRef>
          </c:yVal>
          <c:smooth val="0"/>
          <c:extLst>
            <c:ext xmlns:c16="http://schemas.microsoft.com/office/drawing/2014/chart" uri="{C3380CC4-5D6E-409C-BE32-E72D297353CC}">
              <c16:uniqueId val="{00000002-9275-47A5-AC0A-74AFCBCAF143}"/>
            </c:ext>
          </c:extLst>
        </c:ser>
        <c:dLbls>
          <c:showLegendKey val="0"/>
          <c:showVal val="0"/>
          <c:showCatName val="0"/>
          <c:showSerName val="0"/>
          <c:showPercent val="0"/>
          <c:showBubbleSize val="0"/>
        </c:dLbls>
        <c:axId val="2066557023"/>
        <c:axId val="2069116015"/>
      </c:scatterChart>
      <c:valAx>
        <c:axId val="20665570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116015"/>
        <c:crosses val="autoZero"/>
        <c:crossBetween val="midCat"/>
      </c:valAx>
      <c:valAx>
        <c:axId val="2069116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5570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EAFBEA5-4BDD-4941-A4F7-ECCF0ABB7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2024-06-16T07:22:00Z</dcterms:created>
  <dcterms:modified xsi:type="dcterms:W3CDTF">2024-06-16T07:54:00Z</dcterms:modified>
</cp:coreProperties>
</file>