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9BD5"/>
          <w:sz w:val="32"/>
        </w:rPr>
        <w:br/>
        <w:br/>
        <w:t>WEEK 4 TASK</w:t>
        <w:br/>
      </w:r>
    </w:p>
    <w:p>
      <w:pPr>
        <w:pStyle w:val="Title"/>
        <w:jc w:val="center"/>
      </w:pPr>
      <w:r>
        <w:t>Advanced Chart Techniques</w:t>
        <w:br/>
        <w:t>and Calculation Insights</w:t>
      </w:r>
    </w:p>
    <w:p>
      <w:pPr>
        <w:jc w:val="center"/>
      </w:pPr>
      <w:r>
        <w:rPr>
          <w:i/>
          <w:color w:val="595959"/>
          <w:sz w:val="28"/>
        </w:rPr>
        <w:t>Tableau Dashboard Design and Analysis Plan</w:t>
      </w:r>
    </w:p>
    <w:p>
      <w:r>
        <w:br/>
      </w:r>
    </w:p>
    <w:tbl>
      <w:tblPr>
        <w:tblStyle w:val="TableGrid"/>
        <w:tblW w:type="auto" w:w="0"/>
        <w:tblLook w:firstColumn="1" w:firstRow="1" w:lastColumn="0" w:lastRow="0" w:noHBand="0" w:noVBand="1" w:val="04A0"/>
      </w:tblPr>
      <w:tblGrid>
        <w:gridCol w:w="4968"/>
        <w:gridCol w:w="4968"/>
      </w:tblGrid>
      <w:tr>
        <w:tc>
          <w:tcPr>
            <w:tcW w:type="dxa" w:w="4968"/>
            <w:shd w:fill="D9EAF7"/>
          </w:tcPr>
          <w:p>
            <w:r/>
            <w:r>
              <w:rPr>
                <w:b/>
                <w:sz w:val="18"/>
              </w:rPr>
              <w:t>Task Area</w:t>
            </w:r>
          </w:p>
        </w:tc>
        <w:tc>
          <w:tcPr>
            <w:tcW w:type="dxa" w:w="4968"/>
          </w:tcPr>
          <w:p>
            <w:r/>
            <w:r>
              <w:rPr>
                <w:b w:val="0"/>
                <w:sz w:val="18"/>
              </w:rPr>
              <w:t>Advanced visualizations and calculated fields in Tableau</w:t>
            </w:r>
          </w:p>
        </w:tc>
      </w:tr>
      <w:tr>
        <w:tc>
          <w:tcPr>
            <w:tcW w:type="dxa" w:w="4968"/>
            <w:shd w:fill="D9EAF7"/>
          </w:tcPr>
          <w:p>
            <w:r/>
            <w:r>
              <w:rPr>
                <w:b/>
                <w:sz w:val="18"/>
              </w:rPr>
              <w:t>Selected Dataset</w:t>
            </w:r>
          </w:p>
        </w:tc>
        <w:tc>
          <w:tcPr>
            <w:tcW w:type="dxa" w:w="4968"/>
          </w:tcPr>
          <w:p>
            <w:r/>
            <w:r>
              <w:rPr>
                <w:b w:val="0"/>
                <w:sz w:val="18"/>
              </w:rPr>
              <w:t>Global E-Commerce &amp; Retail Sales Dataset</w:t>
            </w:r>
          </w:p>
        </w:tc>
      </w:tr>
      <w:tr>
        <w:tc>
          <w:tcPr>
            <w:tcW w:type="dxa" w:w="4968"/>
            <w:shd w:fill="D9EAF7"/>
          </w:tcPr>
          <w:p>
            <w:r/>
            <w:r>
              <w:rPr>
                <w:b/>
                <w:sz w:val="18"/>
              </w:rPr>
              <w:t>Primary Tools</w:t>
            </w:r>
          </w:p>
        </w:tc>
        <w:tc>
          <w:tcPr>
            <w:tcW w:type="dxa" w:w="4968"/>
          </w:tcPr>
          <w:p>
            <w:r/>
            <w:r>
              <w:rPr>
                <w:b w:val="0"/>
                <w:sz w:val="18"/>
              </w:rPr>
              <w:t>Tableau Desktop / Tableau Public and spreadsheet or CSV data</w:t>
            </w:r>
          </w:p>
        </w:tc>
      </w:tr>
      <w:tr>
        <w:tc>
          <w:tcPr>
            <w:tcW w:type="dxa" w:w="4968"/>
            <w:shd w:fill="D9EAF7"/>
          </w:tcPr>
          <w:p>
            <w:r/>
            <w:r>
              <w:rPr>
                <w:b/>
                <w:sz w:val="18"/>
              </w:rPr>
              <w:t>Estimated Workload</w:t>
            </w:r>
          </w:p>
        </w:tc>
        <w:tc>
          <w:tcPr>
            <w:tcW w:type="dxa" w:w="4968"/>
          </w:tcPr>
          <w:p>
            <w:r/>
            <w:r>
              <w:rPr>
                <w:b w:val="0"/>
                <w:sz w:val="18"/>
              </w:rPr>
              <w:t>30–35 hours</w:t>
            </w:r>
          </w:p>
        </w:tc>
      </w:tr>
    </w:tbl>
    <w:p>
      <w:r>
        <w:br/>
        <w:t>Prepared as a detailed implementation guide covering research, calculations, visualization design, dashboard interactions, documentation, and evaluation criteria.</w:t>
      </w:r>
    </w:p>
    <w:p>
      <w:r>
        <w:br w:type="page"/>
      </w:r>
    </w:p>
    <w:p>
      <w:pPr>
        <w:pStyle w:val="Heading1"/>
      </w:pPr>
      <w:r>
        <w:t>1. Executive Summary</w:t>
      </w:r>
    </w:p>
    <w:p>
      <w:r>
        <w:t>This document presents a practical plan for applying advanced charting techniques and dynamic calculations in Tableau. The selected Global E-Commerce &amp; Retail Sales Dataset is assumed to contain transaction-level fields such as Order Date, Region, Category, Sub-Category, Customer Segment, Sales, Profit, Quantity, and Discount. Exact field names should be adjusted to match the actual file. The goal is to move beyond basic charts and build a clear, interactive visual story that explains performance, highlights exceptions, and helps users investigate why results vary.</w:t>
      </w:r>
    </w:p>
    <w:p>
      <w:r>
        <w:t>The proposed dashboard combines a dual-axis trend chart, a category-region heat map, and supporting KPI cards and ranked bars. Calculated fields measure profit margin, average order value (when an order identifier and order-level sales are available), discount band, and performance status. Table calculations add running totals and period-over-period change. Filters, highlight actions, and informative tooltips connect the views so that users can move from a high-level overview to specific regions, categories, and time periods.</w:t>
      </w:r>
    </w:p>
    <w:p>
      <w:pPr>
        <w:pStyle w:val="Heading1"/>
      </w:pPr>
      <w:r>
        <w:t>2. Task Objectives and Expected Outcomes</w:t>
      </w:r>
    </w:p>
    <w:p>
      <w:pPr>
        <w:pStyle w:val="ListBullet"/>
      </w:pPr>
      <w:r>
        <w:t>Explore advanced visualization methods and select at least two techniques suitable for the chosen dataset.</w:t>
      </w:r>
    </w:p>
    <w:p>
      <w:pPr>
        <w:pStyle w:val="ListBullet"/>
      </w:pPr>
      <w:r>
        <w:t>Create and integrate calculated fields and table calculations that add analytical value.</w:t>
      </w:r>
    </w:p>
    <w:p>
      <w:pPr>
        <w:pStyle w:val="ListBullet"/>
      </w:pPr>
      <w:r>
        <w:t>Explain the rationale, formula, interpretation, and limitations of every computation.</w:t>
      </w:r>
    </w:p>
    <w:p>
      <w:pPr>
        <w:pStyle w:val="ListBullet"/>
      </w:pPr>
      <w:r>
        <w:t>Plan the dashboard layout and describe how views will work together in a single user-centered interface.</w:t>
      </w:r>
    </w:p>
    <w:p>
      <w:pPr>
        <w:pStyle w:val="ListBullet"/>
      </w:pPr>
      <w:r>
        <w:t>Specify interactions between data points, filters, and tooltips, with text explanations supporting each calculation.</w:t>
      </w:r>
    </w:p>
    <w:p>
      <w:pPr>
        <w:pStyle w:val="ListBullet"/>
      </w:pPr>
      <w:r>
        <w:t>Deliver a comprehensive DOCX guide that records the approach, implementation steps, design decisions, and intended analytical impact.</w:t>
      </w:r>
    </w:p>
    <w:p>
      <w:pPr>
        <w:pStyle w:val="Heading1"/>
      </w:pPr>
      <w:r>
        <w:t>3. Dataset Selection and Preparation</w:t>
      </w:r>
    </w:p>
    <w:p>
      <w:r>
        <w:t>Dataset: Global E-Commerce &amp; Retail Sales Dataset. The analysis assumes common retail fields including Order Date, Order ID, Region, Category, Sub-Category, Customer Segment, Sales, Profit, Quantity, and Discount. Before building the workbook, confirm the actual schema and replace any field names that differ.</w:t>
      </w:r>
    </w:p>
    <w:p>
      <w:pPr>
        <w:pStyle w:val="Heading2"/>
      </w:pPr>
      <w:r>
        <w:t>3.1 Data preparation checklist</w:t>
      </w:r>
    </w:p>
    <w:p>
      <w:pPr>
        <w:pStyle w:val="ListBullet"/>
      </w:pPr>
      <w:r>
        <w:t>Connect to the CSV, Excel workbook, or database in Tableau and confirm that each field has the correct data type.</w:t>
      </w:r>
    </w:p>
    <w:p>
      <w:pPr>
        <w:pStyle w:val="ListBullet"/>
      </w:pPr>
      <w:r>
        <w:t>Set Order Date to Date, Sales and Profit to numeric measures, Quantity to a whole number, and Discount to a decimal or percentage as appropriate.</w:t>
      </w:r>
    </w:p>
    <w:p>
      <w:pPr>
        <w:pStyle w:val="ListBullet"/>
      </w:pPr>
      <w:r>
        <w:t>Check for nulls, duplicate transaction rows, missing dates, inconsistent region/category labels, and unexpected negative values.</w:t>
      </w:r>
    </w:p>
    <w:p>
      <w:pPr>
        <w:pStyle w:val="ListBullet"/>
      </w:pPr>
      <w:r>
        <w:t>Confirm the level of detail: a row may represent an order line rather than a complete order. Avoid summing or averaging at the wrong grain.</w:t>
      </w:r>
    </w:p>
    <w:p>
      <w:pPr>
        <w:pStyle w:val="ListBullet"/>
      </w:pPr>
      <w:r>
        <w:t>Validate totals against the source data using a simple text table before creating advanced charts.</w:t>
      </w:r>
    </w:p>
    <w:p>
      <w:pPr>
        <w:pStyle w:val="ListBullet"/>
      </w:pPr>
      <w:r>
        <w:t>Document any exclusions, data cleaning, and assumptions so results can be reproduced.</w:t>
      </w:r>
    </w:p>
    <w:p>
      <w:pPr>
        <w:pStyle w:val="Heading1"/>
      </w:pPr>
      <w:r>
        <w:t>4. Research and Selection of Advanced Visualization Techniques</w:t>
      </w:r>
    </w:p>
    <w:p>
      <w:pPr>
        <w:pStyle w:val="Heading2"/>
      </w:pPr>
      <w:r>
        <w:t>4.1 Dual-axis chart: Sales and Profit over time</w:t>
      </w:r>
    </w:p>
    <w:p>
      <w:r>
        <w:t>Purpose: show how sales volume and profit move over time and whether growth in sales is accompanied by improved profitability. Use a continuous month on Columns, Sales on one axis, and Profit on the second axis. Display Sales as bars and Profit as a line where the selected Tableau version and design support a clear combination.</w:t>
      </w:r>
    </w:p>
    <w:p>
      <w:r>
        <w:t>Implementation steps:</w:t>
      </w:r>
    </w:p>
    <w:p>
      <w:pPr>
        <w:pStyle w:val="ListNumber"/>
      </w:pPr>
      <w:r>
        <w:t>Create a worksheet named “Sales and Profit Trend”. Place MONTH(Order Date) on Columns and SUM(Sales) on Rows.</w:t>
      </w:r>
    </w:p>
    <w:p>
      <w:pPr>
        <w:pStyle w:val="ListNumber"/>
      </w:pPr>
      <w:r>
        <w:t>Add SUM(Profit) to Rows, select Dual Axis, and synchronize axes only if the measures use compatible scales and doing so improves interpretation. Otherwise keep separate axes clearly labeled.</w:t>
      </w:r>
    </w:p>
    <w:p>
      <w:pPr>
        <w:pStyle w:val="ListNumber"/>
      </w:pPr>
      <w:r>
        <w:t>Set Sales to bars and Profit to a line; use distinct, accessible marks and avoid relying on color alone.</w:t>
      </w:r>
    </w:p>
    <w:p>
      <w:pPr>
        <w:pStyle w:val="ListNumber"/>
      </w:pPr>
      <w:r>
        <w:t>Add date range, Region, and Category filters; show a clear title and axis labels.</w:t>
      </w:r>
    </w:p>
    <w:p>
      <w:pPr>
        <w:pStyle w:val="ListNumber"/>
      </w:pPr>
      <w:r>
        <w:t>Add a reference line for average monthly sales or profit if it supports the analytical question.</w:t>
      </w:r>
    </w:p>
    <w:p>
      <w:r>
        <w:t>Design rationale and impact: the view reveals seasonal patterns, sales peaks, and periods when profit moves differently from sales. This is useful because high revenue does not automatically mean high profit. Dual axes can mislead if scales are manipulated, so axes must be labeled, the scales must be reviewed, and the title or tooltip should explain the measures.</w:t>
      </w:r>
    </w:p>
    <w:p>
      <w:pPr>
        <w:pStyle w:val="Heading2"/>
      </w:pPr>
      <w:r>
        <w:t>4.2 Heat map: Profit margin by region and product category</w:t>
      </w:r>
    </w:p>
    <w:p>
      <w:r>
        <w:t>Purpose: identify combinations of region and category that perform well or need attention. Put Region on Rows and Category (or Sub-Category) on Columns. Use square marks, color by Profit Margin, and optionally size by Sales. Use a diverging color palette centered on zero if negative margins are possible.</w:t>
      </w:r>
    </w:p>
    <w:p>
      <w:r>
        <w:t>Implementation steps:</w:t>
      </w:r>
    </w:p>
    <w:p>
      <w:pPr>
        <w:pStyle w:val="ListNumber"/>
      </w:pPr>
      <w:r>
        <w:t>Create a worksheet named “Regional Category Heat Map”. Place Region on Rows and Category on Columns.</w:t>
      </w:r>
    </w:p>
    <w:p>
      <w:pPr>
        <w:pStyle w:val="ListNumber"/>
      </w:pPr>
      <w:r>
        <w:t>Set Marks to Square. Put the Profit Margin calculated field on Color and SUM(Sales) on Size if size does not overcrowd the grid.</w:t>
      </w:r>
    </w:p>
    <w:p>
      <w:pPr>
        <w:pStyle w:val="ListNumber"/>
      </w:pPr>
      <w:r>
        <w:t>Show a legend with meaningful labels and format margins as percentages.</w:t>
      </w:r>
    </w:p>
    <w:p>
      <w:pPr>
        <w:pStyle w:val="ListNumber"/>
      </w:pPr>
      <w:r>
        <w:t>Add tooltips for Sales, Profit, Profit Margin, Quantity, and Discount.</w:t>
      </w:r>
    </w:p>
    <w:p>
      <w:pPr>
        <w:pStyle w:val="ListNumber"/>
      </w:pPr>
      <w:r>
        <w:t>Test the view with filters to make sure small or missing groups are not mistaken for zero performance.</w:t>
      </w:r>
    </w:p>
    <w:p>
      <w:r>
        <w:t>Design rationale and impact: a heat map makes clusters and outliers easy to scan, helping users spot weak regional-category combinations. Using margin rather than absolute profit supports fairer comparisons between large and small sales groups. Sales size provides context, while tooltip values preserve numerical precision.</w:t>
      </w:r>
    </w:p>
    <w:p>
      <w:pPr>
        <w:pStyle w:val="Heading2"/>
      </w:pPr>
      <w:r>
        <w:t>4.3 Supporting advanced view: Ranked sub-category bars</w:t>
      </w:r>
    </w:p>
    <w:p>
      <w:r>
        <w:t>Create a horizontal bar chart of Sub-Category by SUM(Profit), sorted descending. Use a Top N parameter or filter to show the strongest and weakest performers. A zero reference line makes losses visible. This chart gives exact ranking context that complements the heat map.</w:t>
      </w:r>
    </w:p>
    <w:p>
      <w:pPr>
        <w:pStyle w:val="Heading1"/>
      </w:pPr>
      <w:r>
        <w:t>5. Calculated Fields: Formulas, Rationale, and Impact</w:t>
      </w:r>
    </w:p>
    <w:p>
      <w:r>
        <w:t>The formulas below use typical Tableau field names. If the source uses different names, update them exactly. Create each field from Analysis → Create Calculated Field, enter the formula, validate it, and use descriptive names.</w:t>
      </w:r>
    </w:p>
    <w:tbl>
      <w:tblPr>
        <w:tblStyle w:val="TableGrid"/>
        <w:tblW w:type="auto" w:w="0"/>
        <w:tblLook w:firstColumn="1" w:firstRow="1" w:lastColumn="0" w:lastRow="0" w:noHBand="0" w:noVBand="1" w:val="04A0"/>
      </w:tblPr>
      <w:tblGrid>
        <w:gridCol w:w="3312"/>
        <w:gridCol w:w="3312"/>
        <w:gridCol w:w="3312"/>
      </w:tblGrid>
      <w:tr>
        <w:tc>
          <w:tcPr>
            <w:tcW w:type="dxa" w:w="3312"/>
            <w:shd w:fill="1F4E79"/>
          </w:tcPr>
          <w:p>
            <w:r>
              <w:rPr>
                <w:color w:val="FFFFFF"/>
              </w:rPr>
            </w:r>
            <w:r>
              <w:rPr>
                <w:b/>
                <w:color w:val="FFFFFF"/>
                <w:sz w:val="18"/>
              </w:rPr>
              <w:t>Calculated Field</w:t>
            </w:r>
          </w:p>
        </w:tc>
        <w:tc>
          <w:tcPr>
            <w:tcW w:type="dxa" w:w="3312"/>
            <w:shd w:fill="1F4E79"/>
          </w:tcPr>
          <w:p>
            <w:r>
              <w:rPr>
                <w:color w:val="FFFFFF"/>
              </w:rPr>
            </w:r>
            <w:r>
              <w:rPr>
                <w:b/>
                <w:color w:val="FFFFFF"/>
                <w:sz w:val="18"/>
              </w:rPr>
              <w:t>Tableau Formula</w:t>
            </w:r>
          </w:p>
        </w:tc>
        <w:tc>
          <w:tcPr>
            <w:tcW w:type="dxa" w:w="3312"/>
            <w:shd w:fill="1F4E79"/>
          </w:tcPr>
          <w:p>
            <w:r>
              <w:rPr>
                <w:color w:val="FFFFFF"/>
              </w:rPr>
            </w:r>
            <w:r>
              <w:rPr>
                <w:b/>
                <w:color w:val="FFFFFF"/>
                <w:sz w:val="18"/>
              </w:rPr>
              <w:t>Rationale and Analytical Impact</w:t>
            </w:r>
          </w:p>
        </w:tc>
      </w:tr>
      <w:tr>
        <w:tc>
          <w:tcPr>
            <w:tcW w:type="dxa" w:w="3312"/>
          </w:tcPr>
          <w:p>
            <w:r/>
            <w:r>
              <w:rPr>
                <w:b w:val="0"/>
                <w:sz w:val="18"/>
              </w:rPr>
              <w:t>Profit Margin</w:t>
            </w:r>
          </w:p>
        </w:tc>
        <w:tc>
          <w:tcPr>
            <w:tcW w:type="dxa" w:w="3312"/>
          </w:tcPr>
          <w:p>
            <w:r>
              <w:rPr>
                <w:rFonts w:ascii="Consolas" w:hAnsi="Consolas"/>
                <w:sz w:val="16"/>
              </w:rPr>
            </w:r>
            <w:r>
              <w:rPr>
                <w:rFonts w:ascii="Consolas" w:hAnsi="Consolas"/>
                <w:b w:val="0"/>
                <w:sz w:val="16"/>
              </w:rPr>
              <w:t>IF SUM([Sales]) &lt;&gt; 0 THEN SUM([Profit]) / SUM([Sales]) END</w:t>
            </w:r>
          </w:p>
        </w:tc>
        <w:tc>
          <w:tcPr>
            <w:tcW w:type="dxa" w:w="3312"/>
          </w:tcPr>
          <w:p>
            <w:r/>
            <w:r>
              <w:rPr>
                <w:b w:val="0"/>
                <w:sz w:val="18"/>
              </w:rPr>
              <w:t>Measures profit relative to sales. Use aggregate expressions consistently in the view; format as a percentage. It supports comparisons across differently sized groups. If Tableau flags mixed aggregation in a particular context, create the field as the aggregate ratio shown here or use SUM([Profit]) / SUM([Sales]) in the view.</w:t>
            </w:r>
          </w:p>
        </w:tc>
      </w:tr>
      <w:tr>
        <w:tc>
          <w:tcPr>
            <w:tcW w:type="dxa" w:w="3312"/>
          </w:tcPr>
          <w:p>
            <w:r/>
            <w:r>
              <w:rPr>
                <w:b w:val="0"/>
                <w:sz w:val="18"/>
              </w:rPr>
              <w:t>Average Discount</w:t>
            </w:r>
          </w:p>
        </w:tc>
        <w:tc>
          <w:tcPr>
            <w:tcW w:type="dxa" w:w="3312"/>
          </w:tcPr>
          <w:p>
            <w:r>
              <w:rPr>
                <w:rFonts w:ascii="Consolas" w:hAnsi="Consolas"/>
                <w:sz w:val="16"/>
              </w:rPr>
            </w:r>
            <w:r>
              <w:rPr>
                <w:rFonts w:ascii="Consolas" w:hAnsi="Consolas"/>
                <w:b w:val="0"/>
                <w:sz w:val="16"/>
              </w:rPr>
              <w:t>AVG([Discount])</w:t>
            </w:r>
          </w:p>
        </w:tc>
        <w:tc>
          <w:tcPr>
            <w:tcW w:type="dxa" w:w="3312"/>
          </w:tcPr>
          <w:p>
            <w:r/>
            <w:r>
              <w:rPr>
                <w:b w:val="0"/>
                <w:sz w:val="18"/>
              </w:rPr>
              <w:t>Shows the typical discount level in the current view. Confirm whether Discount is stored as 0–1 or 0–100 and format it accordingly.</w:t>
            </w:r>
          </w:p>
        </w:tc>
      </w:tr>
      <w:tr>
        <w:tc>
          <w:tcPr>
            <w:tcW w:type="dxa" w:w="3312"/>
          </w:tcPr>
          <w:p>
            <w:r/>
            <w:r>
              <w:rPr>
                <w:b w:val="0"/>
                <w:sz w:val="18"/>
              </w:rPr>
              <w:t>Discount Band</w:t>
            </w:r>
          </w:p>
        </w:tc>
        <w:tc>
          <w:tcPr>
            <w:tcW w:type="dxa" w:w="3312"/>
          </w:tcPr>
          <w:p>
            <w:r>
              <w:rPr>
                <w:rFonts w:ascii="Consolas" w:hAnsi="Consolas"/>
                <w:sz w:val="16"/>
              </w:rPr>
            </w:r>
            <w:r>
              <w:rPr>
                <w:rFonts w:ascii="Consolas" w:hAnsi="Consolas"/>
                <w:b w:val="0"/>
                <w:sz w:val="16"/>
              </w:rPr>
              <w:t>IF [Discount] = 0 THEN "No Discount" ELSEIF [Discount] &lt;= 0.10 THEN "Low (≤10%)" ELSEIF [Discount] &lt;= 0.25 THEN "Medium (10–25%)" ELSE "High (&gt;25%)" END</w:t>
            </w:r>
          </w:p>
        </w:tc>
        <w:tc>
          <w:tcPr>
            <w:tcW w:type="dxa" w:w="3312"/>
          </w:tcPr>
          <w:p>
            <w:r/>
            <w:r>
              <w:rPr>
                <w:b w:val="0"/>
                <w:sz w:val="18"/>
              </w:rPr>
              <w:t>Groups transactions into interpretable discount ranges. It can be used as a color, filter, or comparison dimension. Adjust thresholds to suit the dataset and business rules.</w:t>
            </w:r>
          </w:p>
        </w:tc>
      </w:tr>
      <w:tr>
        <w:tc>
          <w:tcPr>
            <w:tcW w:type="dxa" w:w="3312"/>
          </w:tcPr>
          <w:p>
            <w:r/>
            <w:r>
              <w:rPr>
                <w:b w:val="0"/>
                <w:sz w:val="18"/>
              </w:rPr>
              <w:t>Profit Status</w:t>
            </w:r>
          </w:p>
        </w:tc>
        <w:tc>
          <w:tcPr>
            <w:tcW w:type="dxa" w:w="3312"/>
          </w:tcPr>
          <w:p>
            <w:r>
              <w:rPr>
                <w:rFonts w:ascii="Consolas" w:hAnsi="Consolas"/>
                <w:sz w:val="16"/>
              </w:rPr>
            </w:r>
            <w:r>
              <w:rPr>
                <w:rFonts w:ascii="Consolas" w:hAnsi="Consolas"/>
                <w:b w:val="0"/>
                <w:sz w:val="16"/>
              </w:rPr>
              <w:t>IF SUM([Profit]) &gt; 0 THEN "Profitable" ELSEIF SUM([Profit]) &lt; 0 THEN "Loss" ELSE "Break-even" END</w:t>
            </w:r>
          </w:p>
        </w:tc>
        <w:tc>
          <w:tcPr>
            <w:tcW w:type="dxa" w:w="3312"/>
          </w:tcPr>
          <w:p>
            <w:r/>
            <w:r>
              <w:rPr>
                <w:b w:val="0"/>
                <w:sz w:val="18"/>
              </w:rPr>
              <w:t>Labels the aggregate result as profitable, loss-making, or break-even. Because it uses SUM([Profit]), use it in views where the level of detail is appropriate.</w:t>
            </w:r>
          </w:p>
        </w:tc>
      </w:tr>
      <w:tr>
        <w:tc>
          <w:tcPr>
            <w:tcW w:type="dxa" w:w="3312"/>
          </w:tcPr>
          <w:p>
            <w:r/>
            <w:r>
              <w:rPr>
                <w:b w:val="0"/>
                <w:sz w:val="18"/>
              </w:rPr>
              <w:t>Sales per Unit</w:t>
            </w:r>
          </w:p>
        </w:tc>
        <w:tc>
          <w:tcPr>
            <w:tcW w:type="dxa" w:w="3312"/>
          </w:tcPr>
          <w:p>
            <w:r>
              <w:rPr>
                <w:rFonts w:ascii="Consolas" w:hAnsi="Consolas"/>
                <w:sz w:val="16"/>
              </w:rPr>
            </w:r>
            <w:r>
              <w:rPr>
                <w:rFonts w:ascii="Consolas" w:hAnsi="Consolas"/>
                <w:b w:val="0"/>
                <w:sz w:val="16"/>
              </w:rPr>
              <w:t>IF SUM([Quantity]) &lt;&gt; 0 THEN SUM([Sales]) / SUM([Quantity]) END</w:t>
            </w:r>
          </w:p>
        </w:tc>
        <w:tc>
          <w:tcPr>
            <w:tcW w:type="dxa" w:w="3312"/>
          </w:tcPr>
          <w:p>
            <w:r/>
            <w:r>
              <w:rPr>
                <w:b w:val="0"/>
                <w:sz w:val="18"/>
              </w:rPr>
              <w:t>Provides a simple sales-per-unit measure. It is not necessarily the same as list price or average item price if transactions include different products or discounts.</w:t>
            </w:r>
          </w:p>
        </w:tc>
      </w:tr>
      <w:tr>
        <w:tc>
          <w:tcPr>
            <w:tcW w:type="dxa" w:w="3312"/>
          </w:tcPr>
          <w:p>
            <w:r/>
            <w:r>
              <w:rPr>
                <w:b w:val="0"/>
                <w:sz w:val="18"/>
              </w:rPr>
              <w:t>Order Count</w:t>
            </w:r>
          </w:p>
        </w:tc>
        <w:tc>
          <w:tcPr>
            <w:tcW w:type="dxa" w:w="3312"/>
          </w:tcPr>
          <w:p>
            <w:r>
              <w:rPr>
                <w:rFonts w:ascii="Consolas" w:hAnsi="Consolas"/>
                <w:sz w:val="16"/>
              </w:rPr>
            </w:r>
            <w:r>
              <w:rPr>
                <w:rFonts w:ascii="Consolas" w:hAnsi="Consolas"/>
                <w:b w:val="0"/>
                <w:sz w:val="16"/>
              </w:rPr>
              <w:t>COUNTD([Order ID])</w:t>
            </w:r>
          </w:p>
        </w:tc>
        <w:tc>
          <w:tcPr>
            <w:tcW w:type="dxa" w:w="3312"/>
          </w:tcPr>
          <w:p>
            <w:r/>
            <w:r>
              <w:rPr>
                <w:b w:val="0"/>
                <w:sz w:val="18"/>
              </w:rPr>
              <w:t>Counts distinct orders, provided Order ID exists and identifies orders consistently. Useful for scale and order-level context.</w:t>
            </w:r>
          </w:p>
        </w:tc>
      </w:tr>
      <w:tr>
        <w:tc>
          <w:tcPr>
            <w:tcW w:type="dxa" w:w="3312"/>
          </w:tcPr>
          <w:p>
            <w:r/>
            <w:r>
              <w:rPr>
                <w:b w:val="0"/>
                <w:sz w:val="18"/>
              </w:rPr>
              <w:t>Average Order Value (AOV)</w:t>
            </w:r>
          </w:p>
        </w:tc>
        <w:tc>
          <w:tcPr>
            <w:tcW w:type="dxa" w:w="3312"/>
          </w:tcPr>
          <w:p>
            <w:r>
              <w:rPr>
                <w:rFonts w:ascii="Consolas" w:hAnsi="Consolas"/>
                <w:sz w:val="16"/>
              </w:rPr>
            </w:r>
            <w:r>
              <w:rPr>
                <w:rFonts w:ascii="Consolas" w:hAnsi="Consolas"/>
                <w:b w:val="0"/>
                <w:sz w:val="16"/>
              </w:rPr>
              <w:t>IF COUNTD([Order ID]) &lt;&gt; 0 THEN SUM([Sales]) / COUNTD([Order ID]) END</w:t>
            </w:r>
          </w:p>
        </w:tc>
        <w:tc>
          <w:tcPr>
            <w:tcW w:type="dxa" w:w="3312"/>
          </w:tcPr>
          <w:p>
            <w:r/>
            <w:r>
              <w:rPr>
                <w:b w:val="0"/>
                <w:sz w:val="18"/>
              </w:rPr>
              <w:t>Estimates sales per distinct order in the current view. Confirm that Sales is not duplicated by joins and that Order ID is available; filtering to product lines can affect interpretation.</w:t>
            </w:r>
          </w:p>
        </w:tc>
      </w:tr>
    </w:tbl>
    <w:p>
      <w:r>
        <w:t>Important formula note: Tableau calculation behavior depends on the view's level of detail and whether a field is row-level or aggregate. Test each field on a simple worksheet, compare the result with manual calculations, and avoid mixing aggregate and non-aggregate expressions in the same calculation.</w:t>
      </w:r>
    </w:p>
    <w:p>
      <w:pPr>
        <w:pStyle w:val="Heading1"/>
      </w:pPr>
      <w:r>
        <w:t>6. Table Calculations and Dynamic Analysis</w:t>
      </w:r>
    </w:p>
    <w:p>
      <w:pPr>
        <w:pStyle w:val="Heading2"/>
      </w:pPr>
      <w:r>
        <w:t>6.1 Running total of sales</w:t>
      </w:r>
    </w:p>
    <w:p>
      <w:r>
        <w:t>Example: RUNNING_SUM(SUM([Sales]))</w:t>
      </w:r>
    </w:p>
    <w:p>
      <w:r>
        <w:t>Purpose: shows cumulative sales through the selected time period. Add it to a monthly trend view, configure Compute Using to follow Month of Order Date, and restart the calculation by Region only when that is the intended comparison. The running total helps users assess progress across a year or campaign.</w:t>
      </w:r>
    </w:p>
    <w:p>
      <w:pPr>
        <w:pStyle w:val="Heading2"/>
      </w:pPr>
      <w:r>
        <w:t>6.2 Month-over-month sales change</w:t>
      </w:r>
    </w:p>
    <w:p>
      <w:r>
        <w:t>Example: (SUM([Sales]) - LOOKUP(SUM([Sales]), -1)) / ABS(LOOKUP(SUM([Sales]), -1))</w:t>
      </w:r>
    </w:p>
    <w:p>
      <w:r>
        <w:t>Purpose: estimates percentage change versus the previous displayed month. Format as a percentage and handle the first month or a previous value of zero as null/undefined rather than presenting a misleading percentage. Configure Compute Using by Month of Order Date and verify the sort order. The absolute value in the denominator avoids sign reversal when prior-period values are negative, but for sales—which are normally nonnegative—SUM([Sales]) in the denominator is also reasonable when zero handling is explicit.</w:t>
      </w:r>
    </w:p>
    <w:p>
      <w:pPr>
        <w:pStyle w:val="Heading2"/>
      </w:pPr>
      <w:r>
        <w:t>6.3 Percent of total sales</w:t>
      </w:r>
    </w:p>
    <w:p>
      <w:r>
        <w:t>Example: SUM([Sales]) / TOTAL(SUM([Sales]))</w:t>
      </w:r>
    </w:p>
    <w:p>
      <w:r>
        <w:t>Purpose: explains each category's contribution to the current total. Set Compute Using to Category and confirm whether the total should recalculate within selected filters. This calculation supports share-of-sales analysis rather than only comparing raw sales amounts.</w:t>
      </w:r>
    </w:p>
    <w:p>
      <w:pPr>
        <w:pStyle w:val="Heading2"/>
      </w:pPr>
      <w:r>
        <w:t>Table calculation validation checklist</w:t>
      </w:r>
    </w:p>
    <w:p>
      <w:pPr>
        <w:pStyle w:val="ListBullet"/>
      </w:pPr>
      <w:r>
        <w:t>Use the correct addressing dimension (for example, Month for running total and month-over-month change).</w:t>
      </w:r>
    </w:p>
    <w:p>
      <w:pPr>
        <w:pStyle w:val="ListBullet"/>
      </w:pPr>
      <w:r>
        <w:t>Set partitioning deliberately, such as restarting by Region or Category only when needed.</w:t>
      </w:r>
    </w:p>
    <w:p>
      <w:pPr>
        <w:pStyle w:val="ListBullet"/>
      </w:pPr>
      <w:r>
        <w:t>Sort dates chronologically and include missing dates if a continuous trend is expected.</w:t>
      </w:r>
    </w:p>
    <w:p>
      <w:pPr>
        <w:pStyle w:val="ListBullet"/>
      </w:pPr>
      <w:r>
        <w:t>Test filter behavior: ordinary dimension filters may change the displayed calculation population.</w:t>
      </w:r>
    </w:p>
    <w:p>
      <w:pPr>
        <w:pStyle w:val="ListBullet"/>
      </w:pPr>
      <w:r>
        <w:t>Compare a few periods against hand calculations to verify that the result is correct.</w:t>
      </w:r>
    </w:p>
    <w:p>
      <w:pPr>
        <w:pStyle w:val="Heading1"/>
      </w:pPr>
      <w:r>
        <w:t>7. Dashboard Layout and Design Plan</w:t>
      </w:r>
    </w:p>
    <w:p>
      <w:r>
        <w:t>Dashboard name: “Retail Performance Explorer”. Use a clean, top-to-bottom layout that starts with summary metrics and moves toward patterns and diagnostic detail. A desktop canvas around 1200 × 800 pixels is a practical starting point; use a tiled layout and test resizing before finalizing.</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b/>
                <w:sz w:val="18"/>
              </w:rPr>
              <w:t>Dashboard Area</w:t>
            </w:r>
          </w:p>
        </w:tc>
        <w:tc>
          <w:tcPr>
            <w:tcW w:type="dxa" w:w="4968"/>
            <w:shd w:fill="D9EAF7"/>
          </w:tcPr>
          <w:p>
            <w:r/>
            <w:r>
              <w:rPr>
                <w:b/>
                <w:sz w:val="18"/>
              </w:rPr>
              <w:t>Planned Content</w:t>
            </w:r>
          </w:p>
        </w:tc>
      </w:tr>
      <w:tr>
        <w:tc>
          <w:tcPr>
            <w:tcW w:type="dxa" w:w="4968"/>
          </w:tcPr>
          <w:p>
            <w:r/>
            <w:r>
              <w:rPr>
                <w:b/>
                <w:sz w:val="18"/>
              </w:rPr>
              <w:t>Header</w:t>
            </w:r>
          </w:p>
        </w:tc>
        <w:tc>
          <w:tcPr>
            <w:tcW w:type="dxa" w:w="4968"/>
          </w:tcPr>
          <w:p>
            <w:r/>
            <w:r>
              <w:rPr>
                <w:b w:val="0"/>
                <w:sz w:val="18"/>
              </w:rPr>
              <w:t>Dashboard title, selected date range, short purpose statement, and last-refresh/data-source note.</w:t>
            </w:r>
          </w:p>
        </w:tc>
      </w:tr>
      <w:tr>
        <w:tc>
          <w:tcPr>
            <w:tcW w:type="dxa" w:w="4968"/>
          </w:tcPr>
          <w:p>
            <w:r/>
            <w:r>
              <w:rPr>
                <w:b/>
                <w:sz w:val="18"/>
              </w:rPr>
              <w:t>Top KPI row</w:t>
            </w:r>
          </w:p>
        </w:tc>
        <w:tc>
          <w:tcPr>
            <w:tcW w:type="dxa" w:w="4968"/>
          </w:tcPr>
          <w:p>
            <w:r/>
            <w:r>
              <w:rPr>
                <w:b w:val="0"/>
                <w:sz w:val="18"/>
              </w:rPr>
              <w:t>Sales, Profit, Profit Margin, and Order Count or AOV cards. Display comparison context where valid.</w:t>
            </w:r>
          </w:p>
        </w:tc>
      </w:tr>
      <w:tr>
        <w:tc>
          <w:tcPr>
            <w:tcW w:type="dxa" w:w="4968"/>
          </w:tcPr>
          <w:p>
            <w:r/>
            <w:r>
              <w:rPr>
                <w:b/>
                <w:sz w:val="18"/>
              </w:rPr>
              <w:t>Middle-left</w:t>
            </w:r>
          </w:p>
        </w:tc>
        <w:tc>
          <w:tcPr>
            <w:tcW w:type="dxa" w:w="4968"/>
          </w:tcPr>
          <w:p>
            <w:r/>
            <w:r>
              <w:rPr>
                <w:b w:val="0"/>
                <w:sz w:val="18"/>
              </w:rPr>
              <w:t>Dual-axis monthly Sales and Profit trend to reveal time patterns.</w:t>
            </w:r>
          </w:p>
        </w:tc>
      </w:tr>
      <w:tr>
        <w:tc>
          <w:tcPr>
            <w:tcW w:type="dxa" w:w="4968"/>
          </w:tcPr>
          <w:p>
            <w:r/>
            <w:r>
              <w:rPr>
                <w:b/>
                <w:sz w:val="18"/>
              </w:rPr>
              <w:t>Middle-right</w:t>
            </w:r>
          </w:p>
        </w:tc>
        <w:tc>
          <w:tcPr>
            <w:tcW w:type="dxa" w:w="4968"/>
          </w:tcPr>
          <w:p>
            <w:r/>
            <w:r>
              <w:rPr>
                <w:b w:val="0"/>
                <w:sz w:val="18"/>
              </w:rPr>
              <w:t>Region × Category heat map colored by Profit Margin and sized by Sales.</w:t>
            </w:r>
          </w:p>
        </w:tc>
      </w:tr>
      <w:tr>
        <w:tc>
          <w:tcPr>
            <w:tcW w:type="dxa" w:w="4968"/>
          </w:tcPr>
          <w:p>
            <w:r/>
            <w:r>
              <w:rPr>
                <w:b/>
                <w:sz w:val="18"/>
              </w:rPr>
              <w:t>Bottom section</w:t>
            </w:r>
          </w:p>
        </w:tc>
        <w:tc>
          <w:tcPr>
            <w:tcW w:type="dxa" w:w="4968"/>
          </w:tcPr>
          <w:p>
            <w:r/>
            <w:r>
              <w:rPr>
                <w:b w:val="0"/>
                <w:sz w:val="18"/>
              </w:rPr>
              <w:t>Ranked Sub-Category Profit bars and a compact detail table for selected marks.</w:t>
            </w:r>
          </w:p>
        </w:tc>
      </w:tr>
      <w:tr>
        <w:tc>
          <w:tcPr>
            <w:tcW w:type="dxa" w:w="4968"/>
          </w:tcPr>
          <w:p>
            <w:r/>
            <w:r>
              <w:rPr>
                <w:b/>
                <w:sz w:val="18"/>
              </w:rPr>
              <w:t>Side/top controls</w:t>
            </w:r>
          </w:p>
        </w:tc>
        <w:tc>
          <w:tcPr>
            <w:tcW w:type="dxa" w:w="4968"/>
          </w:tcPr>
          <w:p>
            <w:r/>
            <w:r>
              <w:rPr>
                <w:b w:val="0"/>
                <w:sz w:val="18"/>
              </w:rPr>
              <w:t>Date range, Region, Category, Customer Segment, and Discount Band filters; reset-filters instruction.</w:t>
            </w:r>
          </w:p>
        </w:tc>
      </w:tr>
    </w:tbl>
    <w:p>
      <w:pPr>
        <w:pStyle w:val="Heading2"/>
      </w:pPr>
      <w:r>
        <w:t>7.1 Visual hierarchy and accessibility</w:t>
      </w:r>
    </w:p>
    <w:p>
      <w:pPr>
        <w:pStyle w:val="ListBullet"/>
      </w:pPr>
      <w:r>
        <w:t>Use consistent number formats: currency for Sales and Profit, percentage for Profit Margin and Discount, and whole numbers for order counts.</w:t>
      </w:r>
    </w:p>
    <w:p>
      <w:pPr>
        <w:pStyle w:val="ListBullet"/>
      </w:pPr>
      <w:r>
        <w:t>Use a restrained palette with sufficient contrast; do not encode meaning by color alone. Add labels, legends, and descriptive tooltips.</w:t>
      </w:r>
    </w:p>
    <w:p>
      <w:pPr>
        <w:pStyle w:val="ListBullet"/>
      </w:pPr>
      <w:r>
        <w:t>Keep chart titles insight-oriented, for example “Some categories lose money despite strong sales,” only if the data supports that conclusion.</w:t>
      </w:r>
    </w:p>
    <w:p>
      <w:pPr>
        <w:pStyle w:val="ListBullet"/>
      </w:pPr>
      <w:r>
        <w:t>Avoid clutter, excessive gridlines, unnecessary 3D effects, and too many simultaneous colors.</w:t>
      </w:r>
    </w:p>
    <w:p>
      <w:pPr>
        <w:pStyle w:val="ListBullet"/>
      </w:pPr>
      <w:r>
        <w:t>Ensure the dashboard remains understandable at common laptop screen sizes and when filters narrow the data.</w:t>
      </w:r>
    </w:p>
    <w:p>
      <w:pPr>
        <w:pStyle w:val="Heading1"/>
      </w:pPr>
      <w:r>
        <w:t>8. Interactions Between Data Points</w:t>
      </w:r>
    </w:p>
    <w:p>
      <w:pPr>
        <w:pStyle w:val="Heading2"/>
      </w:pPr>
      <w:r>
        <w:t>8.1 Filter actions</w:t>
      </w:r>
    </w:p>
    <w:p>
      <w:r>
        <w:t>Selecting a Region, Category, or month in one chart should filter the other charts when the action answers a useful question. For example, clicking a region in the heat map can filter the monthly trend and ranked bars to that region. Provide a clear way to clear selections and avoid actions that leave the dashboard apparently blank.</w:t>
      </w:r>
    </w:p>
    <w:p>
      <w:pPr>
        <w:pStyle w:val="Heading2"/>
      </w:pPr>
      <w:r>
        <w:t>8.2 Highlight actions and tooltips</w:t>
      </w:r>
    </w:p>
    <w:p>
      <w:r>
        <w:t>A highlight action can emphasize the same category across charts without removing other context. Tooltips should report the selected mark's Region, Category, period, Sales, Profit, Profit Margin, Discount, and relevant table-calculation result. Include one plain-language sentence explaining the metric, such as: “Profit margin is total profit divided by total sales for this selection.”</w:t>
      </w:r>
    </w:p>
    <w:p>
      <w:pPr>
        <w:pStyle w:val="Heading2"/>
      </w:pPr>
      <w:r>
        <w:t>8.3 Parameter-driven exploration</w:t>
      </w:r>
    </w:p>
    <w:p>
      <w:r>
        <w:t>Optional: add a parameter to let the user choose the ranking measure (Sales, Profit, or Profit Margin) or the Top N count. If implemented, use a parameter action or calculated field to switch the displayed measure. Label the control clearly and test that all chart titles, axes, and tooltips update consistently.</w:t>
      </w:r>
    </w:p>
    <w:p>
      <w:pPr>
        <w:pStyle w:val="Heading1"/>
      </w:pPr>
      <w:r>
        <w:t>9. Step-by-Step Tableau Build Workflow</w:t>
      </w:r>
    </w:p>
    <w:p>
      <w:pPr>
        <w:pStyle w:val="ListNumber"/>
      </w:pPr>
      <w:r>
        <w:t>Connect to the dataset and verify data types, data grain, nulls, and duplicate behavior.</w:t>
      </w:r>
    </w:p>
    <w:p>
      <w:pPr>
        <w:pStyle w:val="ListNumber"/>
      </w:pPr>
      <w:r>
        <w:t>Build basic validation sheets for total Sales, total Profit, order count, and monthly totals.</w:t>
      </w:r>
    </w:p>
    <w:p>
      <w:pPr>
        <w:pStyle w:val="ListNumber"/>
      </w:pPr>
      <w:r>
        <w:t>Create and validate the calculated fields listed in Section 5.</w:t>
      </w:r>
    </w:p>
    <w:p>
      <w:pPr>
        <w:pStyle w:val="ListNumber"/>
      </w:pPr>
      <w:r>
        <w:t>Build the dual-axis Sales and Profit trend and test date/region/category filters.</w:t>
      </w:r>
    </w:p>
    <w:p>
      <w:pPr>
        <w:pStyle w:val="ListNumber"/>
      </w:pPr>
      <w:r>
        <w:t>Build the region-category heat map and verify the profit-margin formula with selected examples.</w:t>
      </w:r>
    </w:p>
    <w:p>
      <w:pPr>
        <w:pStyle w:val="ListNumber"/>
      </w:pPr>
      <w:r>
        <w:t>Build the ranked sub-category bars with a zero reference line and optional Top N control.</w:t>
      </w:r>
    </w:p>
    <w:p>
      <w:pPr>
        <w:pStyle w:val="ListNumber"/>
      </w:pPr>
      <w:r>
        <w:t>Add table calculations for running total, month-over-month change, and percent of total; set Compute Using and partitions carefully.</w:t>
      </w:r>
    </w:p>
    <w:p>
      <w:pPr>
        <w:pStyle w:val="ListNumber"/>
      </w:pPr>
      <w:r>
        <w:t>Assemble the dashboard using the layout in Section 7 and align objects consistently.</w:t>
      </w:r>
    </w:p>
    <w:p>
      <w:pPr>
        <w:pStyle w:val="ListNumber"/>
      </w:pPr>
      <w:r>
        <w:t>Add filter and highlight actions, informative tooltips, legends, captions, and reset guidance.</w:t>
      </w:r>
    </w:p>
    <w:p>
      <w:pPr>
        <w:pStyle w:val="ListNumber"/>
      </w:pPr>
      <w:r>
        <w:t>Test at least three scenarios: all data, one region, and one category; confirm totals and interactions remain meaningful.</w:t>
      </w:r>
    </w:p>
    <w:p>
      <w:pPr>
        <w:pStyle w:val="ListNumber"/>
      </w:pPr>
      <w:r>
        <w:t>Export or publish the workbook as required by the course and capture screenshots for evidence if the submission guidelines request them.</w:t>
      </w:r>
    </w:p>
    <w:p>
      <w:pPr>
        <w:pStyle w:val="ListNumber"/>
      </w:pPr>
      <w:r>
        <w:t>Complete the documentation and note any limitations or assumptions.</w:t>
      </w:r>
    </w:p>
    <w:p>
      <w:pPr>
        <w:pStyle w:val="Heading1"/>
      </w:pPr>
      <w:r>
        <w:t>10. Text Explanations to Include in the Dashboard</w:t>
      </w:r>
    </w:p>
    <w:p>
      <w:pPr>
        <w:pStyle w:val="ListBullet"/>
      </w:pPr>
      <w:r>
        <w:t>Profit Margin: “Shows profit as a percentage of sales, allowing comparison between groups of different sizes.”</w:t>
      </w:r>
    </w:p>
    <w:p>
      <w:pPr>
        <w:pStyle w:val="ListBullet"/>
      </w:pPr>
      <w:r>
        <w:t>Running Sales Total: “Adds sales across the displayed months to show cumulative progress.”</w:t>
      </w:r>
    </w:p>
    <w:p>
      <w:pPr>
        <w:pStyle w:val="ListBullet"/>
      </w:pPr>
      <w:r>
        <w:t>Month-over-Month Change: “Compares the current month with the previous month; the first displayed month has no prior comparison.”</w:t>
      </w:r>
    </w:p>
    <w:p>
      <w:pPr>
        <w:pStyle w:val="ListBullet"/>
      </w:pPr>
      <w:r>
        <w:t>Percent of Total: “Shows the selected category’s share of total sales within the current filter context.”</w:t>
      </w:r>
    </w:p>
    <w:p>
      <w:pPr>
        <w:pStyle w:val="ListBullet"/>
      </w:pPr>
      <w:r>
        <w:t>Discount Band: “Groups discount values into consistent ranges so performance can be compared by discount level.”</w:t>
      </w:r>
    </w:p>
    <w:p>
      <w:pPr>
        <w:pStyle w:val="ListBullet"/>
      </w:pPr>
      <w:r>
        <w:t>Dual-Axis Note: “Sales and profit use separate axes; read each axis label carefully before comparing magnitudes.”</w:t>
      </w:r>
    </w:p>
    <w:p>
      <w:pPr>
        <w:pStyle w:val="Heading1"/>
      </w:pPr>
      <w:r>
        <w:t>11. Intended Analytical Impact and Questions Answered</w:t>
      </w:r>
    </w:p>
    <w:p>
      <w:pPr>
        <w:pStyle w:val="ListBullet"/>
      </w:pPr>
      <w:r>
        <w:t>Are sales and profit increasing together, or are there periods when profitability weakens despite revenue growth?</w:t>
      </w:r>
    </w:p>
    <w:p>
      <w:pPr>
        <w:pStyle w:val="ListBullet"/>
      </w:pPr>
      <w:r>
        <w:t>Which Region × Category combinations have the strongest and weakest profit margins?</w:t>
      </w:r>
    </w:p>
    <w:p>
      <w:pPr>
        <w:pStyle w:val="ListBullet"/>
      </w:pPr>
      <w:r>
        <w:t>Which sub-categories contribute the most profit and which create losses?</w:t>
      </w:r>
    </w:p>
    <w:p>
      <w:pPr>
        <w:pStyle w:val="ListBullet"/>
      </w:pPr>
      <w:r>
        <w:t>How much does each category contribute to overall sales?</w:t>
      </w:r>
    </w:p>
    <w:p>
      <w:pPr>
        <w:pStyle w:val="ListBullet"/>
      </w:pPr>
      <w:r>
        <w:t>Does performance change after filtering by discount band, customer segment, region, or time period?</w:t>
      </w:r>
    </w:p>
    <w:p>
      <w:pPr>
        <w:pStyle w:val="ListBullet"/>
      </w:pPr>
      <w:r>
        <w:t>Can a user identify a problem area in the heat map and immediately investigate its trend and product-level contributors?</w:t>
      </w:r>
    </w:p>
    <w:p>
      <w:r>
        <w:t>The combined approach is intended to make the analysis both deeper and easier to use. Advanced charts reveal relationships and outliers, while calculated fields standardize comparisons and table calculations expose movement over time. Interactivity helps users test hypotheses instead of passively viewing static charts. The dashboard should support exploration, not claim causation: an observed relationship between discount and profit, for example, does not by itself prove that discounting caused a change in profit.</w:t>
      </w:r>
    </w:p>
    <w:p>
      <w:pPr>
        <w:pStyle w:val="Heading1"/>
      </w:pPr>
      <w:r>
        <w:t>12. Evaluation Criteria and Quality Assurance</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b/>
                <w:sz w:val="18"/>
              </w:rPr>
              <w:t>Evaluation Area</w:t>
            </w:r>
          </w:p>
        </w:tc>
        <w:tc>
          <w:tcPr>
            <w:tcW w:type="dxa" w:w="4968"/>
            <w:shd w:fill="D9EAF7"/>
          </w:tcPr>
          <w:p>
            <w:r/>
            <w:r>
              <w:rPr>
                <w:b/>
                <w:sz w:val="18"/>
              </w:rPr>
              <w:t>Evidence of Completion</w:t>
            </w:r>
          </w:p>
        </w:tc>
      </w:tr>
      <w:tr>
        <w:tc>
          <w:tcPr>
            <w:tcW w:type="dxa" w:w="4968"/>
          </w:tcPr>
          <w:p>
            <w:r/>
            <w:r>
              <w:rPr>
                <w:b/>
                <w:sz w:val="18"/>
              </w:rPr>
              <w:t>Innovative advanced charting</w:t>
            </w:r>
          </w:p>
        </w:tc>
        <w:tc>
          <w:tcPr>
            <w:tcW w:type="dxa" w:w="4968"/>
          </w:tcPr>
          <w:p>
            <w:r/>
            <w:r>
              <w:rPr>
                <w:b w:val="0"/>
                <w:sz w:val="18"/>
              </w:rPr>
              <w:t>At least two advanced methods are implemented (dual-axis trend and heat map), with a supporting ranked chart and a clear reason for each.</w:t>
            </w:r>
          </w:p>
        </w:tc>
      </w:tr>
      <w:tr>
        <w:tc>
          <w:tcPr>
            <w:tcW w:type="dxa" w:w="4968"/>
          </w:tcPr>
          <w:p>
            <w:r/>
            <w:r>
              <w:rPr>
                <w:b/>
                <w:sz w:val="18"/>
              </w:rPr>
              <w:t>Correct calculations</w:t>
            </w:r>
          </w:p>
        </w:tc>
        <w:tc>
          <w:tcPr>
            <w:tcW w:type="dxa" w:w="4968"/>
          </w:tcPr>
          <w:p>
            <w:r/>
            <w:r>
              <w:rPr>
                <w:b w:val="0"/>
                <w:sz w:val="18"/>
              </w:rPr>
              <w:t>Every calculated field has a validated formula, suitable number format, documented grain, and clear explanation of its use.</w:t>
            </w:r>
          </w:p>
        </w:tc>
      </w:tr>
      <w:tr>
        <w:tc>
          <w:tcPr>
            <w:tcW w:type="dxa" w:w="4968"/>
          </w:tcPr>
          <w:p>
            <w:r/>
            <w:r>
              <w:rPr>
                <w:b/>
                <w:sz w:val="18"/>
              </w:rPr>
              <w:t>Table calculation correctness</w:t>
            </w:r>
          </w:p>
        </w:tc>
        <w:tc>
          <w:tcPr>
            <w:tcW w:type="dxa" w:w="4968"/>
          </w:tcPr>
          <w:p>
            <w:r/>
            <w:r>
              <w:rPr>
                <w:b w:val="0"/>
                <w:sz w:val="18"/>
              </w:rPr>
              <w:t>Addressing, partitioning, sorting, and filter behavior are tested and documented.</w:t>
            </w:r>
          </w:p>
        </w:tc>
      </w:tr>
      <w:tr>
        <w:tc>
          <w:tcPr>
            <w:tcW w:type="dxa" w:w="4968"/>
          </w:tcPr>
          <w:p>
            <w:r/>
            <w:r>
              <w:rPr>
                <w:b/>
                <w:sz w:val="18"/>
              </w:rPr>
              <w:t>Documentation quality</w:t>
            </w:r>
          </w:p>
        </w:tc>
        <w:tc>
          <w:tcPr>
            <w:tcW w:type="dxa" w:w="4968"/>
          </w:tcPr>
          <w:p>
            <w:r/>
            <w:r>
              <w:rPr>
                <w:b w:val="0"/>
                <w:sz w:val="18"/>
              </w:rPr>
              <w:t>The DOCX includes objective, dataset assumptions, build steps, formulas, design rationale, interactions, impact, and limitations.</w:t>
            </w:r>
          </w:p>
        </w:tc>
      </w:tr>
      <w:tr>
        <w:tc>
          <w:tcPr>
            <w:tcW w:type="dxa" w:w="4968"/>
          </w:tcPr>
          <w:p>
            <w:r/>
            <w:r>
              <w:rPr>
                <w:b/>
                <w:sz w:val="18"/>
              </w:rPr>
              <w:t>User-centered design</w:t>
            </w:r>
          </w:p>
        </w:tc>
        <w:tc>
          <w:tcPr>
            <w:tcW w:type="dxa" w:w="4968"/>
          </w:tcPr>
          <w:p>
            <w:r/>
            <w:r>
              <w:rPr>
                <w:b w:val="0"/>
                <w:sz w:val="18"/>
              </w:rPr>
              <w:t>The dashboard has readable hierarchy, meaningful titles, accessible contrast, informative tooltips, and clear filter/reset behavior.</w:t>
            </w:r>
          </w:p>
        </w:tc>
      </w:tr>
    </w:tbl>
    <w:p>
      <w:pPr>
        <w:pStyle w:val="Heading1"/>
      </w:pPr>
      <w:r>
        <w:t>13. Suggested 30–35 Hour Work Plan</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b/>
                <w:sz w:val="18"/>
              </w:rPr>
              <w:t>Work Package</w:t>
            </w:r>
          </w:p>
        </w:tc>
        <w:tc>
          <w:tcPr>
            <w:tcW w:type="dxa" w:w="4968"/>
            <w:shd w:fill="D9EAF7"/>
          </w:tcPr>
          <w:p>
            <w:r/>
            <w:r>
              <w:rPr>
                <w:b/>
                <w:sz w:val="18"/>
              </w:rPr>
              <w:t>Estimated Time</w:t>
            </w:r>
          </w:p>
        </w:tc>
      </w:tr>
      <w:tr>
        <w:tc>
          <w:tcPr>
            <w:tcW w:type="dxa" w:w="4968"/>
          </w:tcPr>
          <w:p>
            <w:r/>
            <w:r>
              <w:rPr>
                <w:b w:val="0"/>
                <w:sz w:val="18"/>
              </w:rPr>
              <w:t>Dataset review and data quality checks</w:t>
            </w:r>
          </w:p>
        </w:tc>
        <w:tc>
          <w:tcPr>
            <w:tcW w:type="dxa" w:w="4968"/>
          </w:tcPr>
          <w:p>
            <w:r/>
            <w:r>
              <w:rPr>
                <w:b w:val="0"/>
                <w:sz w:val="18"/>
              </w:rPr>
              <w:t>4 hours</w:t>
            </w:r>
          </w:p>
        </w:tc>
      </w:tr>
      <w:tr>
        <w:tc>
          <w:tcPr>
            <w:tcW w:type="dxa" w:w="4968"/>
          </w:tcPr>
          <w:p>
            <w:r/>
            <w:r>
              <w:rPr>
                <w:b w:val="0"/>
                <w:sz w:val="18"/>
              </w:rPr>
              <w:t>Research and selection of chart techniques</w:t>
            </w:r>
          </w:p>
        </w:tc>
        <w:tc>
          <w:tcPr>
            <w:tcW w:type="dxa" w:w="4968"/>
          </w:tcPr>
          <w:p>
            <w:r/>
            <w:r>
              <w:rPr>
                <w:b w:val="0"/>
                <w:sz w:val="18"/>
              </w:rPr>
              <w:t>3 hours</w:t>
            </w:r>
          </w:p>
        </w:tc>
      </w:tr>
      <w:tr>
        <w:tc>
          <w:tcPr>
            <w:tcW w:type="dxa" w:w="4968"/>
          </w:tcPr>
          <w:p>
            <w:r/>
            <w:r>
              <w:rPr>
                <w:b w:val="0"/>
                <w:sz w:val="18"/>
              </w:rPr>
              <w:t>Calculated fields and formula validation</w:t>
            </w:r>
          </w:p>
        </w:tc>
        <w:tc>
          <w:tcPr>
            <w:tcW w:type="dxa" w:w="4968"/>
          </w:tcPr>
          <w:p>
            <w:r/>
            <w:r>
              <w:rPr>
                <w:b w:val="0"/>
                <w:sz w:val="18"/>
              </w:rPr>
              <w:t>6 hours</w:t>
            </w:r>
          </w:p>
        </w:tc>
      </w:tr>
      <w:tr>
        <w:tc>
          <w:tcPr>
            <w:tcW w:type="dxa" w:w="4968"/>
          </w:tcPr>
          <w:p>
            <w:r/>
            <w:r>
              <w:rPr>
                <w:b w:val="0"/>
                <w:sz w:val="18"/>
              </w:rPr>
              <w:t>Table calculations and testing</w:t>
            </w:r>
          </w:p>
        </w:tc>
        <w:tc>
          <w:tcPr>
            <w:tcW w:type="dxa" w:w="4968"/>
          </w:tcPr>
          <w:p>
            <w:r/>
            <w:r>
              <w:rPr>
                <w:b w:val="0"/>
                <w:sz w:val="18"/>
              </w:rPr>
              <w:t>5 hours</w:t>
            </w:r>
          </w:p>
        </w:tc>
      </w:tr>
      <w:tr>
        <w:tc>
          <w:tcPr>
            <w:tcW w:type="dxa" w:w="4968"/>
          </w:tcPr>
          <w:p>
            <w:r/>
            <w:r>
              <w:rPr>
                <w:b w:val="0"/>
                <w:sz w:val="18"/>
              </w:rPr>
              <w:t>Build advanced charts and supporting views</w:t>
            </w:r>
          </w:p>
        </w:tc>
        <w:tc>
          <w:tcPr>
            <w:tcW w:type="dxa" w:w="4968"/>
          </w:tcPr>
          <w:p>
            <w:r/>
            <w:r>
              <w:rPr>
                <w:b w:val="0"/>
                <w:sz w:val="18"/>
              </w:rPr>
              <w:t>6 hours</w:t>
            </w:r>
          </w:p>
        </w:tc>
      </w:tr>
      <w:tr>
        <w:tc>
          <w:tcPr>
            <w:tcW w:type="dxa" w:w="4968"/>
          </w:tcPr>
          <w:p>
            <w:r/>
            <w:r>
              <w:rPr>
                <w:b w:val="0"/>
                <w:sz w:val="18"/>
              </w:rPr>
              <w:t>Dashboard layout, interactions, and tooltips</w:t>
            </w:r>
          </w:p>
        </w:tc>
        <w:tc>
          <w:tcPr>
            <w:tcW w:type="dxa" w:w="4968"/>
          </w:tcPr>
          <w:p>
            <w:r/>
            <w:r>
              <w:rPr>
                <w:b w:val="0"/>
                <w:sz w:val="18"/>
              </w:rPr>
              <w:t>5 hours</w:t>
            </w:r>
          </w:p>
        </w:tc>
      </w:tr>
      <w:tr>
        <w:tc>
          <w:tcPr>
            <w:tcW w:type="dxa" w:w="4968"/>
          </w:tcPr>
          <w:p>
            <w:r/>
            <w:r>
              <w:rPr>
                <w:b w:val="0"/>
                <w:sz w:val="18"/>
              </w:rPr>
              <w:t>Quality assurance, documentation, and final review</w:t>
            </w:r>
          </w:p>
        </w:tc>
        <w:tc>
          <w:tcPr>
            <w:tcW w:type="dxa" w:w="4968"/>
          </w:tcPr>
          <w:p>
            <w:r/>
            <w:r>
              <w:rPr>
                <w:b w:val="0"/>
                <w:sz w:val="18"/>
              </w:rPr>
              <w:t>4 hours</w:t>
            </w:r>
          </w:p>
        </w:tc>
      </w:tr>
    </w:tbl>
    <w:p>
      <w:r>
        <w:t>Total estimated effort: 33 hours. This is a planning estimate; actual time depends on dataset quality, Tableau familiarity, and the number of revisions.</w:t>
      </w:r>
    </w:p>
    <w:p>
      <w:pPr>
        <w:pStyle w:val="Heading1"/>
      </w:pPr>
      <w:r>
        <w:t>14. Risks, Assumptions, and Limitations</w:t>
      </w:r>
    </w:p>
    <w:p>
      <w:pPr>
        <w:pStyle w:val="ListBullet"/>
      </w:pPr>
      <w:r>
        <w:t>The exact dataset schema has not been attached to this task description; formulas assume common retail field names and must be adapted to the real source.</w:t>
      </w:r>
    </w:p>
    <w:p>
      <w:pPr>
        <w:pStyle w:val="ListBullet"/>
      </w:pPr>
      <w:r>
        <w:t>Average Order Value requires a reliable Order ID and a sales measure that is not duplicated by joins.</w:t>
      </w:r>
    </w:p>
    <w:p>
      <w:pPr>
        <w:pStyle w:val="ListBullet"/>
      </w:pPr>
      <w:r>
        <w:t>Dual-axis charts can create false visual impressions when scales are inappropriate; axes and units must be explicit.</w:t>
      </w:r>
    </w:p>
    <w:p>
      <w:pPr>
        <w:pStyle w:val="ListBullet"/>
      </w:pPr>
      <w:r>
        <w:t>Table calculations depend on the dimensions in the view, sort order, and filter context; changing the layout can change the result.</w:t>
      </w:r>
    </w:p>
    <w:p>
      <w:pPr>
        <w:pStyle w:val="ListBullet"/>
      </w:pPr>
      <w:r>
        <w:t>Profit margin may be unstable or undefined when Sales is zero or very small; handle zero-sales groups carefully.</w:t>
      </w:r>
    </w:p>
    <w:p>
      <w:pPr>
        <w:pStyle w:val="ListBullet"/>
      </w:pPr>
      <w:r>
        <w:t>The dashboard can reveal associations and exceptions but cannot establish causality without additional evidence or a suitable analytical design.</w:t>
      </w:r>
    </w:p>
    <w:p>
      <w:pPr>
        <w:pStyle w:val="Heading1"/>
      </w:pPr>
      <w:r>
        <w:t>15. Final Deliverables Checklist</w:t>
      </w:r>
    </w:p>
    <w:p>
      <w:pPr>
        <w:pStyle w:val="ListBullet"/>
      </w:pPr>
      <w:r>
        <w:t>☐ DOCX report containing the full approach, design rationale, formulas, steps, and intended impact.</w:t>
      </w:r>
    </w:p>
    <w:p>
      <w:pPr>
        <w:pStyle w:val="ListBullet"/>
      </w:pPr>
      <w:r>
        <w:t>☐ Tableau workbook containing the calculated fields, advanced charts, table calculations, and dashboard.</w:t>
      </w:r>
    </w:p>
    <w:p>
      <w:pPr>
        <w:pStyle w:val="ListBullet"/>
      </w:pPr>
      <w:r>
        <w:t>☐ Evidence screenshots or published workbook link, if required by the instructor.</w:t>
      </w:r>
    </w:p>
    <w:p>
      <w:pPr>
        <w:pStyle w:val="ListBullet"/>
      </w:pPr>
      <w:r>
        <w:t>☐ Final validation notes documenting formula checks, filter tests, and any dataset-specific changes.</w:t>
      </w:r>
    </w:p>
    <w:p>
      <w:pPr>
        <w:pStyle w:val="Heading1"/>
      </w:pPr>
      <w:r>
        <w:t>16. Conclusion</w:t>
      </w:r>
    </w:p>
    <w:p>
      <w:r>
        <w:t>This Week 4 plan applies advanced charting and dynamic calculations to turn retail transaction data into a coherent interactive story. The dual-axis chart tracks the relationship between sales and profit over time, the heat map exposes regional and category-level margin patterns, and ranked bars identify sub-categories requiring attention. Calculated fields establish consistent measures, while table calculations add cumulative, comparative, and contribution-based views. A carefully arranged dashboard, supported by clear explanations and deliberate interactions, makes the analysis technically sound and accessible to its intended audience. Before submission, the workbook should be validated against the actual dataset and all assumptions should be updated to reflect the fields available.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4 Task | Advanced Chart Techniques and Calculation Insights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