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F4E79"/>
          <w:sz w:val="44"/>
        </w:rPr>
        <w:t>WEEK 1: EXPLORATORY DATA ANALYSIS REPORT</w:t>
      </w:r>
    </w:p>
    <w:p>
      <w:pPr>
        <w:spacing w:before="0" w:after="360"/>
      </w:pPr>
      <w:r>
        <w:rPr>
          <w:rFonts w:ascii="Calibri" w:hAnsi="Calibri"/>
          <w:i/>
          <w:color w:val="2E75B6"/>
          <w:sz w:val="26"/>
        </w:rPr>
        <w:t>Insights, Trends, and Business Optimization Strategies using Tableau</w:t>
      </w:r>
    </w:p>
    <w:p>
      <w:pPr>
        <w:spacing w:after="360"/>
        <w:pBdr>
          <w:bottom w:val="single" w:sz="12" w:space="1" w:color="1F4E79"/>
        </w:pBdr>
      </w:pPr>
    </w:p>
    <w:p>
      <w:pPr>
        <w:keepNext/>
        <w:spacing w:before="320" w:after="120"/>
        <w:pBdr>
          <w:bottom w:val="single" w:sz="6" w:space="2" w:color="2E75B6"/>
        </w:pBdr>
      </w:pPr>
      <w:r>
        <w:rPr>
          <w:rFonts w:ascii="Arial" w:hAnsi="Arial"/>
          <w:b/>
          <w:color w:val="1F4E79"/>
          <w:sz w:val="28"/>
        </w:rPr>
        <w:t>Executive Summary</w:t>
      </w:r>
    </w:p>
    <w:p>
      <w:pPr>
        <w:spacing w:after="120" w:line="276" w:lineRule="auto"/>
      </w:pPr>
      <w:r>
        <w:rPr>
          <w:i w:val="0"/>
          <w:color w:val="262626"/>
        </w:rPr>
        <w:t>This report presents an Exploratory Data Analysis (EDA) conducted using Tableau on a global E-Commerce &amp; Retail Sales Dataset. The dataset contains transactional records spanning multiple regions, product categories, customer segments, and financial metrics (sales, profit, discount, quantity). The primary objective is to uncover underlying sales patterns, evaluate regional performance, identify high- and low-margin product categories, and extract actionable business insights to drive profit optimization strategies.</w:t>
      </w:r>
    </w:p>
    <w:p>
      <w:pPr>
        <w:keepNext/>
        <w:spacing w:before="320" w:after="120"/>
        <w:pBdr>
          <w:bottom w:val="single" w:sz="6" w:space="2" w:color="2E75B6"/>
        </w:pBdr>
      </w:pPr>
      <w:r>
        <w:rPr>
          <w:rFonts w:ascii="Arial" w:hAnsi="Arial"/>
          <w:b/>
          <w:color w:val="1F4E79"/>
          <w:sz w:val="28"/>
        </w:rPr>
        <w:t>1. Dataset Overview &amp; Variable Selection</w:t>
      </w:r>
    </w:p>
    <w:p>
      <w:pPr>
        <w:spacing w:after="120" w:line="276" w:lineRule="auto"/>
      </w:pPr>
      <w:r>
        <w:rPr>
          <w:i w:val="0"/>
          <w:color w:val="262626"/>
        </w:rPr>
        <w:t>The analysis leverages a transactional dataset comprising 9,994 records and 21 variables. Standard data preparation and validation steps were completed prior to importing into Tableau to ensure correct data types, address missing values, and structure spatial fields efficiently.</w:t>
      </w:r>
    </w:p>
    <w:p>
      <w:pPr>
        <w:pStyle w:val="ListBullet"/>
        <w:spacing w:after="60"/>
      </w:pPr>
      <w:r>
        <w:rPr>
          <w:b/>
        </w:rPr>
        <w:t xml:space="preserve">Categorical Dimensions: </w:t>
      </w:r>
      <w:r>
        <w:t>Region, Country, State, Category, Sub-Category, Segment (Consumer, Corporate, Home Office), and Ship Mode.</w:t>
      </w:r>
    </w:p>
    <w:p>
      <w:pPr>
        <w:pStyle w:val="ListBullet"/>
        <w:spacing w:after="60"/>
      </w:pPr>
      <w:r>
        <w:rPr>
          <w:b/>
        </w:rPr>
        <w:t xml:space="preserve">Temporal Dimensions: </w:t>
      </w:r>
      <w:r>
        <w:t>Order Date and Ship Date (formatted across year, quarter, month, and day hierarchies).</w:t>
      </w:r>
    </w:p>
    <w:p>
      <w:pPr>
        <w:pStyle w:val="ListBullet"/>
        <w:spacing w:after="160"/>
      </w:pPr>
      <w:r>
        <w:rPr>
          <w:b/>
        </w:rPr>
        <w:t xml:space="preserve">Quantitative Measures: </w:t>
      </w:r>
      <w:r>
        <w:t>Sales ($ USD), Profit ($ USD), Discount (%), and Quantity (units sold).</w:t>
      </w:r>
    </w:p>
    <w:p>
      <w:pPr>
        <w:keepNext/>
        <w:spacing w:before="320" w:after="120"/>
        <w:pBdr>
          <w:bottom w:val="single" w:sz="6" w:space="2" w:color="2E75B6"/>
        </w:pBdr>
      </w:pPr>
      <w:r>
        <w:rPr>
          <w:rFonts w:ascii="Arial" w:hAnsi="Arial"/>
          <w:b/>
          <w:color w:val="1F4E79"/>
          <w:sz w:val="28"/>
        </w:rPr>
        <w:t>2. Exploratory Analysis &amp; Tableau Visualization Workflow</w:t>
      </w:r>
    </w:p>
    <w:p>
      <w:pPr>
        <w:spacing w:after="120" w:line="276" w:lineRule="auto"/>
      </w:pPr>
      <w:r>
        <w:rPr>
          <w:i w:val="0"/>
          <w:color w:val="262626"/>
        </w:rPr>
        <w:t>The exploratory process in Tableau followed a multi-dimensional approach to assess performance across regional geography, product lines, and time-series trends.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left w:val="single" w:sz="24" w:space="0" w:color="1F4E79"/>
              <w:top w:val="none"/>
              <w:right w:val="none"/>
              <w:bottom w:val="none"/>
            </w:tcBorders>
          </w:tcPr>
          <w:p>
            <w:pPr>
              <w:spacing w:after="0"/>
            </w:pPr>
            <w:r>
              <w:rPr>
                <w:b/>
                <w:color w:val="1F4E79"/>
              </w:rPr>
              <w:t>Tableau Analytical Workflow Steps:</w:t>
              <w:br/>
            </w:r>
            <w:r>
              <w:rPr>
                <w:sz w:val="19"/>
              </w:rPr>
              <w:t>1. Data Ingestion &amp; Formatting ➔ Clean and structure variables.</w:t>
              <w:br/>
              <w:t>2. Regional Performance Analysis ➔ Spatial map of Sales/Profit ratio per State.</w:t>
              <w:br/>
              <w:t>3. Category &amp; Margin Diagnostics ➔ Dual-Axis Chart evaluating Sales vs. Profitability.</w:t>
              <w:br/>
              <w:t>4. Discount Impact Analysis ➔ Scatter Plot with Trendlines (Discount vs. Profit Margin).</w:t>
              <w:br/>
              <w:t>5. Seasonality &amp; Cohort Modeling ➔ Time-series Line Chart with Monthly Moving Averages.</w:t>
            </w:r>
          </w:p>
        </w:tc>
      </w:tr>
    </w:tbl>
    <w:p>
      <w:pPr>
        <w:spacing w:after="80"/>
      </w:pPr>
    </w:p>
    <w:p>
      <w:pPr>
        <w:keepNext/>
        <w:spacing w:before="240" w:after="80"/>
      </w:pPr>
      <w:r>
        <w:rPr>
          <w:rFonts w:ascii="Arial" w:hAnsi="Arial"/>
          <w:b/>
          <w:color w:val="2E75B6"/>
          <w:sz w:val="24"/>
        </w:rPr>
        <w:t>A. Spatial Distribution &amp; Regional Performance</w:t>
      </w:r>
    </w:p>
    <w:p>
      <w:pPr>
        <w:spacing w:after="120" w:line="276" w:lineRule="auto"/>
      </w:pPr>
      <w:r>
        <w:rPr>
          <w:i w:val="0"/>
          <w:color w:val="262626"/>
        </w:rPr>
        <w:t>Using Tableau's geographical mapping tools, Sales and Profit were plotted across states and regions. The West and East regions drive over 60% of total revenue, with California and New York consistently outperforming other states in gross profit. Conversely, the Central region exhibits lower profit margins despite generating substantial overall sales volume.</w:t>
      </w:r>
    </w:p>
    <w:p>
      <w:pPr>
        <w:keepNext/>
        <w:spacing w:before="240" w:after="80"/>
      </w:pPr>
      <w:r>
        <w:rPr>
          <w:rFonts w:ascii="Arial" w:hAnsi="Arial"/>
          <w:b/>
          <w:color w:val="2E75B6"/>
          <w:sz w:val="24"/>
        </w:rPr>
        <w:t>B. Product Category &amp; Sub-Category Margins</w:t>
      </w:r>
    </w:p>
    <w:p>
      <w:pPr>
        <w:spacing w:after="120" w:line="276" w:lineRule="auto"/>
      </w:pPr>
      <w:r>
        <w:rPr>
          <w:i w:val="0"/>
          <w:color w:val="262626"/>
        </w:rPr>
        <w:t>A dual-axis chart comparing total Sales against total Profit across Category (Technology, Office Supplies, Furniture) revealed key operational discrepancies. Technology yields the highest net profit margins, led by Phones and Copiers. However, Furniture generates significant revenue, but margin realization is heavily compressed due to sub-categories like Tables and Bookcases, which consistently operate at a net loss.</w:t>
      </w:r>
    </w:p>
    <w:p>
      <w:pPr>
        <w:keepNext/>
        <w:spacing w:before="240" w:after="80"/>
      </w:pPr>
      <w:r>
        <w:rPr>
          <w:rFonts w:ascii="Arial" w:hAnsi="Arial"/>
          <w:b/>
          <w:color w:val="2E75B6"/>
          <w:sz w:val="24"/>
        </w:rPr>
        <w:t>C. Discount Impact Diagnostics</w:t>
      </w:r>
    </w:p>
    <w:p>
      <w:pPr>
        <w:spacing w:after="120" w:line="276" w:lineRule="auto"/>
      </w:pPr>
      <w:r>
        <w:rPr>
          <w:i w:val="0"/>
          <w:color w:val="262626"/>
        </w:rPr>
        <w:t>A scatter plot correlating Discount percentages with Profit across all transaction IDs revealed a clear structural risk: discounts exceeding 20% exhibit a direct negative correlation with profitability. In specific sub-categories (e.g., Binders and Tables), excessive promotional discounting results in net loss transactions without driving proportional increases in unit volume.</w:t>
      </w:r>
    </w:p>
    <w:p>
      <w:pPr>
        <w:keepNext/>
        <w:spacing w:before="240" w:after="80"/>
      </w:pPr>
      <w:r>
        <w:rPr>
          <w:rFonts w:ascii="Arial" w:hAnsi="Arial"/>
          <w:b/>
          <w:color w:val="2E75B6"/>
          <w:sz w:val="24"/>
        </w:rPr>
        <w:t>D. Temporal Trends &amp; Seasonality</w:t>
      </w:r>
    </w:p>
    <w:p>
      <w:pPr>
        <w:spacing w:after="120" w:line="276" w:lineRule="auto"/>
      </w:pPr>
      <w:r>
        <w:rPr>
          <w:i w:val="0"/>
          <w:color w:val="262626"/>
        </w:rPr>
        <w:t>A time-series line chart tracking monthly order volume and revenue across 4 consecutive years shows strong Q4 seasonality. Sales peak consistently during Q4 (November–December), driven by holiday promotions, while Q1 (January–February) experiences a predictable cyclical contraction of 30–35% in order volume.</w:t>
      </w:r>
    </w:p>
    <w:p>
      <w:pPr>
        <w:keepNext/>
        <w:spacing w:before="320" w:after="120"/>
        <w:pBdr>
          <w:bottom w:val="single" w:sz="6" w:space="2" w:color="2E75B6"/>
        </w:pBdr>
      </w:pPr>
      <w:r>
        <w:rPr>
          <w:rFonts w:ascii="Arial" w:hAnsi="Arial"/>
          <w:b/>
          <w:color w:val="1F4E79"/>
          <w:sz w:val="28"/>
        </w:rPr>
        <w:t>3. Key Findings &amp; Business Insights</w:t>
      </w:r>
    </w:p>
    <w:p>
      <w:pPr>
        <w:spacing w:after="120" w:line="276" w:lineRule="auto"/>
      </w:pPr>
      <w:r>
        <w:rPr>
          <w:i w:val="0"/>
          <w:color w:val="262626"/>
        </w:rPr>
        <w:t>The table below summarizes the key analytical findings along with recommended strategic actions:</w:t>
      </w:r>
    </w:p>
    <w:tbl>
      <w:tblPr>
        <w:tblW w:type="auto" w:w="0"/>
        <w:jc w:val="center"/>
        <w:tblLayout w:type="fixed"/>
        <w:tblLook w:firstColumn="1" w:firstRow="1" w:lastColumn="0" w:lastRow="0" w:noHBand="0" w:noVBand="1" w:val="04A0"/>
        <w:tblBorders>
          <w:top w:val="single" w:sz="4" w:space="0" w:color="D9D9D9"/>
          <w:bottom w:val="single" w:sz="8" w:space="0" w:color="1F4E79"/>
          <w:insideH w:val="single" w:sz="4" w:space="0" w:color="D9D9D9"/>
          <w:insideV w:val="none"/>
          <w:left w:val="none"/>
          <w:right w:val="none"/>
        </w:tblBorders>
      </w:tblPr>
      <w:tblGrid>
        <w:gridCol w:w="3120"/>
        <w:gridCol w:w="3120"/>
        <w:gridCol w:w="3120"/>
      </w:tblGrid>
      <w:tr>
        <w:tc>
          <w:tcPr>
            <w:tcW w:type="dxa" w:w="2160"/>
            <w:shd w:fill="1F4E79"/>
          </w:tcPr>
          <w:p>
            <w:pPr>
              <w:jc w:val="left"/>
            </w:pPr>
            <w:r>
              <w:rPr>
                <w:b/>
                <w:color w:val="FFFFFF"/>
                <w:sz w:val="20"/>
              </w:rPr>
              <w:t>Focus Area</w:t>
            </w:r>
          </w:p>
        </w:tc>
        <w:tc>
          <w:tcPr>
            <w:tcW w:type="dxa" w:w="3600"/>
            <w:shd w:fill="1F4E79"/>
          </w:tcPr>
          <w:p>
            <w:pPr>
              <w:jc w:val="left"/>
            </w:pPr>
            <w:r>
              <w:rPr>
                <w:b/>
                <w:color w:val="FFFFFF"/>
                <w:sz w:val="20"/>
              </w:rPr>
              <w:t>Key Observation</w:t>
            </w:r>
          </w:p>
        </w:tc>
        <w:tc>
          <w:tcPr>
            <w:tcW w:type="dxa" w:w="3600"/>
            <w:shd w:fill="1F4E79"/>
          </w:tcPr>
          <w:p>
            <w:pPr>
              <w:jc w:val="left"/>
            </w:pPr>
            <w:r>
              <w:rPr>
                <w:b/>
                <w:color w:val="FFFFFF"/>
                <w:sz w:val="20"/>
              </w:rPr>
              <w:t>Strategic Business Impact</w:t>
            </w:r>
          </w:p>
        </w:tc>
      </w:tr>
      <w:tr>
        <w:tc>
          <w:tcPr>
            <w:tcW w:type="dxa" w:w="2160"/>
            <w:shd w:fill="F2F4F7"/>
            <w:tcMar>
              <w:top w:w="80" w:type="dxa"/>
              <w:bottom w:w="80" w:type="dxa"/>
              <w:left w:w="100" w:type="dxa"/>
              <w:right w:w="100" w:type="dxa"/>
            </w:tcMar>
          </w:tcPr>
          <w:p>
            <w:pPr>
              <w:spacing w:after="0"/>
            </w:pPr>
            <w:r>
              <w:rPr>
                <w:color w:val="262626"/>
                <w:sz w:val="19"/>
              </w:rPr>
              <w:t>Product Margins</w:t>
            </w:r>
          </w:p>
        </w:tc>
        <w:tc>
          <w:tcPr>
            <w:tcW w:type="dxa" w:w="3600"/>
            <w:shd w:fill="F2F4F7"/>
            <w:tcMar>
              <w:top w:w="80" w:type="dxa"/>
              <w:bottom w:w="80" w:type="dxa"/>
              <w:left w:w="100" w:type="dxa"/>
              <w:right w:w="100" w:type="dxa"/>
            </w:tcMar>
          </w:tcPr>
          <w:p>
            <w:pPr>
              <w:spacing w:after="0"/>
            </w:pPr>
            <w:r>
              <w:rPr>
                <w:color w:val="262626"/>
                <w:sz w:val="19"/>
              </w:rPr>
              <w:t>Tables and Bookcases operate at an overall net loss despite high sales volume.</w:t>
            </w:r>
          </w:p>
        </w:tc>
        <w:tc>
          <w:tcPr>
            <w:tcW w:type="dxa" w:w="3600"/>
            <w:shd w:fill="F2F4F7"/>
            <w:tcMar>
              <w:top w:w="80" w:type="dxa"/>
              <w:bottom w:w="80" w:type="dxa"/>
              <w:left w:w="100" w:type="dxa"/>
              <w:right w:w="100" w:type="dxa"/>
            </w:tcMar>
          </w:tcPr>
          <w:p>
            <w:pPr>
              <w:spacing w:after="0"/>
            </w:pPr>
            <w:r>
              <w:rPr>
                <w:color w:val="262626"/>
                <w:sz w:val="19"/>
              </w:rPr>
              <w:t>Re-evaluate vendor pricing, shipping fees, or eliminate unprofitable SKUs.</w:t>
            </w:r>
          </w:p>
        </w:tc>
      </w:tr>
      <w:tr>
        <w:tc>
          <w:tcPr>
            <w:tcW w:type="dxa" w:w="2160"/>
            <w:shd w:fill="FFFFFF"/>
            <w:tcMar>
              <w:top w:w="80" w:type="dxa"/>
              <w:bottom w:w="80" w:type="dxa"/>
              <w:left w:w="100" w:type="dxa"/>
              <w:right w:w="100" w:type="dxa"/>
            </w:tcMar>
          </w:tcPr>
          <w:p>
            <w:pPr>
              <w:spacing w:after="0"/>
            </w:pPr>
            <w:r>
              <w:rPr>
                <w:color w:val="262626"/>
                <w:sz w:val="19"/>
              </w:rPr>
              <w:t>Discount Strategy</w:t>
            </w:r>
          </w:p>
        </w:tc>
        <w:tc>
          <w:tcPr>
            <w:tcW w:type="dxa" w:w="3600"/>
            <w:shd w:fill="FFFFFF"/>
            <w:tcMar>
              <w:top w:w="80" w:type="dxa"/>
              <w:bottom w:w="80" w:type="dxa"/>
              <w:left w:w="100" w:type="dxa"/>
              <w:right w:w="100" w:type="dxa"/>
            </w:tcMar>
          </w:tcPr>
          <w:p>
            <w:pPr>
              <w:spacing w:after="0"/>
            </w:pPr>
            <w:r>
              <w:rPr>
                <w:color w:val="262626"/>
                <w:sz w:val="19"/>
              </w:rPr>
              <w:t>Discounts ≥ 20% heavily erode profits across all product segments.</w:t>
            </w:r>
          </w:p>
        </w:tc>
        <w:tc>
          <w:tcPr>
            <w:tcW w:type="dxa" w:w="3600"/>
            <w:shd w:fill="FFFFFF"/>
            <w:tcMar>
              <w:top w:w="80" w:type="dxa"/>
              <w:bottom w:w="80" w:type="dxa"/>
              <w:left w:w="100" w:type="dxa"/>
              <w:right w:w="100" w:type="dxa"/>
            </w:tcMar>
          </w:tcPr>
          <w:p>
            <w:pPr>
              <w:spacing w:after="0"/>
            </w:pPr>
            <w:r>
              <w:rPr>
                <w:color w:val="262626"/>
                <w:sz w:val="19"/>
              </w:rPr>
              <w:t>Implement discount caps to protect gross margins.</w:t>
            </w:r>
          </w:p>
        </w:tc>
      </w:tr>
      <w:tr>
        <w:tc>
          <w:tcPr>
            <w:tcW w:type="dxa" w:w="2160"/>
            <w:shd w:fill="F2F4F7"/>
            <w:tcMar>
              <w:top w:w="80" w:type="dxa"/>
              <w:bottom w:w="80" w:type="dxa"/>
              <w:left w:w="100" w:type="dxa"/>
              <w:right w:w="100" w:type="dxa"/>
            </w:tcMar>
          </w:tcPr>
          <w:p>
            <w:pPr>
              <w:spacing w:after="0"/>
            </w:pPr>
            <w:r>
              <w:rPr>
                <w:color w:val="262626"/>
                <w:sz w:val="19"/>
              </w:rPr>
              <w:t>Regional Execution</w:t>
            </w:r>
          </w:p>
        </w:tc>
        <w:tc>
          <w:tcPr>
            <w:tcW w:type="dxa" w:w="3600"/>
            <w:shd w:fill="F2F4F7"/>
            <w:tcMar>
              <w:top w:w="80" w:type="dxa"/>
              <w:bottom w:w="80" w:type="dxa"/>
              <w:left w:w="100" w:type="dxa"/>
              <w:right w:w="100" w:type="dxa"/>
            </w:tcMar>
          </w:tcPr>
          <w:p>
            <w:pPr>
              <w:spacing w:after="0"/>
            </w:pPr>
            <w:r>
              <w:rPr>
                <w:color w:val="262626"/>
                <w:sz w:val="19"/>
              </w:rPr>
              <w:t>Central region exhibits low profit conversion despite solid top-line revenue.</w:t>
            </w:r>
          </w:p>
        </w:tc>
        <w:tc>
          <w:tcPr>
            <w:tcW w:type="dxa" w:w="3600"/>
            <w:shd w:fill="F2F4F7"/>
            <w:tcMar>
              <w:top w:w="80" w:type="dxa"/>
              <w:bottom w:w="80" w:type="dxa"/>
              <w:left w:w="100" w:type="dxa"/>
              <w:right w:w="100" w:type="dxa"/>
            </w:tcMar>
          </w:tcPr>
          <w:p>
            <w:pPr>
              <w:spacing w:after="0"/>
            </w:pPr>
            <w:r>
              <w:rPr>
                <w:color w:val="262626"/>
                <w:sz w:val="19"/>
              </w:rPr>
              <w:t>Audit regional distribution and fulfillment costs to reduce overhead.</w:t>
            </w:r>
          </w:p>
        </w:tc>
      </w:tr>
      <w:tr>
        <w:tc>
          <w:tcPr>
            <w:tcW w:type="dxa" w:w="2160"/>
            <w:shd w:fill="FFFFFF"/>
            <w:tcMar>
              <w:top w:w="80" w:type="dxa"/>
              <w:bottom w:w="80" w:type="dxa"/>
              <w:left w:w="100" w:type="dxa"/>
              <w:right w:w="100" w:type="dxa"/>
            </w:tcMar>
          </w:tcPr>
          <w:p>
            <w:pPr>
              <w:spacing w:after="0"/>
            </w:pPr>
            <w:r>
              <w:rPr>
                <w:color w:val="262626"/>
                <w:sz w:val="19"/>
              </w:rPr>
              <w:t>Customer Segments</w:t>
            </w:r>
          </w:p>
        </w:tc>
        <w:tc>
          <w:tcPr>
            <w:tcW w:type="dxa" w:w="3600"/>
            <w:shd w:fill="FFFFFF"/>
            <w:tcMar>
              <w:top w:w="80" w:type="dxa"/>
              <w:bottom w:w="80" w:type="dxa"/>
              <w:left w:w="100" w:type="dxa"/>
              <w:right w:w="100" w:type="dxa"/>
            </w:tcMar>
          </w:tcPr>
          <w:p>
            <w:pPr>
              <w:spacing w:after="0"/>
            </w:pPr>
            <w:r>
              <w:rPr>
                <w:color w:val="262626"/>
                <w:sz w:val="19"/>
              </w:rPr>
              <w:t>Corporate and Consumer segments represent 80%+ of total sales volume.</w:t>
            </w:r>
          </w:p>
        </w:tc>
        <w:tc>
          <w:tcPr>
            <w:tcW w:type="dxa" w:w="3600"/>
            <w:shd w:fill="FFFFFF"/>
            <w:tcMar>
              <w:top w:w="80" w:type="dxa"/>
              <w:bottom w:w="80" w:type="dxa"/>
              <w:left w:w="100" w:type="dxa"/>
              <w:right w:w="100" w:type="dxa"/>
            </w:tcMar>
          </w:tcPr>
          <w:p>
            <w:pPr>
              <w:spacing w:after="0"/>
            </w:pPr>
            <w:r>
              <w:rPr>
                <w:color w:val="262626"/>
                <w:sz w:val="19"/>
              </w:rPr>
              <w:t>Prioritize loyalty incentives and bulk contract terms for high-value segments.</w:t>
            </w:r>
          </w:p>
        </w:tc>
      </w:tr>
    </w:tbl>
    <w:p>
      <w:pPr>
        <w:spacing w:after="120"/>
      </w:pPr>
    </w:p>
    <w:p>
      <w:pPr>
        <w:keepNext/>
        <w:spacing w:before="320" w:after="120"/>
        <w:pBdr>
          <w:bottom w:val="single" w:sz="6" w:space="2" w:color="2E75B6"/>
        </w:pBdr>
      </w:pPr>
      <w:r>
        <w:rPr>
          <w:rFonts w:ascii="Arial" w:hAnsi="Arial"/>
          <w:b/>
          <w:color w:val="1F4E79"/>
          <w:sz w:val="28"/>
        </w:rPr>
        <w:t>4. Areas for Further Investigation</w:t>
      </w:r>
    </w:p>
    <w:p>
      <w:pPr>
        <w:spacing w:after="120" w:line="276" w:lineRule="auto"/>
      </w:pPr>
      <w:r>
        <w:rPr>
          <w:b/>
          <w:color w:val="262626"/>
        </w:rPr>
        <w:t xml:space="preserve">1. Fulfillment Logistics: </w:t>
      </w:r>
      <w:r>
        <w:rPr>
          <w:i w:val="0"/>
          <w:color w:val="262626"/>
        </w:rPr>
        <w:t>Investigate whether shipping fees and delivery delays in the Central region contribute directly to reduced net margins.</w:t>
      </w:r>
    </w:p>
    <w:p>
      <w:pPr>
        <w:spacing w:after="120" w:line="276" w:lineRule="auto"/>
      </w:pPr>
      <w:r>
        <w:rPr>
          <w:b/>
          <w:color w:val="262626"/>
        </w:rPr>
        <w:t xml:space="preserve">2. Customer Lifetime Value (CLV): </w:t>
      </w:r>
      <w:r>
        <w:rPr>
          <w:i w:val="0"/>
          <w:color w:val="262626"/>
        </w:rPr>
        <w:t>Perform cohort analysis to determine customer retention rates and repeat purchase intervals across different acquisition channels.</w:t>
      </w:r>
    </w:p>
    <w:p>
      <w:pPr>
        <w:spacing w:after="120" w:line="276" w:lineRule="auto"/>
      </w:pPr>
      <w:r>
        <w:rPr>
          <w:b/>
          <w:color w:val="262626"/>
        </w:rPr>
        <w:t xml:space="preserve">3. Basket Analysis: </w:t>
      </w:r>
      <w:r>
        <w:rPr>
          <w:i w:val="0"/>
          <w:color w:val="262626"/>
        </w:rPr>
        <w:t>Analyze multi-item transactions to evaluate cross-selling strategies between high-margin Technology goods and lower-margin accessories.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