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287271"/>
          <w:sz w:val="36"/>
        </w:rPr>
        <w:t>WEEK 3</w:t>
      </w:r>
    </w:p>
    <w:p>
      <w:pPr>
        <w:pStyle w:val="Title"/>
        <w:jc w:val="center"/>
      </w:pPr>
      <w:r>
        <w:t>Crafting Interactive</w:t>
        <w:br/>
        <w:t>Data Stories</w:t>
      </w:r>
    </w:p>
    <w:p>
      <w:pPr>
        <w:jc w:val="center"/>
      </w:pPr>
      <w:r>
        <w:rPr>
          <w:color w:val="287271"/>
          <w:sz w:val="30"/>
        </w:rPr>
        <w:t>Tableau Data Storytelling Plan and Visual Narrative</w:t>
      </w:r>
    </w:p>
    <w:p/>
    <w:p>
      <w:pPr>
        <w:jc w:val="center"/>
      </w:pPr>
      <w:r>
        <w:rPr>
          <w:b/>
        </w:rPr>
        <w:t>Project Theme</w:t>
        <w:br/>
      </w:r>
      <w:r>
        <w:t>Insights, Trends, and Business Optimization Strategies</w:t>
        <w:br/>
        <w:t>using a Global E-Commerce &amp; Retail Sales Dataset</w:t>
      </w:r>
    </w:p>
    <w:p/>
    <w:p>
      <w:pPr>
        <w:jc w:val="center"/>
      </w:pPr>
      <w:r>
        <w:t>Detailed planning document with narrative sequence, interaction design, storyboard, and evaluation plan.</w:t>
      </w:r>
    </w:p>
    <w:p>
      <w:r>
        <w:br w:type="page"/>
      </w:r>
    </w:p>
    <w:p>
      <w:pPr>
        <w:pStyle w:val="Heading1"/>
      </w:pPr>
      <w:r>
        <w:t>Contents</w:t>
      </w:r>
    </w:p>
    <w:p>
      <w:pPr>
        <w:pStyle w:val="ListBullet"/>
        <w:spacing w:after="40"/>
      </w:pPr>
      <w:r>
        <w:t>1. Executive Summary</w:t>
      </w:r>
    </w:p>
    <w:p>
      <w:pPr>
        <w:pStyle w:val="ListBullet"/>
        <w:spacing w:after="40"/>
      </w:pPr>
      <w:r>
        <w:t>2. Project Context and Story Concept</w:t>
      </w:r>
    </w:p>
    <w:p>
      <w:pPr>
        <w:pStyle w:val="ListBullet"/>
        <w:spacing w:after="40"/>
      </w:pPr>
      <w:r>
        <w:t>3. Key Message, Supporting Insights, and Audience</w:t>
      </w:r>
    </w:p>
    <w:p>
      <w:pPr>
        <w:pStyle w:val="ListBullet"/>
        <w:spacing w:after="40"/>
      </w:pPr>
      <w:r>
        <w:t>4. Narrative Flow</w:t>
      </w:r>
    </w:p>
    <w:p>
      <w:pPr>
        <w:pStyle w:val="ListBullet"/>
        <w:spacing w:after="40"/>
      </w:pPr>
      <w:r>
        <w:t>5. Visual Narrative Sequence</w:t>
      </w:r>
    </w:p>
    <w:p>
      <w:pPr>
        <w:pStyle w:val="ListBullet"/>
        <w:spacing w:after="40"/>
      </w:pPr>
      <w:r>
        <w:t>6. Storyboard Diagram</w:t>
      </w:r>
    </w:p>
    <w:p>
      <w:pPr>
        <w:pStyle w:val="ListBullet"/>
        <w:spacing w:after="40"/>
      </w:pPr>
      <w:r>
        <w:t>7. Interactive Elements</w:t>
      </w:r>
    </w:p>
    <w:p>
      <w:pPr>
        <w:pStyle w:val="ListBullet"/>
        <w:spacing w:after="40"/>
      </w:pPr>
      <w:r>
        <w:t>8. Interaction Flow Diagram</w:t>
      </w:r>
    </w:p>
    <w:p>
      <w:pPr>
        <w:pStyle w:val="ListBullet"/>
        <w:spacing w:after="40"/>
      </w:pPr>
      <w:r>
        <w:t>9. Design and Accessibility</w:t>
      </w:r>
    </w:p>
    <w:p>
      <w:pPr>
        <w:pStyle w:val="ListBullet"/>
        <w:spacing w:after="40"/>
      </w:pPr>
      <w:r>
        <w:t>10. Analysis and Responsible Interpretation</w:t>
      </w:r>
    </w:p>
    <w:p>
      <w:pPr>
        <w:pStyle w:val="ListBullet"/>
        <w:spacing w:after="40"/>
      </w:pPr>
      <w:r>
        <w:t>11. User Walkthrough</w:t>
      </w:r>
    </w:p>
    <w:p>
      <w:pPr>
        <w:pStyle w:val="ListBullet"/>
        <w:spacing w:after="40"/>
      </w:pPr>
      <w:r>
        <w:t>12. Testing and Evaluation</w:t>
      </w:r>
    </w:p>
    <w:p>
      <w:pPr>
        <w:pStyle w:val="ListBullet"/>
        <w:spacing w:after="40"/>
      </w:pPr>
      <w:r>
        <w:t>13. Proposed 33-Hour Work Plan</w:t>
      </w:r>
    </w:p>
    <w:p>
      <w:pPr>
        <w:pStyle w:val="ListBullet"/>
        <w:spacing w:after="40"/>
      </w:pPr>
      <w:r>
        <w:t>14. Expected Outcomes</w:t>
      </w:r>
    </w:p>
    <w:p>
      <w:pPr>
        <w:pStyle w:val="ListBullet"/>
        <w:spacing w:after="40"/>
      </w:pPr>
      <w:r>
        <w:t>15. Implementation Checklist</w:t>
      </w:r>
    </w:p>
    <w:p>
      <w:pPr>
        <w:pStyle w:val="ListBullet"/>
        <w:spacing w:after="40"/>
      </w:pPr>
      <w:r>
        <w:t>16. Conclusion</w:t>
      </w:r>
    </w:p>
    <w:p>
      <w:pPr>
        <w:pStyle w:val="ListBullet"/>
        <w:spacing w:after="40"/>
      </w:pPr>
      <w:r>
        <w:t>Appendix: Glossary</w:t>
      </w:r>
    </w:p>
    <w:p>
      <w:r>
        <w:br w:type="page"/>
      </w:r>
    </w:p>
    <w:p>
      <w:pPr>
        <w:pStyle w:val="Heading1"/>
      </w:pPr>
      <w:r>
        <w:t>1. Executive Summary</w:t>
      </w:r>
    </w:p>
    <w:p>
      <w:r>
        <w:t>This document presents a step-by-step plan for creating an interactive Tableau data story using a global E-Commerce &amp; Retail Sales dataset. The dataset is expected to include transaction records across dates, regions, product categories, customer segments, and measures such as sales, profit, discount, and quantity. The story moves from a broad performance snapshot to questions about when performance changes, where results differ, which product groups contribute to profit, and how discount patterns relate to profit.</w:t>
      </w:r>
    </w:p>
    <w:p>
      <w:r>
        <w:t>The planned narrative uses KPI cards, a monthly trend chart, regional comparisons, a product profitability chart, and a discount-versus-profit scatter plot. Global filters, cross-filtering, highlighting, tooltips, and a reset control allow readers to explore the evidence in greater depth. All proposed insights are hypotheses to test; actual conclusions must be confirmed from the dataset.</w:t>
      </w:r>
    </w:p>
    <w:p>
      <w:pPr>
        <w:pStyle w:val="Heading1"/>
      </w:pPr>
      <w:r>
        <w:t>2. Project Context and Story Concept</w:t>
      </w:r>
    </w:p>
    <w:p>
      <w:pPr>
        <w:pStyle w:val="Heading2"/>
      </w:pPr>
      <w:r>
        <w:t>2.1 Business context</w:t>
      </w:r>
    </w:p>
    <w:p>
      <w:r>
        <w:t>Sales totals alone do not explain the full health of a retail business. High revenue may coexist with weak profit, uneven regional performance, or product groups that generate losses. Discounts may support sales volume but can also be associated with lower profit. An interactive data story gives users a guided way to explore these questions without assuming the answer in advance.</w:t>
      </w:r>
    </w:p>
    <w:p>
      <w:pPr>
        <w:pStyle w:val="Heading2"/>
      </w:pPr>
      <w:r>
        <w:t>2.2 Story concept</w:t>
      </w:r>
    </w:p>
    <w:p>
      <w:r>
        <w:rPr>
          <w:b/>
        </w:rPr>
        <w:t xml:space="preserve">Working title: </w:t>
      </w:r>
      <w:r>
        <w:t>From Sales to Sustainable Profit: Finding the Drivers of E-Commerce and Retail Performance</w:t>
      </w:r>
    </w:p>
    <w:p>
      <w:r>
        <w:t>Central question: Where is performance strong, where does it weaken, and what should the business investigate next to understand the difference between sales growth and profitable growth?</w:t>
      </w:r>
    </w:p>
    <w:p>
      <w:pPr>
        <w:pStyle w:val="Heading2"/>
      </w:pPr>
      <w:r>
        <w:t>2.3 Story promise</w:t>
      </w:r>
    </w:p>
    <w:p>
      <w:r>
        <w:t>By following the views in sequence, users should be able to identify a performance signal, locate when and where it occurs, explore possible contributing patterns, and decide which question needs further investigation.</w:t>
      </w:r>
    </w:p>
    <w:p>
      <w:pPr>
        <w:pStyle w:val="Heading1"/>
      </w:pPr>
      <w:r>
        <w:t>3. Key Message, Supporting Insights, and Audience</w:t>
      </w:r>
    </w:p>
    <w:p>
      <w:pPr>
        <w:pStyle w:val="Heading2"/>
      </w:pPr>
      <w:r>
        <w:t>3.1 Key message</w:t>
      </w:r>
    </w:p>
    <w:p>
      <w:r>
        <w:t>Retail performance should be assessed through sales and profitability together. Time, geography, product mix, and discount patterns provide complementary views that help users investigate performance rather than relying on a single total.</w:t>
      </w:r>
    </w:p>
    <w:p>
      <w:pPr>
        <w:pStyle w:val="Heading2"/>
      </w:pPr>
      <w:r>
        <w:t>3.2 Supporting insights to test</w:t>
      </w:r>
    </w:p>
    <w:p>
      <w:pPr>
        <w:pStyle w:val="ListBullet"/>
        <w:spacing w:after="40"/>
      </w:pPr>
      <w:r>
        <w:t>Whether sales and profit follow similar or different monthly patterns.</w:t>
      </w:r>
    </w:p>
    <w:p>
      <w:pPr>
        <w:pStyle w:val="ListBullet"/>
        <w:spacing w:after="40"/>
      </w:pPr>
      <w:r>
        <w:t>Whether regional rankings change when judged by profit rather than sales.</w:t>
      </w:r>
    </w:p>
    <w:p>
      <w:pPr>
        <w:pStyle w:val="ListBullet"/>
        <w:spacing w:after="40"/>
      </w:pPr>
      <w:r>
        <w:t>Which categories or sub-categories contribute most or least to total profit.</w:t>
      </w:r>
    </w:p>
    <w:p>
      <w:pPr>
        <w:pStyle w:val="ListBullet"/>
        <w:spacing w:after="40"/>
      </w:pPr>
      <w:r>
        <w:t>Whether discount levels appear associated with lower profit and where exceptions occur.</w:t>
      </w:r>
    </w:p>
    <w:p>
      <w:pPr>
        <w:pStyle w:val="ListBullet"/>
        <w:spacing w:after="40"/>
      </w:pPr>
      <w:r>
        <w:t>Whether the overall picture changes by segment, date range, region, or category.</w:t>
      </w:r>
    </w:p>
    <w:p>
      <w:r>
        <w:t>These are questions to investigate, not confirmed findings. Final claims should be written only after validating the actual data.</w:t>
      </w:r>
    </w:p>
    <w:p>
      <w:pPr>
        <w:pStyle w:val="Heading2"/>
      </w:pPr>
      <w:r>
        <w:t>3.3 Target audience</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Audience</w:t>
            </w:r>
          </w:p>
        </w:tc>
        <w:tc>
          <w:tcPr>
            <w:tcW w:type="dxa" w:w="4968"/>
            <w:shd w:fill="17365D"/>
          </w:tcPr>
          <w:p>
            <w:r>
              <w:rPr>
                <w:b/>
                <w:color w:val="FFFFFF"/>
                <w:sz w:val="18"/>
              </w:rPr>
              <w:t>What the audience needs</w:t>
            </w:r>
          </w:p>
        </w:tc>
      </w:tr>
      <w:tr>
        <w:tc>
          <w:tcPr>
            <w:tcW w:type="dxa" w:w="4968"/>
            <w:vAlign w:val="center"/>
          </w:tcPr>
          <w:p>
            <w:pPr>
              <w:spacing w:after="20"/>
            </w:pPr>
            <w:r>
              <w:rPr>
                <w:sz w:val="17"/>
              </w:rPr>
              <w:t>Business owner / senior manager</w:t>
            </w:r>
          </w:p>
        </w:tc>
        <w:tc>
          <w:tcPr>
            <w:tcW w:type="dxa" w:w="4968"/>
            <w:vAlign w:val="center"/>
          </w:tcPr>
          <w:p>
            <w:pPr>
              <w:spacing w:after="20"/>
            </w:pPr>
            <w:r>
              <w:rPr>
                <w:sz w:val="17"/>
              </w:rPr>
              <w:t>A quick overview and a clear direction for further investigation.</w:t>
            </w:r>
          </w:p>
        </w:tc>
      </w:tr>
      <w:tr>
        <w:tc>
          <w:tcPr>
            <w:tcW w:type="dxa" w:w="4968"/>
            <w:vAlign w:val="center"/>
            <w:shd w:fill="F1F5F9"/>
          </w:tcPr>
          <w:p>
            <w:pPr>
              <w:spacing w:after="20"/>
            </w:pPr>
            <w:r>
              <w:rPr>
                <w:sz w:val="17"/>
              </w:rPr>
              <w:t>Sales or regional manager</w:t>
            </w:r>
          </w:p>
        </w:tc>
        <w:tc>
          <w:tcPr>
            <w:tcW w:type="dxa" w:w="4968"/>
            <w:vAlign w:val="center"/>
            <w:shd w:fill="F1F5F9"/>
          </w:tcPr>
          <w:p>
            <w:pPr>
              <w:spacing w:after="20"/>
            </w:pPr>
            <w:r>
              <w:rPr>
                <w:sz w:val="17"/>
              </w:rPr>
              <w:t>Time trends and regional differences.</w:t>
            </w:r>
          </w:p>
        </w:tc>
      </w:tr>
      <w:tr>
        <w:tc>
          <w:tcPr>
            <w:tcW w:type="dxa" w:w="4968"/>
            <w:vAlign w:val="center"/>
          </w:tcPr>
          <w:p>
            <w:pPr>
              <w:spacing w:after="20"/>
            </w:pPr>
            <w:r>
              <w:rPr>
                <w:sz w:val="17"/>
              </w:rPr>
              <w:t>Category / product manager</w:t>
            </w:r>
          </w:p>
        </w:tc>
        <w:tc>
          <w:tcPr>
            <w:tcW w:type="dxa" w:w="4968"/>
            <w:vAlign w:val="center"/>
          </w:tcPr>
          <w:p>
            <w:pPr>
              <w:spacing w:after="20"/>
            </w:pPr>
            <w:r>
              <w:rPr>
                <w:sz w:val="17"/>
              </w:rPr>
              <w:t>Product-group contribution to profit.</w:t>
            </w:r>
          </w:p>
        </w:tc>
      </w:tr>
      <w:tr>
        <w:tc>
          <w:tcPr>
            <w:tcW w:type="dxa" w:w="4968"/>
            <w:vAlign w:val="center"/>
            <w:shd w:fill="F1F5F9"/>
          </w:tcPr>
          <w:p>
            <w:pPr>
              <w:spacing w:after="20"/>
            </w:pPr>
            <w:r>
              <w:rPr>
                <w:sz w:val="17"/>
              </w:rPr>
              <w:t>Marketing / pricing analyst</w:t>
            </w:r>
          </w:p>
        </w:tc>
        <w:tc>
          <w:tcPr>
            <w:tcW w:type="dxa" w:w="4968"/>
            <w:vAlign w:val="center"/>
            <w:shd w:fill="F1F5F9"/>
          </w:tcPr>
          <w:p>
            <w:pPr>
              <w:spacing w:after="20"/>
            </w:pPr>
            <w:r>
              <w:rPr>
                <w:sz w:val="17"/>
              </w:rPr>
              <w:t>Discount patterns in context.</w:t>
            </w:r>
          </w:p>
        </w:tc>
      </w:tr>
      <w:tr>
        <w:tc>
          <w:tcPr>
            <w:tcW w:type="dxa" w:w="4968"/>
            <w:vAlign w:val="center"/>
          </w:tcPr>
          <w:p>
            <w:pPr>
              <w:spacing w:after="20"/>
            </w:pPr>
            <w:r>
              <w:rPr>
                <w:sz w:val="17"/>
              </w:rPr>
              <w:t>Data analyst</w:t>
            </w:r>
          </w:p>
        </w:tc>
        <w:tc>
          <w:tcPr>
            <w:tcW w:type="dxa" w:w="4968"/>
            <w:vAlign w:val="center"/>
          </w:tcPr>
          <w:p>
            <w:pPr>
              <w:spacing w:after="20"/>
            </w:pPr>
            <w:r>
              <w:rPr>
                <w:sz w:val="17"/>
              </w:rPr>
              <w:t>Transparent calculations, filters, and validation.</w:t>
            </w:r>
          </w:p>
        </w:tc>
      </w:tr>
    </w:tbl>
    <w:p/>
    <w:p>
      <w:pPr>
        <w:pStyle w:val="Heading1"/>
      </w:pPr>
      <w:r>
        <w:t>4. Narrative Flow</w:t>
      </w:r>
    </w:p>
    <w:p>
      <w:r>
        <w:t>The story is organized as a sequence of questions. Each stage answers one question and introduces the next.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7365D"/>
          </w:tcPr>
          <w:p>
            <w:r>
              <w:rPr>
                <w:b/>
                <w:color w:val="FFFFFF"/>
                <w:sz w:val="18"/>
              </w:rPr>
              <w:t>Stage</w:t>
            </w:r>
          </w:p>
        </w:tc>
        <w:tc>
          <w:tcPr>
            <w:tcW w:type="dxa" w:w="2484"/>
            <w:shd w:fill="17365D"/>
          </w:tcPr>
          <w:p>
            <w:r>
              <w:rPr>
                <w:b/>
                <w:color w:val="FFFFFF"/>
                <w:sz w:val="18"/>
              </w:rPr>
              <w:t>Question</w:t>
            </w:r>
          </w:p>
        </w:tc>
        <w:tc>
          <w:tcPr>
            <w:tcW w:type="dxa" w:w="2484"/>
            <w:shd w:fill="17365D"/>
          </w:tcPr>
          <w:p>
            <w:r>
              <w:rPr>
                <w:b/>
                <w:color w:val="FFFFFF"/>
                <w:sz w:val="18"/>
              </w:rPr>
              <w:t>Purpose</w:t>
            </w:r>
          </w:p>
        </w:tc>
        <w:tc>
          <w:tcPr>
            <w:tcW w:type="dxa" w:w="2484"/>
            <w:shd w:fill="17365D"/>
          </w:tcPr>
          <w:p>
            <w:r>
              <w:rPr>
                <w:b/>
                <w:color w:val="FFFFFF"/>
                <w:sz w:val="18"/>
              </w:rPr>
              <w:t>Transition</w:t>
            </w:r>
          </w:p>
        </w:tc>
      </w:tr>
      <w:tr>
        <w:tc>
          <w:tcPr>
            <w:tcW w:type="dxa" w:w="2484"/>
            <w:vAlign w:val="center"/>
          </w:tcPr>
          <w:p>
            <w:pPr>
              <w:spacing w:after="20"/>
            </w:pPr>
            <w:r>
              <w:rPr>
                <w:sz w:val="17"/>
              </w:rPr>
              <w:t>1. Overview</w:t>
            </w:r>
          </w:p>
        </w:tc>
        <w:tc>
          <w:tcPr>
            <w:tcW w:type="dxa" w:w="2484"/>
            <w:vAlign w:val="center"/>
          </w:tcPr>
          <w:p>
            <w:pPr>
              <w:spacing w:after="20"/>
            </w:pPr>
            <w:r>
              <w:rPr>
                <w:sz w:val="17"/>
              </w:rPr>
              <w:t>How are we performing overall?</w:t>
            </w:r>
          </w:p>
        </w:tc>
        <w:tc>
          <w:tcPr>
            <w:tcW w:type="dxa" w:w="2484"/>
            <w:vAlign w:val="center"/>
          </w:tcPr>
          <w:p>
            <w:pPr>
              <w:spacing w:after="20"/>
            </w:pPr>
            <w:r>
              <w:rPr>
                <w:sz w:val="17"/>
              </w:rPr>
              <w:t>Establish the baseline with KPIs.</w:t>
            </w:r>
          </w:p>
        </w:tc>
        <w:tc>
          <w:tcPr>
            <w:tcW w:type="dxa" w:w="2484"/>
            <w:vAlign w:val="center"/>
          </w:tcPr>
          <w:p>
            <w:pPr>
              <w:spacing w:after="20"/>
            </w:pPr>
            <w:r>
              <w:rPr>
                <w:sz w:val="17"/>
              </w:rPr>
              <w:t>Look for changes over time.</w:t>
            </w:r>
          </w:p>
        </w:tc>
      </w:tr>
      <w:tr>
        <w:tc>
          <w:tcPr>
            <w:tcW w:type="dxa" w:w="2484"/>
            <w:vAlign w:val="center"/>
            <w:shd w:fill="F1F5F9"/>
          </w:tcPr>
          <w:p>
            <w:pPr>
              <w:spacing w:after="20"/>
            </w:pPr>
            <w:r>
              <w:rPr>
                <w:sz w:val="17"/>
              </w:rPr>
              <w:t>2. Time</w:t>
            </w:r>
          </w:p>
        </w:tc>
        <w:tc>
          <w:tcPr>
            <w:tcW w:type="dxa" w:w="2484"/>
            <w:vAlign w:val="center"/>
            <w:shd w:fill="F1F5F9"/>
          </w:tcPr>
          <w:p>
            <w:pPr>
              <w:spacing w:after="20"/>
            </w:pPr>
            <w:r>
              <w:rPr>
                <w:sz w:val="17"/>
              </w:rPr>
              <w:t>When does performance change?</w:t>
            </w:r>
          </w:p>
        </w:tc>
        <w:tc>
          <w:tcPr>
            <w:tcW w:type="dxa" w:w="2484"/>
            <w:vAlign w:val="center"/>
            <w:shd w:fill="F1F5F9"/>
          </w:tcPr>
          <w:p>
            <w:pPr>
              <w:spacing w:after="20"/>
            </w:pPr>
            <w:r>
              <w:rPr>
                <w:sz w:val="17"/>
              </w:rPr>
              <w:t>Find peaks, dips, and differences between sales and profit.</w:t>
            </w:r>
          </w:p>
        </w:tc>
        <w:tc>
          <w:tcPr>
            <w:tcW w:type="dxa" w:w="2484"/>
            <w:vAlign w:val="center"/>
            <w:shd w:fill="F1F5F9"/>
          </w:tcPr>
          <w:p>
            <w:pPr>
              <w:spacing w:after="20"/>
            </w:pPr>
            <w:r>
              <w:rPr>
                <w:sz w:val="17"/>
              </w:rPr>
              <w:t>Check which regions are involved.</w:t>
            </w:r>
          </w:p>
        </w:tc>
      </w:tr>
      <w:tr>
        <w:tc>
          <w:tcPr>
            <w:tcW w:type="dxa" w:w="2484"/>
            <w:vAlign w:val="center"/>
          </w:tcPr>
          <w:p>
            <w:pPr>
              <w:spacing w:after="20"/>
            </w:pPr>
            <w:r>
              <w:rPr>
                <w:sz w:val="17"/>
              </w:rPr>
              <w:t>3. Region</w:t>
            </w:r>
          </w:p>
        </w:tc>
        <w:tc>
          <w:tcPr>
            <w:tcW w:type="dxa" w:w="2484"/>
            <w:vAlign w:val="center"/>
          </w:tcPr>
          <w:p>
            <w:pPr>
              <w:spacing w:after="20"/>
            </w:pPr>
            <w:r>
              <w:rPr>
                <w:sz w:val="17"/>
              </w:rPr>
              <w:t>Where do results differ?</w:t>
            </w:r>
          </w:p>
        </w:tc>
        <w:tc>
          <w:tcPr>
            <w:tcW w:type="dxa" w:w="2484"/>
            <w:vAlign w:val="center"/>
          </w:tcPr>
          <w:p>
            <w:pPr>
              <w:spacing w:after="20"/>
            </w:pPr>
            <w:r>
              <w:rPr>
                <w:sz w:val="17"/>
              </w:rPr>
              <w:t>Compare geographic performance.</w:t>
            </w:r>
          </w:p>
        </w:tc>
        <w:tc>
          <w:tcPr>
            <w:tcW w:type="dxa" w:w="2484"/>
            <w:vAlign w:val="center"/>
          </w:tcPr>
          <w:p>
            <w:pPr>
              <w:spacing w:after="20"/>
            </w:pPr>
            <w:r>
              <w:rPr>
                <w:sz w:val="17"/>
              </w:rPr>
              <w:t>Inspect product mix in a selected region.</w:t>
            </w:r>
          </w:p>
        </w:tc>
      </w:tr>
      <w:tr>
        <w:tc>
          <w:tcPr>
            <w:tcW w:type="dxa" w:w="2484"/>
            <w:vAlign w:val="center"/>
            <w:shd w:fill="F1F5F9"/>
          </w:tcPr>
          <w:p>
            <w:pPr>
              <w:spacing w:after="20"/>
            </w:pPr>
            <w:r>
              <w:rPr>
                <w:sz w:val="17"/>
              </w:rPr>
              <w:t>4. Products</w:t>
            </w:r>
          </w:p>
        </w:tc>
        <w:tc>
          <w:tcPr>
            <w:tcW w:type="dxa" w:w="2484"/>
            <w:vAlign w:val="center"/>
            <w:shd w:fill="F1F5F9"/>
          </w:tcPr>
          <w:p>
            <w:pPr>
              <w:spacing w:after="20"/>
            </w:pPr>
            <w:r>
              <w:rPr>
                <w:sz w:val="17"/>
              </w:rPr>
              <w:t>Which groups contribute to profit?</w:t>
            </w:r>
          </w:p>
        </w:tc>
        <w:tc>
          <w:tcPr>
            <w:tcW w:type="dxa" w:w="2484"/>
            <w:vAlign w:val="center"/>
            <w:shd w:fill="F1F5F9"/>
          </w:tcPr>
          <w:p>
            <w:pPr>
              <w:spacing w:after="20"/>
            </w:pPr>
            <w:r>
              <w:rPr>
                <w:sz w:val="17"/>
              </w:rPr>
              <w:t>Identify profitable and loss-making groups.</w:t>
            </w:r>
          </w:p>
        </w:tc>
        <w:tc>
          <w:tcPr>
            <w:tcW w:type="dxa" w:w="2484"/>
            <w:vAlign w:val="center"/>
            <w:shd w:fill="F1F5F9"/>
          </w:tcPr>
          <w:p>
            <w:pPr>
              <w:spacing w:after="20"/>
            </w:pPr>
            <w:r>
              <w:rPr>
                <w:sz w:val="17"/>
              </w:rPr>
              <w:t>Explore discount patterns.</w:t>
            </w:r>
          </w:p>
        </w:tc>
      </w:tr>
      <w:tr>
        <w:tc>
          <w:tcPr>
            <w:tcW w:type="dxa" w:w="2484"/>
            <w:vAlign w:val="center"/>
          </w:tcPr>
          <w:p>
            <w:pPr>
              <w:spacing w:after="20"/>
            </w:pPr>
            <w:r>
              <w:rPr>
                <w:sz w:val="17"/>
              </w:rPr>
              <w:t>5. Discounts</w:t>
            </w:r>
          </w:p>
        </w:tc>
        <w:tc>
          <w:tcPr>
            <w:tcW w:type="dxa" w:w="2484"/>
            <w:vAlign w:val="center"/>
          </w:tcPr>
          <w:p>
            <w:pPr>
              <w:spacing w:after="20"/>
            </w:pPr>
            <w:r>
              <w:rPr>
                <w:sz w:val="17"/>
              </w:rPr>
              <w:t>How do discounts and profit vary together?</w:t>
            </w:r>
          </w:p>
        </w:tc>
        <w:tc>
          <w:tcPr>
            <w:tcW w:type="dxa" w:w="2484"/>
            <w:vAlign w:val="center"/>
          </w:tcPr>
          <w:p>
            <w:pPr>
              <w:spacing w:after="20"/>
            </w:pPr>
            <w:r>
              <w:rPr>
                <w:sz w:val="17"/>
              </w:rPr>
              <w:t>Find associations and exceptions.</w:t>
            </w:r>
          </w:p>
        </w:tc>
        <w:tc>
          <w:tcPr>
            <w:tcW w:type="dxa" w:w="2484"/>
            <w:vAlign w:val="center"/>
          </w:tcPr>
          <w:p>
            <w:pPr>
              <w:spacing w:after="20"/>
            </w:pPr>
            <w:r>
              <w:rPr>
                <w:sz w:val="17"/>
              </w:rPr>
              <w:t>Decide what needs follow-up.</w:t>
            </w:r>
          </w:p>
        </w:tc>
      </w:tr>
      <w:tr>
        <w:tc>
          <w:tcPr>
            <w:tcW w:type="dxa" w:w="2484"/>
            <w:vAlign w:val="center"/>
            <w:shd w:fill="F1F5F9"/>
          </w:tcPr>
          <w:p>
            <w:pPr>
              <w:spacing w:after="20"/>
            </w:pPr>
            <w:r>
              <w:rPr>
                <w:sz w:val="17"/>
              </w:rPr>
              <w:t>6. Next steps</w:t>
            </w:r>
          </w:p>
        </w:tc>
        <w:tc>
          <w:tcPr>
            <w:tcW w:type="dxa" w:w="2484"/>
            <w:vAlign w:val="center"/>
            <w:shd w:fill="F1F5F9"/>
          </w:tcPr>
          <w:p>
            <w:pPr>
              <w:spacing w:after="20"/>
            </w:pPr>
            <w:r>
              <w:rPr>
                <w:sz w:val="17"/>
              </w:rPr>
              <w:t>What should be investigated next?</w:t>
            </w:r>
          </w:p>
        </w:tc>
        <w:tc>
          <w:tcPr>
            <w:tcW w:type="dxa" w:w="2484"/>
            <w:vAlign w:val="center"/>
            <w:shd w:fill="F1F5F9"/>
          </w:tcPr>
          <w:p>
            <w:pPr>
              <w:spacing w:after="20"/>
            </w:pPr>
            <w:r>
              <w:rPr>
                <w:sz w:val="17"/>
              </w:rPr>
              <w:t>Summarize validated findings and caveats.</w:t>
            </w:r>
          </w:p>
        </w:tc>
        <w:tc>
          <w:tcPr>
            <w:tcW w:type="dxa" w:w="2484"/>
            <w:vAlign w:val="center"/>
            <w:shd w:fill="F1F5F9"/>
          </w:tcPr>
          <w:p>
            <w:pPr>
              <w:spacing w:after="20"/>
            </w:pPr>
            <w:r>
              <w:rPr>
                <w:sz w:val="17"/>
              </w:rPr>
              <w:t>Reset or explore another path.</w:t>
            </w:r>
          </w:p>
        </w:tc>
      </w:tr>
    </w:tbl>
    <w:p/>
    <w:p>
      <w:pPr>
        <w:pStyle w:val="Heading1"/>
      </w:pPr>
      <w:r>
        <w:t>5. Visual Narrative Sequence</w:t>
      </w:r>
    </w:p>
    <w:p>
      <w:pPr>
        <w:pStyle w:val="Heading2"/>
      </w:pPr>
      <w:r>
        <w:t>5.1 Opening — performance snapshot</w:t>
      </w:r>
    </w:p>
    <w:p>
      <w:pPr>
        <w:pStyle w:val="ListBullet"/>
        <w:spacing w:after="40"/>
      </w:pPr>
      <w:r>
        <w:t>Visual: KPI cards for Total Sales, Total Profit, Profit Margin, and Units Sold.</w:t>
      </w:r>
    </w:p>
    <w:p>
      <w:pPr>
        <w:pStyle w:val="ListBullet"/>
        <w:spacing w:after="40"/>
      </w:pPr>
      <w:r>
        <w:t>Role: establish the baseline and show why revenue and profit should be considered together.</w:t>
      </w:r>
    </w:p>
    <w:p>
      <w:pPr>
        <w:pStyle w:val="ListBullet"/>
        <w:spacing w:after="40"/>
      </w:pPr>
      <w:r>
        <w:t>Takeaway: understand overall performance for the current date range and filters.</w:t>
      </w:r>
    </w:p>
    <w:p>
      <w:pPr>
        <w:pStyle w:val="Heading2"/>
      </w:pPr>
      <w:r>
        <w:t>5.2 Chapter 1 — when performance changes</w:t>
      </w:r>
    </w:p>
    <w:p>
      <w:pPr>
        <w:pStyle w:val="ListBullet"/>
        <w:spacing w:after="40"/>
      </w:pPr>
      <w:r>
        <w:t>Visual: monthly line chart for sales and profit.</w:t>
      </w:r>
    </w:p>
    <w:p>
      <w:pPr>
        <w:pStyle w:val="ListBullet"/>
        <w:spacing w:after="40"/>
      </w:pPr>
      <w:r>
        <w:t>Role: reveal timing of peaks, dips, and any divergence between sales and profit.</w:t>
      </w:r>
    </w:p>
    <w:p>
      <w:pPr>
        <w:pStyle w:val="ListBullet"/>
        <w:spacing w:after="40"/>
      </w:pPr>
      <w:r>
        <w:t>Takeaway: select a period for closer investigation; do not infer seasonality from one isolated peak.</w:t>
      </w:r>
    </w:p>
    <w:p>
      <w:pPr>
        <w:pStyle w:val="Heading2"/>
      </w:pPr>
      <w:r>
        <w:t>5.3 Chapter 2 — where performance differs</w:t>
      </w:r>
    </w:p>
    <w:p>
      <w:pPr>
        <w:pStyle w:val="ListBullet"/>
        <w:spacing w:after="40"/>
      </w:pPr>
      <w:r>
        <w:t>Visual: sorted horizontal bar chart comparing sales by region; include profit in tooltips or offer a measure selector.</w:t>
      </w:r>
    </w:p>
    <w:p>
      <w:pPr>
        <w:pStyle w:val="ListBullet"/>
        <w:spacing w:after="40"/>
      </w:pPr>
      <w:r>
        <w:t>Role: show geographic concentration and differences between revenue and profitability.</w:t>
      </w:r>
    </w:p>
    <w:p>
      <w:pPr>
        <w:pStyle w:val="ListBullet"/>
        <w:spacing w:after="40"/>
      </w:pPr>
      <w:r>
        <w:t>Takeaway: select a region and observe how the rest of the story changes.</w:t>
      </w:r>
    </w:p>
    <w:p>
      <w:pPr>
        <w:pStyle w:val="Heading2"/>
      </w:pPr>
      <w:r>
        <w:t>5.4 Chapter 3 — product contribution</w:t>
      </w:r>
    </w:p>
    <w:p>
      <w:pPr>
        <w:pStyle w:val="ListBullet"/>
        <w:spacing w:after="40"/>
      </w:pPr>
      <w:r>
        <w:t>Visual: diverging horizontal bars for profit by category/sub-category with a visible zero baseline.</w:t>
      </w:r>
    </w:p>
    <w:p>
      <w:pPr>
        <w:pStyle w:val="ListBullet"/>
        <w:spacing w:after="40"/>
      </w:pPr>
      <w:r>
        <w:t>Role: identify groups that contribute positively or negatively to profit.</w:t>
      </w:r>
    </w:p>
    <w:p>
      <w:pPr>
        <w:pStyle w:val="ListBullet"/>
        <w:spacing w:after="40"/>
      </w:pPr>
      <w:r>
        <w:t>Takeaway: identify product groups for further review, not an automatic explanation of performance.</w:t>
      </w:r>
    </w:p>
    <w:p>
      <w:pPr>
        <w:pStyle w:val="Heading2"/>
      </w:pPr>
      <w:r>
        <w:t>5.5 Chapter 4 — discount investigation</w:t>
      </w:r>
    </w:p>
    <w:p>
      <w:pPr>
        <w:pStyle w:val="ListBullet"/>
        <w:spacing w:after="40"/>
      </w:pPr>
      <w:r>
        <w:t>Visual: scatter plot with discount on the x-axis and profit on the y-axis.</w:t>
      </w:r>
    </w:p>
    <w:p>
      <w:pPr>
        <w:pStyle w:val="ListBullet"/>
        <w:spacing w:after="40"/>
      </w:pPr>
      <w:r>
        <w:t>Role: explore the spread of outcomes and whether higher discounts tend to coincide with lower profit.</w:t>
      </w:r>
    </w:p>
    <w:p>
      <w:pPr>
        <w:pStyle w:val="ListBullet"/>
        <w:spacing w:after="40"/>
      </w:pPr>
      <w:r>
        <w:t>Takeaway: investigate patterns and exceptions; the chart alone cannot prove causation.</w:t>
      </w:r>
    </w:p>
    <w:p>
      <w:pPr>
        <w:pStyle w:val="Heading2"/>
      </w:pPr>
      <w:r>
        <w:t>5.6 Closing — implications</w:t>
      </w:r>
    </w:p>
    <w:p>
      <w:pPr>
        <w:pStyle w:val="ListBullet"/>
        <w:spacing w:after="40"/>
      </w:pPr>
      <w:r>
        <w:t>Visual: a concise text panel or caption with validated findings, caveats, and follow-up questions.</w:t>
      </w:r>
    </w:p>
    <w:p>
      <w:pPr>
        <w:pStyle w:val="ListBullet"/>
        <w:spacing w:after="40"/>
      </w:pPr>
      <w:r>
        <w:t>Role: distinguish what the data shows from what remains uncertain.</w:t>
      </w:r>
    </w:p>
    <w:p>
      <w:pPr>
        <w:pStyle w:val="ListBullet"/>
        <w:spacing w:after="40"/>
      </w:pPr>
      <w:r>
        <w:t>Takeaway: choose the next region, product group, period, or discount pattern to examine.</w:t>
      </w:r>
    </w:p>
    <w:p>
      <w:pPr>
        <w:pStyle w:val="Heading1"/>
      </w:pPr>
      <w:r>
        <w:t>6. Storyboard Diagram</w:t>
      </w:r>
    </w:p>
    <w:p>
      <w:r>
        <w:t>Planned sequence (conceptual storyboard):</w:t>
      </w:r>
    </w:p>
    <w:p>
      <w:pPr>
        <w:jc w:val="center"/>
      </w:pPr>
      <w:r>
        <w:rPr>
          <w:b/>
          <w:color w:val="287271"/>
          <w:sz w:val="24"/>
        </w:rPr>
        <w:t>PERFORMANCE SNAPSHOT  →  MONTHLY TREND  →  REGIONAL COMPARISON</w:t>
        <w:br/>
        <w:t>↓</w:t>
        <w:br/>
        <w:t>PRODUCT PROFITABILITY  →  DISCOUNT VS PROFIT  →  FINDINGS &amp; NEXT STEPS</w:t>
      </w:r>
    </w:p>
    <w:p>
      <w:r>
        <w:t>Figure 1. The sequence starts broad, locates performance changes, investigates possible patterns, and ends with responsible next steps.</w:t>
      </w:r>
    </w:p>
    <w:p>
      <w:r>
        <w:t>Transition logic: the KPI overview raises questions; the time chart shows when to look; regional comparison shows where to look; product profitability and discount analysis help formulate possible explanations.</w:t>
      </w:r>
    </w:p>
    <w:p>
      <w:pPr>
        <w:pStyle w:val="Heading1"/>
      </w:pPr>
      <w:r>
        <w:t>7. Interactive Elements and Narrative Support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8"/>
              </w:rPr>
              <w:t>Element</w:t>
            </w:r>
          </w:p>
        </w:tc>
        <w:tc>
          <w:tcPr>
            <w:tcW w:type="dxa" w:w="3312"/>
            <w:shd w:fill="17365D"/>
          </w:tcPr>
          <w:p>
            <w:r>
              <w:rPr>
                <w:b/>
                <w:color w:val="FFFFFF"/>
                <w:sz w:val="18"/>
              </w:rPr>
              <w:t>Planned behavior</w:t>
            </w:r>
          </w:p>
        </w:tc>
        <w:tc>
          <w:tcPr>
            <w:tcW w:type="dxa" w:w="3312"/>
            <w:shd w:fill="17365D"/>
          </w:tcPr>
          <w:p>
            <w:r>
              <w:rPr>
                <w:b/>
                <w:color w:val="FFFFFF"/>
                <w:sz w:val="18"/>
              </w:rPr>
              <w:t>Narrative benefit</w:t>
            </w:r>
          </w:p>
        </w:tc>
      </w:tr>
      <w:tr>
        <w:tc>
          <w:tcPr>
            <w:tcW w:type="dxa" w:w="3312"/>
            <w:vAlign w:val="center"/>
          </w:tcPr>
          <w:p>
            <w:pPr>
              <w:spacing w:after="20"/>
            </w:pPr>
            <w:r>
              <w:rPr>
                <w:sz w:val="17"/>
              </w:rPr>
              <w:t>Date filter</w:t>
            </w:r>
          </w:p>
        </w:tc>
        <w:tc>
          <w:tcPr>
            <w:tcW w:type="dxa" w:w="3312"/>
            <w:vAlign w:val="center"/>
          </w:tcPr>
          <w:p>
            <w:pPr>
              <w:spacing w:after="20"/>
            </w:pPr>
            <w:r>
              <w:rPr>
                <w:sz w:val="17"/>
              </w:rPr>
              <w:t>Updates KPIs and all relevant charts for the selected period.</w:t>
            </w:r>
          </w:p>
        </w:tc>
        <w:tc>
          <w:tcPr>
            <w:tcW w:type="dxa" w:w="3312"/>
            <w:vAlign w:val="center"/>
          </w:tcPr>
          <w:p>
            <w:pPr>
              <w:spacing w:after="20"/>
            </w:pPr>
            <w:r>
              <w:rPr>
                <w:sz w:val="17"/>
              </w:rPr>
              <w:t>Keeps the story in a consistent time context.</w:t>
            </w:r>
          </w:p>
        </w:tc>
      </w:tr>
      <w:tr>
        <w:tc>
          <w:tcPr>
            <w:tcW w:type="dxa" w:w="3312"/>
            <w:vAlign w:val="center"/>
            <w:shd w:fill="F1F5F9"/>
          </w:tcPr>
          <w:p>
            <w:pPr>
              <w:spacing w:after="20"/>
            </w:pPr>
            <w:r>
              <w:rPr>
                <w:sz w:val="17"/>
              </w:rPr>
              <w:t>Region filter</w:t>
            </w:r>
          </w:p>
        </w:tc>
        <w:tc>
          <w:tcPr>
            <w:tcW w:type="dxa" w:w="3312"/>
            <w:vAlign w:val="center"/>
            <w:shd w:fill="F1F5F9"/>
          </w:tcPr>
          <w:p>
            <w:pPr>
              <w:spacing w:after="20"/>
            </w:pPr>
            <w:r>
              <w:rPr>
                <w:sz w:val="17"/>
              </w:rPr>
              <w:t>Focuses the dashboard on one or more regions.</w:t>
            </w:r>
          </w:p>
        </w:tc>
        <w:tc>
          <w:tcPr>
            <w:tcW w:type="dxa" w:w="3312"/>
            <w:vAlign w:val="center"/>
            <w:shd w:fill="F1F5F9"/>
          </w:tcPr>
          <w:p>
            <w:pPr>
              <w:spacing w:after="20"/>
            </w:pPr>
            <w:r>
              <w:rPr>
                <w:sz w:val="17"/>
              </w:rPr>
              <w:t>Moves from global patterns to local investigation.</w:t>
            </w:r>
          </w:p>
        </w:tc>
      </w:tr>
      <w:tr>
        <w:tc>
          <w:tcPr>
            <w:tcW w:type="dxa" w:w="3312"/>
            <w:vAlign w:val="center"/>
          </w:tcPr>
          <w:p>
            <w:pPr>
              <w:spacing w:after="20"/>
            </w:pPr>
            <w:r>
              <w:rPr>
                <w:sz w:val="17"/>
              </w:rPr>
              <w:t>Category/sub-category filter</w:t>
            </w:r>
          </w:p>
        </w:tc>
        <w:tc>
          <w:tcPr>
            <w:tcW w:type="dxa" w:w="3312"/>
            <w:vAlign w:val="center"/>
          </w:tcPr>
          <w:p>
            <w:pPr>
              <w:spacing w:after="20"/>
            </w:pPr>
            <w:r>
              <w:rPr>
                <w:sz w:val="17"/>
              </w:rPr>
              <w:t>Narrows product-related views and connected totals.</w:t>
            </w:r>
          </w:p>
        </w:tc>
        <w:tc>
          <w:tcPr>
            <w:tcW w:type="dxa" w:w="3312"/>
            <w:vAlign w:val="center"/>
          </w:tcPr>
          <w:p>
            <w:pPr>
              <w:spacing w:after="20"/>
            </w:pPr>
            <w:r>
              <w:rPr>
                <w:sz w:val="17"/>
              </w:rPr>
              <w:t>Connects product profitability with overall context.</w:t>
            </w:r>
          </w:p>
        </w:tc>
      </w:tr>
      <w:tr>
        <w:tc>
          <w:tcPr>
            <w:tcW w:type="dxa" w:w="3312"/>
            <w:vAlign w:val="center"/>
            <w:shd w:fill="F1F5F9"/>
          </w:tcPr>
          <w:p>
            <w:pPr>
              <w:spacing w:after="20"/>
            </w:pPr>
            <w:r>
              <w:rPr>
                <w:sz w:val="17"/>
              </w:rPr>
              <w:t>Customer segment filter</w:t>
            </w:r>
          </w:p>
        </w:tc>
        <w:tc>
          <w:tcPr>
            <w:tcW w:type="dxa" w:w="3312"/>
            <w:vAlign w:val="center"/>
            <w:shd w:fill="F1F5F9"/>
          </w:tcPr>
          <w:p>
            <w:pPr>
              <w:spacing w:after="20"/>
            </w:pPr>
            <w:r>
              <w:rPr>
                <w:sz w:val="17"/>
              </w:rPr>
              <w:t>Shows results for selected customer groups.</w:t>
            </w:r>
          </w:p>
        </w:tc>
        <w:tc>
          <w:tcPr>
            <w:tcW w:type="dxa" w:w="3312"/>
            <w:vAlign w:val="center"/>
            <w:shd w:fill="F1F5F9"/>
          </w:tcPr>
          <w:p>
            <w:pPr>
              <w:spacing w:after="20"/>
            </w:pPr>
            <w:r>
              <w:rPr>
                <w:sz w:val="17"/>
              </w:rPr>
              <w:t>Tests whether patterns hold across segments.</w:t>
            </w:r>
          </w:p>
        </w:tc>
      </w:tr>
      <w:tr>
        <w:tc>
          <w:tcPr>
            <w:tcW w:type="dxa" w:w="3312"/>
            <w:vAlign w:val="center"/>
          </w:tcPr>
          <w:p>
            <w:pPr>
              <w:spacing w:after="20"/>
            </w:pPr>
            <w:r>
              <w:rPr>
                <w:sz w:val="17"/>
              </w:rPr>
              <w:t>Cross-filtering</w:t>
            </w:r>
          </w:p>
        </w:tc>
        <w:tc>
          <w:tcPr>
            <w:tcW w:type="dxa" w:w="3312"/>
            <w:vAlign w:val="center"/>
          </w:tcPr>
          <w:p>
            <w:pPr>
              <w:spacing w:after="20"/>
            </w:pPr>
            <w:r>
              <w:rPr>
                <w:sz w:val="17"/>
              </w:rPr>
              <w:t>Selecting a region or product mark filters linked views.</w:t>
            </w:r>
          </w:p>
        </w:tc>
        <w:tc>
          <w:tcPr>
            <w:tcW w:type="dxa" w:w="3312"/>
            <w:vAlign w:val="center"/>
          </w:tcPr>
          <w:p>
            <w:pPr>
              <w:spacing w:after="20"/>
            </w:pPr>
            <w:r>
              <w:rPr>
                <w:sz w:val="17"/>
              </w:rPr>
              <w:t>Allows a reader to follow a question between story chapters.</w:t>
            </w:r>
          </w:p>
        </w:tc>
      </w:tr>
      <w:tr>
        <w:tc>
          <w:tcPr>
            <w:tcW w:type="dxa" w:w="3312"/>
            <w:vAlign w:val="center"/>
            <w:shd w:fill="F1F5F9"/>
          </w:tcPr>
          <w:p>
            <w:pPr>
              <w:spacing w:after="20"/>
            </w:pPr>
            <w:r>
              <w:rPr>
                <w:sz w:val="17"/>
              </w:rPr>
              <w:t>Highlighting</w:t>
            </w:r>
          </w:p>
        </w:tc>
        <w:tc>
          <w:tcPr>
            <w:tcW w:type="dxa" w:w="3312"/>
            <w:vAlign w:val="center"/>
            <w:shd w:fill="F1F5F9"/>
          </w:tcPr>
          <w:p>
            <w:pPr>
              <w:spacing w:after="20"/>
            </w:pPr>
            <w:r>
              <w:rPr>
                <w:sz w:val="17"/>
              </w:rPr>
              <w:t>Emphasizes related marks while retaining context.</w:t>
            </w:r>
          </w:p>
        </w:tc>
        <w:tc>
          <w:tcPr>
            <w:tcW w:type="dxa" w:w="3312"/>
            <w:vAlign w:val="center"/>
            <w:shd w:fill="F1F5F9"/>
          </w:tcPr>
          <w:p>
            <w:pPr>
              <w:spacing w:after="20"/>
            </w:pPr>
            <w:r>
              <w:rPr>
                <w:sz w:val="17"/>
              </w:rPr>
              <w:t>Shows relationships without hiding the comparison.</w:t>
            </w:r>
          </w:p>
        </w:tc>
      </w:tr>
      <w:tr>
        <w:tc>
          <w:tcPr>
            <w:tcW w:type="dxa" w:w="3312"/>
            <w:vAlign w:val="center"/>
          </w:tcPr>
          <w:p>
            <w:pPr>
              <w:spacing w:after="20"/>
            </w:pPr>
            <w:r>
              <w:rPr>
                <w:sz w:val="17"/>
              </w:rPr>
              <w:t>Tooltips</w:t>
            </w:r>
          </w:p>
        </w:tc>
        <w:tc>
          <w:tcPr>
            <w:tcW w:type="dxa" w:w="3312"/>
            <w:vAlign w:val="center"/>
          </w:tcPr>
          <w:p>
            <w:pPr>
              <w:spacing w:after="20"/>
            </w:pPr>
            <w:r>
              <w:rPr>
                <w:sz w:val="17"/>
              </w:rPr>
              <w:t>Show sales, profit, margin, quantity, discount, and dimension labels.</w:t>
            </w:r>
          </w:p>
        </w:tc>
        <w:tc>
          <w:tcPr>
            <w:tcW w:type="dxa" w:w="3312"/>
            <w:vAlign w:val="center"/>
          </w:tcPr>
          <w:p>
            <w:pPr>
              <w:spacing w:after="20"/>
            </w:pPr>
            <w:r>
              <w:rPr>
                <w:sz w:val="17"/>
              </w:rPr>
              <w:t>Provides detail on demand without clutter.</w:t>
            </w:r>
          </w:p>
        </w:tc>
      </w:tr>
      <w:tr>
        <w:tc>
          <w:tcPr>
            <w:tcW w:type="dxa" w:w="3312"/>
            <w:vAlign w:val="center"/>
            <w:shd w:fill="F1F5F9"/>
          </w:tcPr>
          <w:p>
            <w:pPr>
              <w:spacing w:after="20"/>
            </w:pPr>
            <w:r>
              <w:rPr>
                <w:sz w:val="17"/>
              </w:rPr>
              <w:t>Optional parameter</w:t>
            </w:r>
          </w:p>
        </w:tc>
        <w:tc>
          <w:tcPr>
            <w:tcW w:type="dxa" w:w="3312"/>
            <w:vAlign w:val="center"/>
            <w:shd w:fill="F1F5F9"/>
          </w:tcPr>
          <w:p>
            <w:pPr>
              <w:spacing w:after="20"/>
            </w:pPr>
            <w:r>
              <w:rPr>
                <w:sz w:val="17"/>
              </w:rPr>
              <w:t>Switches a chart between Sales and Profit where useful.</w:t>
            </w:r>
          </w:p>
        </w:tc>
        <w:tc>
          <w:tcPr>
            <w:tcW w:type="dxa" w:w="3312"/>
            <w:vAlign w:val="center"/>
            <w:shd w:fill="F1F5F9"/>
          </w:tcPr>
          <w:p>
            <w:pPr>
              <w:spacing w:after="20"/>
            </w:pPr>
            <w:r>
              <w:rPr>
                <w:sz w:val="17"/>
              </w:rPr>
              <w:t>Lets users challenge a ranking using a different measure.</w:t>
            </w:r>
          </w:p>
        </w:tc>
      </w:tr>
      <w:tr>
        <w:tc>
          <w:tcPr>
            <w:tcW w:type="dxa" w:w="3312"/>
            <w:vAlign w:val="center"/>
          </w:tcPr>
          <w:p>
            <w:pPr>
              <w:spacing w:after="20"/>
            </w:pPr>
            <w:r>
              <w:rPr>
                <w:sz w:val="17"/>
              </w:rPr>
              <w:t>Reset / clear</w:t>
            </w:r>
          </w:p>
        </w:tc>
        <w:tc>
          <w:tcPr>
            <w:tcW w:type="dxa" w:w="3312"/>
            <w:vAlign w:val="center"/>
          </w:tcPr>
          <w:p>
            <w:pPr>
              <w:spacing w:after="20"/>
            </w:pPr>
            <w:r>
              <w:rPr>
                <w:sz w:val="17"/>
              </w:rPr>
              <w:t>Returns to the default full dashboard.</w:t>
            </w:r>
          </w:p>
        </w:tc>
        <w:tc>
          <w:tcPr>
            <w:tcW w:type="dxa" w:w="3312"/>
            <w:vAlign w:val="center"/>
          </w:tcPr>
          <w:p>
            <w:pPr>
              <w:spacing w:after="20"/>
            </w:pPr>
            <w:r>
              <w:rPr>
                <w:sz w:val="17"/>
              </w:rPr>
              <w:t>Makes it easy to restart the story.</w:t>
            </w:r>
          </w:p>
        </w:tc>
      </w:tr>
    </w:tbl>
    <w:p/>
    <w:p>
      <w:r>
        <w:t>The optional measure parameter should only be included if it improves clarity. Too many controls can distract users from the narrative.</w:t>
      </w:r>
    </w:p>
    <w:p>
      <w:pPr>
        <w:pStyle w:val="Heading1"/>
      </w:pPr>
      <w:r>
        <w:t>8. Interaction Flow Diagram</w:t>
      </w:r>
    </w:p>
    <w:p>
      <w:pPr>
        <w:jc w:val="center"/>
      </w:pPr>
      <w:r>
        <w:rPr>
          <w:b/>
          <w:color w:val="287271"/>
          <w:sz w:val="22"/>
        </w:rPr>
        <w:t>GLOBAL FILTERS</w:t>
        <w:br/>
        <w:t>(Date • Region • Category • Segment)</w:t>
        <w:br/>
        <w:t xml:space="preserve">             ↓</w:t>
        <w:br/>
        <w:t>KPI CARDS  ↔  MONTHLY TREND  ↔  REGIONAL COMPARISON</w:t>
        <w:br/>
        <w:t xml:space="preserve">             ↓</w:t>
        <w:br/>
        <w:t>PRODUCT PROFITABILITY  ↔  DISCOUNT VS PROFIT</w:t>
        <w:br/>
        <w:t xml:space="preserve">             ↓</w:t>
        <w:br/>
        <w:t>TOOLTIPS / FOCUSED INVESTIGATION / NEXT QUESTIONS</w:t>
        <w:br/>
        <w:t xml:space="preserve">             ↓</w:t>
        <w:br/>
        <w:t>RESET → RETURN TO FULL STORY</w:t>
      </w:r>
    </w:p>
    <w:p>
      <w:r>
        <w:t>Figure 2. Global filters set the context. Selecting marks supports deeper exploration, while Reset returns the reader to the full view.</w:t>
      </w:r>
    </w:p>
    <w:p>
      <w:pPr>
        <w:pStyle w:val="Heading1"/>
      </w:pPr>
      <w:r>
        <w:t>9. Design and Accessibility</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Design area</w:t>
            </w:r>
          </w:p>
        </w:tc>
        <w:tc>
          <w:tcPr>
            <w:tcW w:type="dxa" w:w="4968"/>
            <w:shd w:fill="17365D"/>
          </w:tcPr>
          <w:p>
            <w:r>
              <w:rPr>
                <w:b/>
                <w:color w:val="FFFFFF"/>
                <w:sz w:val="18"/>
              </w:rPr>
              <w:t>Plan</w:t>
            </w:r>
          </w:p>
        </w:tc>
      </w:tr>
      <w:tr>
        <w:tc>
          <w:tcPr>
            <w:tcW w:type="dxa" w:w="4968"/>
            <w:vAlign w:val="center"/>
          </w:tcPr>
          <w:p>
            <w:pPr>
              <w:spacing w:after="20"/>
            </w:pPr>
            <w:r>
              <w:rPr>
                <w:sz w:val="17"/>
              </w:rPr>
              <w:t>Layout</w:t>
            </w:r>
          </w:p>
        </w:tc>
        <w:tc>
          <w:tcPr>
            <w:tcW w:type="dxa" w:w="4968"/>
            <w:vAlign w:val="center"/>
          </w:tcPr>
          <w:p>
            <w:pPr>
              <w:spacing w:after="20"/>
            </w:pPr>
            <w:r>
              <w:rPr>
                <w:sz w:val="17"/>
              </w:rPr>
              <w:t>16:9 landscape; title and filters at top/left, KPI row first, then time and region, followed by products and discounts.</w:t>
            </w:r>
          </w:p>
        </w:tc>
      </w:tr>
      <w:tr>
        <w:tc>
          <w:tcPr>
            <w:tcW w:type="dxa" w:w="4968"/>
            <w:vAlign w:val="center"/>
            <w:shd w:fill="F1F5F9"/>
          </w:tcPr>
          <w:p>
            <w:pPr>
              <w:spacing w:after="20"/>
            </w:pPr>
            <w:r>
              <w:rPr>
                <w:sz w:val="17"/>
              </w:rPr>
              <w:t>Visual hierarchy</w:t>
            </w:r>
          </w:p>
        </w:tc>
        <w:tc>
          <w:tcPr>
            <w:tcW w:type="dxa" w:w="4968"/>
            <w:vAlign w:val="center"/>
            <w:shd w:fill="F1F5F9"/>
          </w:tcPr>
          <w:p>
            <w:pPr>
              <w:spacing w:after="20"/>
            </w:pPr>
            <w:r>
              <w:rPr>
                <w:sz w:val="17"/>
              </w:rPr>
              <w:t>Place the overview first and diagnostic charts in the same order as the story.</w:t>
            </w:r>
          </w:p>
        </w:tc>
      </w:tr>
      <w:tr>
        <w:tc>
          <w:tcPr>
            <w:tcW w:type="dxa" w:w="4968"/>
            <w:vAlign w:val="center"/>
          </w:tcPr>
          <w:p>
            <w:pPr>
              <w:spacing w:after="20"/>
            </w:pPr>
            <w:r>
              <w:rPr>
                <w:sz w:val="17"/>
              </w:rPr>
              <w:t>Color</w:t>
            </w:r>
          </w:p>
        </w:tc>
        <w:tc>
          <w:tcPr>
            <w:tcW w:type="dxa" w:w="4968"/>
            <w:vAlign w:val="center"/>
          </w:tcPr>
          <w:p>
            <w:pPr>
              <w:spacing w:after="20"/>
            </w:pPr>
            <w:r>
              <w:rPr>
                <w:sz w:val="17"/>
              </w:rPr>
              <w:t>Use consistent colors, such as blue for sales, teal for profit, and muted red for negative profit.</w:t>
            </w:r>
          </w:p>
        </w:tc>
      </w:tr>
      <w:tr>
        <w:tc>
          <w:tcPr>
            <w:tcW w:type="dxa" w:w="4968"/>
            <w:vAlign w:val="center"/>
            <w:shd w:fill="F1F5F9"/>
          </w:tcPr>
          <w:p>
            <w:pPr>
              <w:spacing w:after="20"/>
            </w:pPr>
            <w:r>
              <w:rPr>
                <w:sz w:val="17"/>
              </w:rPr>
              <w:t>Typography</w:t>
            </w:r>
          </w:p>
        </w:tc>
        <w:tc>
          <w:tcPr>
            <w:tcW w:type="dxa" w:w="4968"/>
            <w:vAlign w:val="center"/>
            <w:shd w:fill="F1F5F9"/>
          </w:tcPr>
          <w:p>
            <w:pPr>
              <w:spacing w:after="20"/>
            </w:pPr>
            <w:r>
              <w:rPr>
                <w:sz w:val="17"/>
              </w:rPr>
              <w:t>Use a readable sans-serif font, clear titles, concise labels, and consistent number formats.</w:t>
            </w:r>
          </w:p>
        </w:tc>
      </w:tr>
      <w:tr>
        <w:tc>
          <w:tcPr>
            <w:tcW w:type="dxa" w:w="4968"/>
            <w:vAlign w:val="center"/>
          </w:tcPr>
          <w:p>
            <w:pPr>
              <w:spacing w:after="20"/>
            </w:pPr>
            <w:r>
              <w:rPr>
                <w:sz w:val="17"/>
              </w:rPr>
              <w:t>Accessibility</w:t>
            </w:r>
          </w:p>
        </w:tc>
        <w:tc>
          <w:tcPr>
            <w:tcW w:type="dxa" w:w="4968"/>
            <w:vAlign w:val="center"/>
          </w:tcPr>
          <w:p>
            <w:pPr>
              <w:spacing w:after="20"/>
            </w:pPr>
            <w:r>
              <w:rPr>
                <w:sz w:val="17"/>
              </w:rPr>
              <w:t>Do not rely on color alone; use signs, labels, and a zero baseline. Maintain contrast.</w:t>
            </w:r>
          </w:p>
        </w:tc>
      </w:tr>
      <w:tr>
        <w:tc>
          <w:tcPr>
            <w:tcW w:type="dxa" w:w="4968"/>
            <w:vAlign w:val="center"/>
            <w:shd w:fill="F1F5F9"/>
          </w:tcPr>
          <w:p>
            <w:pPr>
              <w:spacing w:after="20"/>
            </w:pPr>
            <w:r>
              <w:rPr>
                <w:sz w:val="17"/>
              </w:rPr>
              <w:t>Annotations</w:t>
            </w:r>
          </w:p>
        </w:tc>
        <w:tc>
          <w:tcPr>
            <w:tcW w:type="dxa" w:w="4968"/>
            <w:vAlign w:val="center"/>
            <w:shd w:fill="F1F5F9"/>
          </w:tcPr>
          <w:p>
            <w:pPr>
              <w:spacing w:after="20"/>
            </w:pPr>
            <w:r>
              <w:rPr>
                <w:sz w:val="17"/>
              </w:rPr>
              <w:t>Annotate only validated peaks, dips, or differences; avoid overloading charts.</w:t>
            </w:r>
          </w:p>
        </w:tc>
      </w:tr>
      <w:tr>
        <w:tc>
          <w:tcPr>
            <w:tcW w:type="dxa" w:w="4968"/>
            <w:vAlign w:val="center"/>
          </w:tcPr>
          <w:p>
            <w:pPr>
              <w:spacing w:after="20"/>
            </w:pPr>
            <w:r>
              <w:rPr>
                <w:sz w:val="17"/>
              </w:rPr>
              <w:t>Navigation</w:t>
            </w:r>
          </w:p>
        </w:tc>
        <w:tc>
          <w:tcPr>
            <w:tcW w:type="dxa" w:w="4968"/>
            <w:vAlign w:val="center"/>
          </w:tcPr>
          <w:p>
            <w:pPr>
              <w:spacing w:after="20"/>
            </w:pPr>
            <w:r>
              <w:rPr>
                <w:sz w:val="17"/>
              </w:rPr>
              <w:t>Keep filters visible, explain how to clear selections, and provide Reset.</w:t>
            </w:r>
          </w:p>
        </w:tc>
      </w:tr>
    </w:tbl>
    <w:p/>
    <w:p>
      <w:pPr>
        <w:pStyle w:val="Heading1"/>
      </w:pPr>
      <w:r>
        <w:t>10. Analysis and Responsible Interpretation</w:t>
      </w:r>
    </w:p>
    <w:p>
      <w:pPr>
        <w:pStyle w:val="ListBullet"/>
        <w:spacing w:after="40"/>
      </w:pPr>
      <w:r>
        <w:t>Confirm dataset grain, data types, missing values, duplicates, date coverage, and discount scale before analysis.</w:t>
      </w:r>
    </w:p>
    <w:p>
      <w:pPr>
        <w:pStyle w:val="ListBullet"/>
        <w:spacing w:after="40"/>
      </w:pPr>
      <w:r>
        <w:t>Check KPI totals against independent calculations and ensure filters do not double-count records.</w:t>
      </w:r>
    </w:p>
    <w:p>
      <w:pPr>
        <w:pStyle w:val="ListBullet"/>
        <w:spacing w:after="40"/>
      </w:pPr>
      <w:r>
        <w:t>Calculate profit margin as total profit divided by total sales for the selected context; handle zero sales appropriately.</w:t>
      </w:r>
    </w:p>
    <w:p>
      <w:pPr>
        <w:pStyle w:val="ListBullet"/>
        <w:spacing w:after="40"/>
      </w:pPr>
      <w:r>
        <w:t>Retain legitimate negative profit values and explain them rather than removing them automatically.</w:t>
      </w:r>
    </w:p>
    <w:p>
      <w:pPr>
        <w:pStyle w:val="ListBullet"/>
        <w:spacing w:after="40"/>
      </w:pPr>
      <w:r>
        <w:t>Write narrative claims only after actual values have been validated.</w:t>
      </w:r>
    </w:p>
    <w:p>
      <w:pPr>
        <w:pStyle w:val="ListBullet"/>
        <w:spacing w:after="40"/>
      </w:pPr>
      <w:r>
        <w:t>Treat patterns in the discount scatter plot as associations, not proof of causation; cost, product mix, returns, and other factors may affect profit.</w:t>
      </w:r>
    </w:p>
    <w:p>
      <w:pPr>
        <w:pStyle w:val="ListBullet"/>
        <w:spacing w:after="40"/>
      </w:pPr>
      <w:r>
        <w:t>Use neutral phrasing such as 'is associated with', 'appears higher in this selection', or 'requires further investigation'.</w:t>
      </w:r>
    </w:p>
    <w:p>
      <w:pPr>
        <w:pStyle w:val="Heading1"/>
      </w:pPr>
      <w:r>
        <w:t>11. Proposed User Walkthrough</w:t>
      </w:r>
    </w:p>
    <w:p>
      <w:pPr>
        <w:pStyle w:val="ListNumber"/>
        <w:spacing w:after="40"/>
      </w:pPr>
      <w:r>
        <w:t>Open the dashboard and review the four KPIs for the default period.</w:t>
      </w:r>
    </w:p>
    <w:p>
      <w:pPr>
        <w:pStyle w:val="ListNumber"/>
        <w:spacing w:after="40"/>
      </w:pPr>
      <w:r>
        <w:t>Inspect the monthly trend and note any meaningful rise, fall, or divergence between sales and profit.</w:t>
      </w:r>
    </w:p>
    <w:p>
      <w:pPr>
        <w:pStyle w:val="ListNumber"/>
        <w:spacing w:after="40"/>
      </w:pPr>
      <w:r>
        <w:t>Select a period or region of interest and observe how connected views respond.</w:t>
      </w:r>
    </w:p>
    <w:p>
      <w:pPr>
        <w:pStyle w:val="ListNumber"/>
        <w:spacing w:after="40"/>
      </w:pPr>
      <w:r>
        <w:t>Use regional comparison to identify differences, then select a region for focused analysis.</w:t>
      </w:r>
    </w:p>
    <w:p>
      <w:pPr>
        <w:pStyle w:val="ListNumber"/>
        <w:spacing w:after="40"/>
      </w:pPr>
      <w:r>
        <w:t>Review product profitability to find groups that may explain part of the observed pattern.</w:t>
      </w:r>
    </w:p>
    <w:p>
      <w:pPr>
        <w:pStyle w:val="ListNumber"/>
        <w:spacing w:after="40"/>
      </w:pPr>
      <w:r>
        <w:t>Explore the discount-versus-profit scatter plot and use tooltips to inspect exceptions.</w:t>
      </w:r>
    </w:p>
    <w:p>
      <w:pPr>
        <w:pStyle w:val="ListNumber"/>
        <w:spacing w:after="40"/>
      </w:pPr>
      <w:r>
        <w:t>Read the closing note, which should contain only validated findings, caveats, and possible next analyses.</w:t>
      </w:r>
    </w:p>
    <w:p>
      <w:pPr>
        <w:pStyle w:val="ListNumber"/>
        <w:spacing w:after="40"/>
      </w:pPr>
      <w:r>
        <w:t>Clear selections or use Reset to return to the overview and explore another path.</w:t>
      </w:r>
    </w:p>
    <w:p>
      <w:pPr>
        <w:pStyle w:val="Heading1"/>
      </w:pPr>
      <w:r>
        <w:t>12. Testing and Evaluation</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Test area</w:t>
            </w:r>
          </w:p>
        </w:tc>
        <w:tc>
          <w:tcPr>
            <w:tcW w:type="dxa" w:w="4968"/>
            <w:shd w:fill="17365D"/>
          </w:tcPr>
          <w:p>
            <w:r>
              <w:rPr>
                <w:b/>
                <w:color w:val="FFFFFF"/>
                <w:sz w:val="18"/>
              </w:rPr>
              <w:t>Acceptance criterion</w:t>
            </w:r>
          </w:p>
        </w:tc>
      </w:tr>
      <w:tr>
        <w:tc>
          <w:tcPr>
            <w:tcW w:type="dxa" w:w="4968"/>
            <w:vAlign w:val="center"/>
          </w:tcPr>
          <w:p>
            <w:pPr>
              <w:spacing w:after="20"/>
            </w:pPr>
            <w:r>
              <w:rPr>
                <w:sz w:val="17"/>
              </w:rPr>
              <w:t>Narrative coherence</w:t>
            </w:r>
          </w:p>
        </w:tc>
        <w:tc>
          <w:tcPr>
            <w:tcW w:type="dxa" w:w="4968"/>
            <w:vAlign w:val="center"/>
          </w:tcPr>
          <w:p>
            <w:pPr>
              <w:spacing w:after="20"/>
            </w:pPr>
            <w:r>
              <w:rPr>
                <w:sz w:val="17"/>
              </w:rPr>
              <w:t>A user can explain the central question and why each view follows the previous one.</w:t>
            </w:r>
          </w:p>
        </w:tc>
      </w:tr>
      <w:tr>
        <w:tc>
          <w:tcPr>
            <w:tcW w:type="dxa" w:w="4968"/>
            <w:vAlign w:val="center"/>
            <w:shd w:fill="F1F5F9"/>
          </w:tcPr>
          <w:p>
            <w:pPr>
              <w:spacing w:after="20"/>
            </w:pPr>
            <w:r>
              <w:rPr>
                <w:sz w:val="17"/>
              </w:rPr>
              <w:t>Metric accuracy</w:t>
            </w:r>
          </w:p>
        </w:tc>
        <w:tc>
          <w:tcPr>
            <w:tcW w:type="dxa" w:w="4968"/>
            <w:vAlign w:val="center"/>
            <w:shd w:fill="F1F5F9"/>
          </w:tcPr>
          <w:p>
            <w:pPr>
              <w:spacing w:after="20"/>
            </w:pPr>
            <w:r>
              <w:rPr>
                <w:sz w:val="17"/>
              </w:rPr>
              <w:t>KPI totals and chart values match independent calculations under the same filters.</w:t>
            </w:r>
          </w:p>
        </w:tc>
      </w:tr>
      <w:tr>
        <w:tc>
          <w:tcPr>
            <w:tcW w:type="dxa" w:w="4968"/>
            <w:vAlign w:val="center"/>
          </w:tcPr>
          <w:p>
            <w:pPr>
              <w:spacing w:after="20"/>
            </w:pPr>
            <w:r>
              <w:rPr>
                <w:sz w:val="17"/>
              </w:rPr>
              <w:t>Filter behavior</w:t>
            </w:r>
          </w:p>
        </w:tc>
        <w:tc>
          <w:tcPr>
            <w:tcW w:type="dxa" w:w="4968"/>
            <w:vAlign w:val="center"/>
          </w:tcPr>
          <w:p>
            <w:pPr>
              <w:spacing w:after="20"/>
            </w:pPr>
            <w:r>
              <w:rPr>
                <w:sz w:val="17"/>
              </w:rPr>
              <w:t>Date, region, category, and segment filters update intended views consistently.</w:t>
            </w:r>
          </w:p>
        </w:tc>
      </w:tr>
      <w:tr>
        <w:tc>
          <w:tcPr>
            <w:tcW w:type="dxa" w:w="4968"/>
            <w:vAlign w:val="center"/>
            <w:shd w:fill="F1F5F9"/>
          </w:tcPr>
          <w:p>
            <w:pPr>
              <w:spacing w:after="20"/>
            </w:pPr>
            <w:r>
              <w:rPr>
                <w:sz w:val="17"/>
              </w:rPr>
              <w:t>Dashboard actions</w:t>
            </w:r>
          </w:p>
        </w:tc>
        <w:tc>
          <w:tcPr>
            <w:tcW w:type="dxa" w:w="4968"/>
            <w:vAlign w:val="center"/>
            <w:shd w:fill="F1F5F9"/>
          </w:tcPr>
          <w:p>
            <w:pPr>
              <w:spacing w:after="20"/>
            </w:pPr>
            <w:r>
              <w:rPr>
                <w:sz w:val="17"/>
              </w:rPr>
              <w:t>Cross-filtering, highlighting, tooltips, and Reset behave as documented.</w:t>
            </w:r>
          </w:p>
        </w:tc>
      </w:tr>
      <w:tr>
        <w:tc>
          <w:tcPr>
            <w:tcW w:type="dxa" w:w="4968"/>
            <w:vAlign w:val="center"/>
          </w:tcPr>
          <w:p>
            <w:pPr>
              <w:spacing w:after="20"/>
            </w:pPr>
            <w:r>
              <w:rPr>
                <w:sz w:val="17"/>
              </w:rPr>
              <w:t>Visual clarity</w:t>
            </w:r>
          </w:p>
        </w:tc>
        <w:tc>
          <w:tcPr>
            <w:tcW w:type="dxa" w:w="4968"/>
            <w:vAlign w:val="center"/>
          </w:tcPr>
          <w:p>
            <w:pPr>
              <w:spacing w:after="20"/>
            </w:pPr>
            <w:r>
              <w:rPr>
                <w:sz w:val="17"/>
              </w:rPr>
              <w:t>Titles, axes, legends, annotations, and negative values are easy to interpret.</w:t>
            </w:r>
          </w:p>
        </w:tc>
      </w:tr>
      <w:tr>
        <w:tc>
          <w:tcPr>
            <w:tcW w:type="dxa" w:w="4968"/>
            <w:vAlign w:val="center"/>
            <w:shd w:fill="F1F5F9"/>
          </w:tcPr>
          <w:p>
            <w:pPr>
              <w:spacing w:after="20"/>
            </w:pPr>
            <w:r>
              <w:rPr>
                <w:sz w:val="17"/>
              </w:rPr>
              <w:t>Accessibility</w:t>
            </w:r>
          </w:p>
        </w:tc>
        <w:tc>
          <w:tcPr>
            <w:tcW w:type="dxa" w:w="4968"/>
            <w:vAlign w:val="center"/>
            <w:shd w:fill="F1F5F9"/>
          </w:tcPr>
          <w:p>
            <w:pPr>
              <w:spacing w:after="20"/>
            </w:pPr>
            <w:r>
              <w:rPr>
                <w:sz w:val="17"/>
              </w:rPr>
              <w:t>Meaning remains clear without relying only on color; text is readable.</w:t>
            </w:r>
          </w:p>
        </w:tc>
      </w:tr>
      <w:tr>
        <w:tc>
          <w:tcPr>
            <w:tcW w:type="dxa" w:w="4968"/>
            <w:vAlign w:val="center"/>
          </w:tcPr>
          <w:p>
            <w:pPr>
              <w:spacing w:after="20"/>
            </w:pPr>
            <w:r>
              <w:rPr>
                <w:sz w:val="17"/>
              </w:rPr>
              <w:t>Responsible claims</w:t>
            </w:r>
          </w:p>
        </w:tc>
        <w:tc>
          <w:tcPr>
            <w:tcW w:type="dxa" w:w="4968"/>
            <w:vAlign w:val="center"/>
          </w:tcPr>
          <w:p>
            <w:pPr>
              <w:spacing w:after="20"/>
            </w:pPr>
            <w:r>
              <w:rPr>
                <w:sz w:val="17"/>
              </w:rPr>
              <w:t>Conclusions are supported by data and avoid unsupported causal statements.</w:t>
            </w:r>
          </w:p>
        </w:tc>
      </w:tr>
      <w:tr>
        <w:tc>
          <w:tcPr>
            <w:tcW w:type="dxa" w:w="4968"/>
            <w:vAlign w:val="center"/>
            <w:shd w:fill="F1F5F9"/>
          </w:tcPr>
          <w:p>
            <w:pPr>
              <w:spacing w:after="20"/>
            </w:pPr>
            <w:r>
              <w:rPr>
                <w:sz w:val="17"/>
              </w:rPr>
              <w:t>Performance</w:t>
            </w:r>
          </w:p>
        </w:tc>
        <w:tc>
          <w:tcPr>
            <w:tcW w:type="dxa" w:w="4968"/>
            <w:vAlign w:val="center"/>
            <w:shd w:fill="F1F5F9"/>
          </w:tcPr>
          <w:p>
            <w:pPr>
              <w:spacing w:after="20"/>
            </w:pPr>
            <w:r>
              <w:rPr>
                <w:sz w:val="17"/>
              </w:rPr>
              <w:t>Filters and selections respond acceptably on the target dataset.</w:t>
            </w:r>
          </w:p>
        </w:tc>
      </w:tr>
      <w:tr>
        <w:tc>
          <w:tcPr>
            <w:tcW w:type="dxa" w:w="4968"/>
            <w:vAlign w:val="center"/>
          </w:tcPr>
          <w:p>
            <w:pPr>
              <w:spacing w:after="20"/>
            </w:pPr>
            <w:r>
              <w:rPr>
                <w:sz w:val="17"/>
              </w:rPr>
              <w:t>Usability</w:t>
            </w:r>
          </w:p>
        </w:tc>
        <w:tc>
          <w:tcPr>
            <w:tcW w:type="dxa" w:w="4968"/>
            <w:vAlign w:val="center"/>
          </w:tcPr>
          <w:p>
            <w:pPr>
              <w:spacing w:after="20"/>
            </w:pPr>
            <w:r>
              <w:rPr>
                <w:sz w:val="17"/>
              </w:rPr>
              <w:t>A first-time user can follow the story and return to the full view.</w:t>
            </w:r>
          </w:p>
        </w:tc>
      </w:tr>
    </w:tbl>
    <w:p/>
    <w:p>
      <w:pPr>
        <w:pStyle w:val="Heading2"/>
      </w:pPr>
      <w:r>
        <w:t>12.1 Evaluation rubric</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8"/>
              </w:rPr>
              <w:t>Criterion</w:t>
            </w:r>
          </w:p>
        </w:tc>
        <w:tc>
          <w:tcPr>
            <w:tcW w:type="dxa" w:w="3312"/>
            <w:shd w:fill="17365D"/>
          </w:tcPr>
          <w:p>
            <w:r>
              <w:rPr>
                <w:b/>
                <w:color w:val="FFFFFF"/>
                <w:sz w:val="18"/>
              </w:rPr>
              <w:t>Weight</w:t>
            </w:r>
          </w:p>
        </w:tc>
        <w:tc>
          <w:tcPr>
            <w:tcW w:type="dxa" w:w="3312"/>
            <w:shd w:fill="17365D"/>
          </w:tcPr>
          <w:p>
            <w:r>
              <w:rPr>
                <w:b/>
                <w:color w:val="FFFFFF"/>
                <w:sz w:val="18"/>
              </w:rPr>
              <w:t>Evidence</w:t>
            </w:r>
          </w:p>
        </w:tc>
      </w:tr>
      <w:tr>
        <w:tc>
          <w:tcPr>
            <w:tcW w:type="dxa" w:w="3312"/>
            <w:vAlign w:val="center"/>
          </w:tcPr>
          <w:p>
            <w:pPr>
              <w:spacing w:after="20"/>
            </w:pPr>
            <w:r>
              <w:rPr>
                <w:sz w:val="17"/>
              </w:rPr>
              <w:t>Coherence and clarity</w:t>
            </w:r>
          </w:p>
        </w:tc>
        <w:tc>
          <w:tcPr>
            <w:tcW w:type="dxa" w:w="3312"/>
            <w:vAlign w:val="center"/>
          </w:tcPr>
          <w:p>
            <w:pPr>
              <w:spacing w:after="20"/>
            </w:pPr>
            <w:r>
              <w:rPr>
                <w:sz w:val="17"/>
              </w:rPr>
              <w:t>30%</w:t>
            </w:r>
          </w:p>
        </w:tc>
        <w:tc>
          <w:tcPr>
            <w:tcW w:type="dxa" w:w="3312"/>
            <w:vAlign w:val="center"/>
          </w:tcPr>
          <w:p>
            <w:pPr>
              <w:spacing w:after="20"/>
            </w:pPr>
            <w:r>
              <w:rPr>
                <w:sz w:val="17"/>
              </w:rPr>
              <w:t>Clear key message, logical sequence, and meaningful transitions.</w:t>
            </w:r>
          </w:p>
        </w:tc>
      </w:tr>
      <w:tr>
        <w:tc>
          <w:tcPr>
            <w:tcW w:type="dxa" w:w="3312"/>
            <w:vAlign w:val="center"/>
            <w:shd w:fill="F1F5F9"/>
          </w:tcPr>
          <w:p>
            <w:pPr>
              <w:spacing w:after="20"/>
            </w:pPr>
            <w:r>
              <w:rPr>
                <w:sz w:val="17"/>
              </w:rPr>
              <w:t>Interactive design</w:t>
            </w:r>
          </w:p>
        </w:tc>
        <w:tc>
          <w:tcPr>
            <w:tcW w:type="dxa" w:w="3312"/>
            <w:vAlign w:val="center"/>
            <w:shd w:fill="F1F5F9"/>
          </w:tcPr>
          <w:p>
            <w:pPr>
              <w:spacing w:after="20"/>
            </w:pPr>
            <w:r>
              <w:rPr>
                <w:sz w:val="17"/>
              </w:rPr>
              <w:t>25%</w:t>
            </w:r>
          </w:p>
        </w:tc>
        <w:tc>
          <w:tcPr>
            <w:tcW w:type="dxa" w:w="3312"/>
            <w:vAlign w:val="center"/>
            <w:shd w:fill="F1F5F9"/>
          </w:tcPr>
          <w:p>
            <w:pPr>
              <w:spacing w:after="20"/>
            </w:pPr>
            <w:r>
              <w:rPr>
                <w:sz w:val="17"/>
              </w:rPr>
              <w:t>Filters and actions enable investigation rather than distraction.</w:t>
            </w:r>
          </w:p>
        </w:tc>
      </w:tr>
      <w:tr>
        <w:tc>
          <w:tcPr>
            <w:tcW w:type="dxa" w:w="3312"/>
            <w:vAlign w:val="center"/>
          </w:tcPr>
          <w:p>
            <w:pPr>
              <w:spacing w:after="20"/>
            </w:pPr>
            <w:r>
              <w:rPr>
                <w:sz w:val="17"/>
              </w:rPr>
              <w:t>Depth of planning</w:t>
            </w:r>
          </w:p>
        </w:tc>
        <w:tc>
          <w:tcPr>
            <w:tcW w:type="dxa" w:w="3312"/>
            <w:vAlign w:val="center"/>
          </w:tcPr>
          <w:p>
            <w:pPr>
              <w:spacing w:after="20"/>
            </w:pPr>
            <w:r>
              <w:rPr>
                <w:sz w:val="17"/>
              </w:rPr>
              <w:t>25%</w:t>
            </w:r>
          </w:p>
        </w:tc>
        <w:tc>
          <w:tcPr>
            <w:tcW w:type="dxa" w:w="3312"/>
            <w:vAlign w:val="center"/>
          </w:tcPr>
          <w:p>
            <w:pPr>
              <w:spacing w:after="20"/>
            </w:pPr>
            <w:r>
              <w:rPr>
                <w:sz w:val="17"/>
              </w:rPr>
              <w:t>Chart rationale, definitions, validation, caveats, and testing are documented.</w:t>
            </w:r>
          </w:p>
        </w:tc>
      </w:tr>
      <w:tr>
        <w:tc>
          <w:tcPr>
            <w:tcW w:type="dxa" w:w="3312"/>
            <w:vAlign w:val="center"/>
            <w:shd w:fill="F1F5F9"/>
          </w:tcPr>
          <w:p>
            <w:pPr>
              <w:spacing w:after="20"/>
            </w:pPr>
            <w:r>
              <w:rPr>
                <w:sz w:val="17"/>
              </w:rPr>
              <w:t>Visual communication</w:t>
            </w:r>
          </w:p>
        </w:tc>
        <w:tc>
          <w:tcPr>
            <w:tcW w:type="dxa" w:w="3312"/>
            <w:vAlign w:val="center"/>
            <w:shd w:fill="F1F5F9"/>
          </w:tcPr>
          <w:p>
            <w:pPr>
              <w:spacing w:after="20"/>
            </w:pPr>
            <w:r>
              <w:rPr>
                <w:sz w:val="17"/>
              </w:rPr>
              <w:t>20%</w:t>
            </w:r>
          </w:p>
        </w:tc>
        <w:tc>
          <w:tcPr>
            <w:tcW w:type="dxa" w:w="3312"/>
            <w:vAlign w:val="center"/>
            <w:shd w:fill="F1F5F9"/>
          </w:tcPr>
          <w:p>
            <w:pPr>
              <w:spacing w:after="20"/>
            </w:pPr>
            <w:r>
              <w:rPr>
                <w:sz w:val="17"/>
              </w:rPr>
              <w:t>Storyboard, interaction map, readable layout, and consistent visual language.</w:t>
            </w:r>
          </w:p>
        </w:tc>
      </w:tr>
    </w:tbl>
    <w:p/>
    <w:p>
      <w:pPr>
        <w:pStyle w:val="Heading1"/>
      </w:pPr>
      <w:r>
        <w:t>13. Proposed 33-Hour Work Plan</w:t>
      </w:r>
    </w:p>
    <w:p>
      <w:r>
        <w:t>The assignment estimates 30–35 hours. The following plan allocates 33 hours to research, storyboarding, interaction design, documentation, and validation planning. These are planned hours, not a claim that the work has already been completed.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8"/>
              </w:rPr>
              <w:t>Task</w:t>
            </w:r>
          </w:p>
        </w:tc>
        <w:tc>
          <w:tcPr>
            <w:tcW w:type="dxa" w:w="3312"/>
            <w:shd w:fill="17365D"/>
          </w:tcPr>
          <w:p>
            <w:r>
              <w:rPr>
                <w:b/>
                <w:color w:val="FFFFFF"/>
                <w:sz w:val="18"/>
              </w:rPr>
              <w:t>Hours</w:t>
            </w:r>
          </w:p>
        </w:tc>
        <w:tc>
          <w:tcPr>
            <w:tcW w:type="dxa" w:w="3312"/>
            <w:shd w:fill="17365D"/>
          </w:tcPr>
          <w:p>
            <w:r>
              <w:rPr>
                <w:b/>
                <w:color w:val="FFFFFF"/>
                <w:sz w:val="18"/>
              </w:rPr>
              <w:t>Deliverable</w:t>
            </w:r>
          </w:p>
        </w:tc>
      </w:tr>
      <w:tr>
        <w:tc>
          <w:tcPr>
            <w:tcW w:type="dxa" w:w="3312"/>
            <w:vAlign w:val="center"/>
          </w:tcPr>
          <w:p>
            <w:pPr>
              <w:spacing w:after="20"/>
            </w:pPr>
            <w:r>
              <w:rPr>
                <w:sz w:val="17"/>
              </w:rPr>
              <w:t>Review dataset and define story question</w:t>
            </w:r>
          </w:p>
        </w:tc>
        <w:tc>
          <w:tcPr>
            <w:tcW w:type="dxa" w:w="3312"/>
            <w:vAlign w:val="center"/>
          </w:tcPr>
          <w:p>
            <w:pPr>
              <w:spacing w:after="20"/>
            </w:pPr>
            <w:r>
              <w:rPr>
                <w:sz w:val="17"/>
              </w:rPr>
              <w:t>3</w:t>
            </w:r>
          </w:p>
        </w:tc>
        <w:tc>
          <w:tcPr>
            <w:tcW w:type="dxa" w:w="3312"/>
            <w:vAlign w:val="center"/>
          </w:tcPr>
          <w:p>
            <w:pPr>
              <w:spacing w:after="20"/>
            </w:pPr>
            <w:r>
              <w:rPr>
                <w:sz w:val="17"/>
              </w:rPr>
              <w:t>Context, audience, key message.</w:t>
            </w:r>
          </w:p>
        </w:tc>
      </w:tr>
      <w:tr>
        <w:tc>
          <w:tcPr>
            <w:tcW w:type="dxa" w:w="3312"/>
            <w:vAlign w:val="center"/>
            <w:shd w:fill="F1F5F9"/>
          </w:tcPr>
          <w:p>
            <w:pPr>
              <w:spacing w:after="20"/>
            </w:pPr>
            <w:r>
              <w:rPr>
                <w:sz w:val="17"/>
              </w:rPr>
              <w:t>Inspect data quality and validate core metrics</w:t>
            </w:r>
          </w:p>
        </w:tc>
        <w:tc>
          <w:tcPr>
            <w:tcW w:type="dxa" w:w="3312"/>
            <w:vAlign w:val="center"/>
            <w:shd w:fill="F1F5F9"/>
          </w:tcPr>
          <w:p>
            <w:pPr>
              <w:spacing w:after="20"/>
            </w:pPr>
            <w:r>
              <w:rPr>
                <w:sz w:val="17"/>
              </w:rPr>
              <w:t>4</w:t>
            </w:r>
          </w:p>
        </w:tc>
        <w:tc>
          <w:tcPr>
            <w:tcW w:type="dxa" w:w="3312"/>
            <w:vAlign w:val="center"/>
            <w:shd w:fill="F1F5F9"/>
          </w:tcPr>
          <w:p>
            <w:pPr>
              <w:spacing w:after="20"/>
            </w:pPr>
            <w:r>
              <w:rPr>
                <w:sz w:val="17"/>
              </w:rPr>
              <w:t>Field map and validation notes.</w:t>
            </w:r>
          </w:p>
        </w:tc>
      </w:tr>
      <w:tr>
        <w:tc>
          <w:tcPr>
            <w:tcW w:type="dxa" w:w="3312"/>
            <w:vAlign w:val="center"/>
          </w:tcPr>
          <w:p>
            <w:pPr>
              <w:spacing w:after="20"/>
            </w:pPr>
            <w:r>
              <w:rPr>
                <w:sz w:val="17"/>
              </w:rPr>
              <w:t>Develop hypotheses and supporting questions</w:t>
            </w:r>
          </w:p>
        </w:tc>
        <w:tc>
          <w:tcPr>
            <w:tcW w:type="dxa" w:w="3312"/>
            <w:vAlign w:val="center"/>
          </w:tcPr>
          <w:p>
            <w:pPr>
              <w:spacing w:after="20"/>
            </w:pPr>
            <w:r>
              <w:rPr>
                <w:sz w:val="17"/>
              </w:rPr>
              <w:t>3</w:t>
            </w:r>
          </w:p>
        </w:tc>
        <w:tc>
          <w:tcPr>
            <w:tcW w:type="dxa" w:w="3312"/>
            <w:vAlign w:val="center"/>
          </w:tcPr>
          <w:p>
            <w:pPr>
              <w:spacing w:after="20"/>
            </w:pPr>
            <w:r>
              <w:rPr>
                <w:sz w:val="17"/>
              </w:rPr>
              <w:t>Insights to test.</w:t>
            </w:r>
          </w:p>
        </w:tc>
      </w:tr>
      <w:tr>
        <w:tc>
          <w:tcPr>
            <w:tcW w:type="dxa" w:w="3312"/>
            <w:vAlign w:val="center"/>
            <w:shd w:fill="F1F5F9"/>
          </w:tcPr>
          <w:p>
            <w:pPr>
              <w:spacing w:after="20"/>
            </w:pPr>
            <w:r>
              <w:rPr>
                <w:sz w:val="17"/>
              </w:rPr>
              <w:t>Select and sequence visualizations</w:t>
            </w:r>
          </w:p>
        </w:tc>
        <w:tc>
          <w:tcPr>
            <w:tcW w:type="dxa" w:w="3312"/>
            <w:vAlign w:val="center"/>
            <w:shd w:fill="F1F5F9"/>
          </w:tcPr>
          <w:p>
            <w:pPr>
              <w:spacing w:after="20"/>
            </w:pPr>
            <w:r>
              <w:rPr>
                <w:sz w:val="17"/>
              </w:rPr>
              <w:t>4</w:t>
            </w:r>
          </w:p>
        </w:tc>
        <w:tc>
          <w:tcPr>
            <w:tcW w:type="dxa" w:w="3312"/>
            <w:vAlign w:val="center"/>
            <w:shd w:fill="F1F5F9"/>
          </w:tcPr>
          <w:p>
            <w:pPr>
              <w:spacing w:after="20"/>
            </w:pPr>
            <w:r>
              <w:rPr>
                <w:sz w:val="17"/>
              </w:rPr>
              <w:t>Narrative outline and chart rationale.</w:t>
            </w:r>
          </w:p>
        </w:tc>
      </w:tr>
      <w:tr>
        <w:tc>
          <w:tcPr>
            <w:tcW w:type="dxa" w:w="3312"/>
            <w:vAlign w:val="center"/>
          </w:tcPr>
          <w:p>
            <w:pPr>
              <w:spacing w:after="20"/>
            </w:pPr>
            <w:r>
              <w:rPr>
                <w:sz w:val="17"/>
              </w:rPr>
              <w:t>Create storyboard and interaction map</w:t>
            </w:r>
          </w:p>
        </w:tc>
        <w:tc>
          <w:tcPr>
            <w:tcW w:type="dxa" w:w="3312"/>
            <w:vAlign w:val="center"/>
          </w:tcPr>
          <w:p>
            <w:pPr>
              <w:spacing w:after="20"/>
            </w:pPr>
            <w:r>
              <w:rPr>
                <w:sz w:val="17"/>
              </w:rPr>
              <w:t>4</w:t>
            </w:r>
          </w:p>
        </w:tc>
        <w:tc>
          <w:tcPr>
            <w:tcW w:type="dxa" w:w="3312"/>
            <w:vAlign w:val="center"/>
          </w:tcPr>
          <w:p>
            <w:pPr>
              <w:spacing w:after="20"/>
            </w:pPr>
            <w:r>
              <w:rPr>
                <w:sz w:val="17"/>
              </w:rPr>
              <w:t>Conceptual diagrams.</w:t>
            </w:r>
          </w:p>
        </w:tc>
      </w:tr>
      <w:tr>
        <w:tc>
          <w:tcPr>
            <w:tcW w:type="dxa" w:w="3312"/>
            <w:vAlign w:val="center"/>
            <w:shd w:fill="F1F5F9"/>
          </w:tcPr>
          <w:p>
            <w:pPr>
              <w:spacing w:after="20"/>
            </w:pPr>
            <w:r>
              <w:rPr>
                <w:sz w:val="17"/>
              </w:rPr>
              <w:t>Plan filters, parameters, tooltips, and actions</w:t>
            </w:r>
          </w:p>
        </w:tc>
        <w:tc>
          <w:tcPr>
            <w:tcW w:type="dxa" w:w="3312"/>
            <w:vAlign w:val="center"/>
            <w:shd w:fill="F1F5F9"/>
          </w:tcPr>
          <w:p>
            <w:pPr>
              <w:spacing w:after="20"/>
            </w:pPr>
            <w:r>
              <w:rPr>
                <w:sz w:val="17"/>
              </w:rPr>
              <w:t>4</w:t>
            </w:r>
          </w:p>
        </w:tc>
        <w:tc>
          <w:tcPr>
            <w:tcW w:type="dxa" w:w="3312"/>
            <w:vAlign w:val="center"/>
            <w:shd w:fill="F1F5F9"/>
          </w:tcPr>
          <w:p>
            <w:pPr>
              <w:spacing w:after="20"/>
            </w:pPr>
            <w:r>
              <w:rPr>
                <w:sz w:val="17"/>
              </w:rPr>
              <w:t>Interaction specification.</w:t>
            </w:r>
          </w:p>
        </w:tc>
      </w:tr>
      <w:tr>
        <w:tc>
          <w:tcPr>
            <w:tcW w:type="dxa" w:w="3312"/>
            <w:vAlign w:val="center"/>
          </w:tcPr>
          <w:p>
            <w:pPr>
              <w:spacing w:after="20"/>
            </w:pPr>
            <w:r>
              <w:rPr>
                <w:sz w:val="17"/>
              </w:rPr>
              <w:t>Plan visual design and accessibility</w:t>
            </w:r>
          </w:p>
        </w:tc>
        <w:tc>
          <w:tcPr>
            <w:tcW w:type="dxa" w:w="3312"/>
            <w:vAlign w:val="center"/>
          </w:tcPr>
          <w:p>
            <w:pPr>
              <w:spacing w:after="20"/>
            </w:pPr>
            <w:r>
              <w:rPr>
                <w:sz w:val="17"/>
              </w:rPr>
              <w:t>2</w:t>
            </w:r>
          </w:p>
        </w:tc>
        <w:tc>
          <w:tcPr>
            <w:tcW w:type="dxa" w:w="3312"/>
            <w:vAlign w:val="center"/>
          </w:tcPr>
          <w:p>
            <w:pPr>
              <w:spacing w:after="20"/>
            </w:pPr>
            <w:r>
              <w:rPr>
                <w:sz w:val="17"/>
              </w:rPr>
              <w:t>Style and layout rules.</w:t>
            </w:r>
          </w:p>
        </w:tc>
      </w:tr>
      <w:tr>
        <w:tc>
          <w:tcPr>
            <w:tcW w:type="dxa" w:w="3312"/>
            <w:vAlign w:val="center"/>
            <w:shd w:fill="F1F5F9"/>
          </w:tcPr>
          <w:p>
            <w:pPr>
              <w:spacing w:after="20"/>
            </w:pPr>
            <w:r>
              <w:rPr>
                <w:sz w:val="17"/>
              </w:rPr>
              <w:t>Write caveats and testing criteria</w:t>
            </w:r>
          </w:p>
        </w:tc>
        <w:tc>
          <w:tcPr>
            <w:tcW w:type="dxa" w:w="3312"/>
            <w:vAlign w:val="center"/>
            <w:shd w:fill="F1F5F9"/>
          </w:tcPr>
          <w:p>
            <w:pPr>
              <w:spacing w:after="20"/>
            </w:pPr>
            <w:r>
              <w:rPr>
                <w:sz w:val="17"/>
              </w:rPr>
              <w:t>3</w:t>
            </w:r>
          </w:p>
        </w:tc>
        <w:tc>
          <w:tcPr>
            <w:tcW w:type="dxa" w:w="3312"/>
            <w:vAlign w:val="center"/>
            <w:shd w:fill="F1F5F9"/>
          </w:tcPr>
          <w:p>
            <w:pPr>
              <w:spacing w:after="20"/>
            </w:pPr>
            <w:r>
              <w:rPr>
                <w:sz w:val="17"/>
              </w:rPr>
              <w:t>Responsible interpretation and test plan.</w:t>
            </w:r>
          </w:p>
        </w:tc>
      </w:tr>
      <w:tr>
        <w:tc>
          <w:tcPr>
            <w:tcW w:type="dxa" w:w="3312"/>
            <w:vAlign w:val="center"/>
          </w:tcPr>
          <w:p>
            <w:pPr>
              <w:spacing w:after="20"/>
            </w:pPr>
            <w:r>
              <w:rPr>
                <w:sz w:val="17"/>
              </w:rPr>
              <w:t>Prepare and review the DOC file</w:t>
            </w:r>
          </w:p>
        </w:tc>
        <w:tc>
          <w:tcPr>
            <w:tcW w:type="dxa" w:w="3312"/>
            <w:vAlign w:val="center"/>
          </w:tcPr>
          <w:p>
            <w:pPr>
              <w:spacing w:after="20"/>
            </w:pPr>
            <w:r>
              <w:rPr>
                <w:sz w:val="17"/>
              </w:rPr>
              <w:t>3</w:t>
            </w:r>
          </w:p>
        </w:tc>
        <w:tc>
          <w:tcPr>
            <w:tcW w:type="dxa" w:w="3312"/>
            <w:vAlign w:val="center"/>
          </w:tcPr>
          <w:p>
            <w:pPr>
              <w:spacing w:after="20"/>
            </w:pPr>
            <w:r>
              <w:rPr>
                <w:sz w:val="17"/>
              </w:rPr>
              <w:t>Complete written deliverable.</w:t>
            </w:r>
          </w:p>
        </w:tc>
      </w:tr>
      <w:tr>
        <w:tc>
          <w:tcPr>
            <w:tcW w:type="dxa" w:w="3312"/>
            <w:vAlign w:val="center"/>
            <w:shd w:fill="F1F5F9"/>
          </w:tcPr>
          <w:p>
            <w:pPr>
              <w:spacing w:after="20"/>
            </w:pPr>
            <w:r>
              <w:rPr>
                <w:sz w:val="17"/>
              </w:rPr>
              <w:t>Revision buffer</w:t>
            </w:r>
          </w:p>
        </w:tc>
        <w:tc>
          <w:tcPr>
            <w:tcW w:type="dxa" w:w="3312"/>
            <w:vAlign w:val="center"/>
            <w:shd w:fill="F1F5F9"/>
          </w:tcPr>
          <w:p>
            <w:pPr>
              <w:spacing w:after="20"/>
            </w:pPr>
            <w:r>
              <w:rPr>
                <w:sz w:val="17"/>
              </w:rPr>
              <w:t>3</w:t>
            </w:r>
          </w:p>
        </w:tc>
        <w:tc>
          <w:tcPr>
            <w:tcW w:type="dxa" w:w="3312"/>
            <w:vAlign w:val="center"/>
            <w:shd w:fill="F1F5F9"/>
          </w:tcPr>
          <w:p>
            <w:pPr>
              <w:spacing w:after="20"/>
            </w:pPr>
            <w:r>
              <w:rPr>
                <w:sz w:val="17"/>
              </w:rPr>
              <w:t>Corrections and polish.</w:t>
            </w:r>
          </w:p>
        </w:tc>
      </w:tr>
      <w:tr>
        <w:tc>
          <w:tcPr>
            <w:tcW w:type="dxa" w:w="3312"/>
            <w:vAlign w:val="center"/>
          </w:tcPr>
          <w:p>
            <w:pPr>
              <w:spacing w:after="20"/>
            </w:pPr>
            <w:r>
              <w:rPr>
                <w:sz w:val="17"/>
              </w:rPr>
              <w:t>TOTAL</w:t>
            </w:r>
          </w:p>
        </w:tc>
        <w:tc>
          <w:tcPr>
            <w:tcW w:type="dxa" w:w="3312"/>
            <w:vAlign w:val="center"/>
          </w:tcPr>
          <w:p>
            <w:pPr>
              <w:spacing w:after="20"/>
            </w:pPr>
            <w:r>
              <w:rPr>
                <w:sz w:val="17"/>
              </w:rPr>
              <w:t>33</w:t>
            </w:r>
          </w:p>
        </w:tc>
        <w:tc>
          <w:tcPr>
            <w:tcW w:type="dxa" w:w="3312"/>
            <w:vAlign w:val="center"/>
          </w:tcPr>
          <w:p>
            <w:pPr>
              <w:spacing w:after="20"/>
            </w:pPr>
            <w:r>
              <w:rPr>
                <w:sz w:val="17"/>
              </w:rPr>
              <w:t>Complete Week 3 planning document.</w:t>
            </w:r>
          </w:p>
        </w:tc>
      </w:tr>
    </w:tbl>
    <w:p/>
    <w:p>
      <w:pPr>
        <w:pStyle w:val="Heading1"/>
      </w:pPr>
      <w:r>
        <w:t>14. Expected Outcomes and Success Criteria</w:t>
      </w:r>
    </w:p>
    <w:p>
      <w:pPr>
        <w:pStyle w:val="ListBullet"/>
        <w:spacing w:after="40"/>
      </w:pPr>
      <w:r>
        <w:t>A coherent, audience-focused story with one central question.</w:t>
      </w:r>
    </w:p>
    <w:p>
      <w:pPr>
        <w:pStyle w:val="ListBullet"/>
        <w:spacing w:after="40"/>
      </w:pPr>
      <w:r>
        <w:t>A logical sequence moving from summary to investigation and next steps.</w:t>
      </w:r>
    </w:p>
    <w:p>
      <w:pPr>
        <w:pStyle w:val="ListBullet"/>
        <w:spacing w:after="40"/>
      </w:pPr>
      <w:r>
        <w:t>A documented role for every planned visualization.</w:t>
      </w:r>
    </w:p>
    <w:p>
      <w:pPr>
        <w:pStyle w:val="ListBullet"/>
        <w:spacing w:after="40"/>
      </w:pPr>
      <w:r>
        <w:t>Interactive controls for time, region, product, and segment that preserve context.</w:t>
      </w:r>
    </w:p>
    <w:p>
      <w:pPr>
        <w:pStyle w:val="ListBullet"/>
        <w:spacing w:after="40"/>
      </w:pPr>
      <w:r>
        <w:t>A storyboard and interaction diagram that communicate the plan clearly.</w:t>
      </w:r>
    </w:p>
    <w:p>
      <w:pPr>
        <w:pStyle w:val="ListBullet"/>
        <w:spacing w:after="40"/>
      </w:pPr>
      <w:r>
        <w:t>A clear separation between validated findings, hypotheses, and possible explanations.</w:t>
      </w:r>
    </w:p>
    <w:p>
      <w:pPr>
        <w:pStyle w:val="ListBullet"/>
        <w:spacing w:after="40"/>
      </w:pPr>
      <w:r>
        <w:t>A practical blueprint for building and testing the final Tableau dashboard.</w:t>
      </w:r>
    </w:p>
    <w:p>
      <w:pPr>
        <w:pStyle w:val="Heading1"/>
      </w:pPr>
      <w:r>
        <w:t>15. Implementation Checklist</w:t>
      </w:r>
    </w:p>
    <w:p>
      <w:pPr>
        <w:pStyle w:val="ListBullet"/>
        <w:spacing w:after="40"/>
      </w:pPr>
      <w:r>
        <w:t>Confirm dataset fields, grain, time coverage, and data-quality assumptions.</w:t>
      </w:r>
    </w:p>
    <w:p>
      <w:pPr>
        <w:pStyle w:val="ListBullet"/>
        <w:spacing w:after="40"/>
      </w:pPr>
      <w:r>
        <w:t>Validate KPI formulas and number formats.</w:t>
      </w:r>
    </w:p>
    <w:p>
      <w:pPr>
        <w:pStyle w:val="ListBullet"/>
        <w:spacing w:after="40"/>
      </w:pPr>
      <w:r>
        <w:t>Create KPI cards and monthly trend chart.</w:t>
      </w:r>
    </w:p>
    <w:p>
      <w:pPr>
        <w:pStyle w:val="ListBullet"/>
        <w:spacing w:after="40"/>
      </w:pPr>
      <w:r>
        <w:t>Create regional comparison and product profitability views.</w:t>
      </w:r>
    </w:p>
    <w:p>
      <w:pPr>
        <w:pStyle w:val="ListBullet"/>
        <w:spacing w:after="40"/>
      </w:pPr>
      <w:r>
        <w:t>Create discount-versus-profit scatter plot with useful tooltips.</w:t>
      </w:r>
    </w:p>
    <w:p>
      <w:pPr>
        <w:pStyle w:val="ListBullet"/>
        <w:spacing w:after="40"/>
      </w:pPr>
      <w:r>
        <w:t>Arrange views in the planned narrative sequence.</w:t>
      </w:r>
    </w:p>
    <w:p>
      <w:pPr>
        <w:pStyle w:val="ListBullet"/>
        <w:spacing w:after="40"/>
      </w:pPr>
      <w:r>
        <w:t>Add and test global filters, cross-filtering, highlighting, and Reset.</w:t>
      </w:r>
    </w:p>
    <w:p>
      <w:pPr>
        <w:pStyle w:val="ListBullet"/>
        <w:spacing w:after="40"/>
      </w:pPr>
      <w:r>
        <w:t>Add only useful annotations and optional parameters.</w:t>
      </w:r>
    </w:p>
    <w:p>
      <w:pPr>
        <w:pStyle w:val="ListBullet"/>
        <w:spacing w:after="40"/>
      </w:pPr>
      <w:r>
        <w:t>Check contrast, labels, negative profit visibility, and readability.</w:t>
      </w:r>
    </w:p>
    <w:p>
      <w:pPr>
        <w:pStyle w:val="ListBullet"/>
        <w:spacing w:after="40"/>
      </w:pPr>
      <w:r>
        <w:t>Test the narrative with a user unfamiliar with the dataset.</w:t>
      </w:r>
    </w:p>
    <w:p>
      <w:pPr>
        <w:pStyle w:val="ListBullet"/>
        <w:spacing w:after="40"/>
      </w:pPr>
      <w:r>
        <w:t>Write final conclusions only after validating actual results.</w:t>
      </w:r>
    </w:p>
    <w:p>
      <w:pPr>
        <w:pStyle w:val="Heading1"/>
      </w:pPr>
      <w:r>
        <w:t>16. Conclusion</w:t>
      </w:r>
    </w:p>
    <w:p>
      <w:r>
        <w:t>This Week 3 plan turns the Tableau dashboard into a guided, interactive data story. It begins with the overall performance snapshot, moves through time and regional comparisons, examines product profitability, and then investigates discount patterns before identifying responsible next steps. Filters and dashboard actions let users personalize the journey while preserving context. The narrative sequence, diagrams, design guidelines, validation plan, and evaluation criteria provide a detailed foundation for implementation. The final story must remain evidence-led: the visualizations guide the questions, while the real dataset determines the conclusions.</w:t>
      </w:r>
    </w:p>
    <w:p>
      <w:pPr>
        <w:pStyle w:val="Heading1"/>
      </w:pPr>
      <w:r>
        <w:t>Appendix: Storytelling Glossary</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Term</w:t>
            </w:r>
          </w:p>
        </w:tc>
        <w:tc>
          <w:tcPr>
            <w:tcW w:type="dxa" w:w="4968"/>
            <w:shd w:fill="17365D"/>
          </w:tcPr>
          <w:p>
            <w:r>
              <w:rPr>
                <w:b/>
                <w:color w:val="FFFFFF"/>
                <w:sz w:val="18"/>
              </w:rPr>
              <w:t>Meaning</w:t>
            </w:r>
          </w:p>
        </w:tc>
      </w:tr>
      <w:tr>
        <w:tc>
          <w:tcPr>
            <w:tcW w:type="dxa" w:w="4968"/>
            <w:vAlign w:val="center"/>
          </w:tcPr>
          <w:p>
            <w:pPr>
              <w:spacing w:after="20"/>
            </w:pPr>
            <w:r>
              <w:rPr>
                <w:sz w:val="17"/>
              </w:rPr>
              <w:t>Data story</w:t>
            </w:r>
          </w:p>
        </w:tc>
        <w:tc>
          <w:tcPr>
            <w:tcW w:type="dxa" w:w="4968"/>
            <w:vAlign w:val="center"/>
          </w:tcPr>
          <w:p>
            <w:pPr>
              <w:spacing w:after="20"/>
            </w:pPr>
            <w:r>
              <w:rPr>
                <w:sz w:val="17"/>
              </w:rPr>
              <w:t>A structured explanation using data and visuals to guide an audience through a question and evidence.</w:t>
            </w:r>
          </w:p>
        </w:tc>
      </w:tr>
      <w:tr>
        <w:tc>
          <w:tcPr>
            <w:tcW w:type="dxa" w:w="4968"/>
            <w:vAlign w:val="center"/>
            <w:shd w:fill="F1F5F9"/>
          </w:tcPr>
          <w:p>
            <w:pPr>
              <w:spacing w:after="20"/>
            </w:pPr>
            <w:r>
              <w:rPr>
                <w:sz w:val="17"/>
              </w:rPr>
              <w:t>Narrative flow</w:t>
            </w:r>
          </w:p>
        </w:tc>
        <w:tc>
          <w:tcPr>
            <w:tcW w:type="dxa" w:w="4968"/>
            <w:vAlign w:val="center"/>
            <w:shd w:fill="F1F5F9"/>
          </w:tcPr>
          <w:p>
            <w:pPr>
              <w:spacing w:after="20"/>
            </w:pPr>
            <w:r>
              <w:rPr>
                <w:sz w:val="17"/>
              </w:rPr>
              <w:t>The order in which questions, visualizations, and takeaways are presented.</w:t>
            </w:r>
          </w:p>
        </w:tc>
      </w:tr>
      <w:tr>
        <w:tc>
          <w:tcPr>
            <w:tcW w:type="dxa" w:w="4968"/>
            <w:vAlign w:val="center"/>
          </w:tcPr>
          <w:p>
            <w:pPr>
              <w:spacing w:after="20"/>
            </w:pPr>
            <w:r>
              <w:rPr>
                <w:sz w:val="17"/>
              </w:rPr>
              <w:t>Storyboard</w:t>
            </w:r>
          </w:p>
        </w:tc>
        <w:tc>
          <w:tcPr>
            <w:tcW w:type="dxa" w:w="4968"/>
            <w:vAlign w:val="center"/>
          </w:tcPr>
          <w:p>
            <w:pPr>
              <w:spacing w:after="20"/>
            </w:pPr>
            <w:r>
              <w:rPr>
                <w:sz w:val="17"/>
              </w:rPr>
              <w:t>A planned sequence of visual scenes or dashboard views.</w:t>
            </w:r>
          </w:p>
        </w:tc>
      </w:tr>
      <w:tr>
        <w:tc>
          <w:tcPr>
            <w:tcW w:type="dxa" w:w="4968"/>
            <w:vAlign w:val="center"/>
            <w:shd w:fill="F1F5F9"/>
          </w:tcPr>
          <w:p>
            <w:pPr>
              <w:spacing w:after="20"/>
            </w:pPr>
            <w:r>
              <w:rPr>
                <w:sz w:val="17"/>
              </w:rPr>
              <w:t>KPI</w:t>
            </w:r>
          </w:p>
        </w:tc>
        <w:tc>
          <w:tcPr>
            <w:tcW w:type="dxa" w:w="4968"/>
            <w:vAlign w:val="center"/>
            <w:shd w:fill="F1F5F9"/>
          </w:tcPr>
          <w:p>
            <w:pPr>
              <w:spacing w:after="20"/>
            </w:pPr>
            <w:r>
              <w:rPr>
                <w:sz w:val="17"/>
              </w:rPr>
              <w:t>Key Performance Indicator; a measure used to summarize performance.</w:t>
            </w:r>
          </w:p>
        </w:tc>
      </w:tr>
      <w:tr>
        <w:tc>
          <w:tcPr>
            <w:tcW w:type="dxa" w:w="4968"/>
            <w:vAlign w:val="center"/>
          </w:tcPr>
          <w:p>
            <w:pPr>
              <w:spacing w:after="20"/>
            </w:pPr>
            <w:r>
              <w:rPr>
                <w:sz w:val="17"/>
              </w:rPr>
              <w:t>Cross-filtering</w:t>
            </w:r>
          </w:p>
        </w:tc>
        <w:tc>
          <w:tcPr>
            <w:tcW w:type="dxa" w:w="4968"/>
            <w:vAlign w:val="center"/>
          </w:tcPr>
          <w:p>
            <w:pPr>
              <w:spacing w:after="20"/>
            </w:pPr>
            <w:r>
              <w:rPr>
                <w:sz w:val="17"/>
              </w:rPr>
              <w:t>Selecting data in one view to filter related views.</w:t>
            </w:r>
          </w:p>
        </w:tc>
      </w:tr>
      <w:tr>
        <w:tc>
          <w:tcPr>
            <w:tcW w:type="dxa" w:w="4968"/>
            <w:vAlign w:val="center"/>
            <w:shd w:fill="F1F5F9"/>
          </w:tcPr>
          <w:p>
            <w:pPr>
              <w:spacing w:after="20"/>
            </w:pPr>
            <w:r>
              <w:rPr>
                <w:sz w:val="17"/>
              </w:rPr>
              <w:t>Highlighting</w:t>
            </w:r>
          </w:p>
        </w:tc>
        <w:tc>
          <w:tcPr>
            <w:tcW w:type="dxa" w:w="4968"/>
            <w:vAlign w:val="center"/>
            <w:shd w:fill="F1F5F9"/>
          </w:tcPr>
          <w:p>
            <w:pPr>
              <w:spacing w:after="20"/>
            </w:pPr>
            <w:r>
              <w:rPr>
                <w:sz w:val="17"/>
              </w:rPr>
              <w:t>Emphasizing related marks while keeping other marks visible.</w:t>
            </w:r>
          </w:p>
        </w:tc>
      </w:tr>
      <w:tr>
        <w:tc>
          <w:tcPr>
            <w:tcW w:type="dxa" w:w="4968"/>
            <w:vAlign w:val="center"/>
          </w:tcPr>
          <w:p>
            <w:pPr>
              <w:spacing w:after="20"/>
            </w:pPr>
            <w:r>
              <w:rPr>
                <w:sz w:val="17"/>
              </w:rPr>
              <w:t>Parameter</w:t>
            </w:r>
          </w:p>
        </w:tc>
        <w:tc>
          <w:tcPr>
            <w:tcW w:type="dxa" w:w="4968"/>
            <w:vAlign w:val="center"/>
          </w:tcPr>
          <w:p>
            <w:pPr>
              <w:spacing w:after="20"/>
            </w:pPr>
            <w:r>
              <w:rPr>
                <w:sz w:val="17"/>
              </w:rPr>
              <w:t>A user-controlled value that can change a calculation or view when configured.</w:t>
            </w:r>
          </w:p>
        </w:tc>
      </w:tr>
      <w:tr>
        <w:tc>
          <w:tcPr>
            <w:tcW w:type="dxa" w:w="4968"/>
            <w:vAlign w:val="center"/>
            <w:shd w:fill="F1F5F9"/>
          </w:tcPr>
          <w:p>
            <w:pPr>
              <w:spacing w:after="20"/>
            </w:pPr>
            <w:r>
              <w:rPr>
                <w:sz w:val="17"/>
              </w:rPr>
              <w:t>Tooltip</w:t>
            </w:r>
          </w:p>
        </w:tc>
        <w:tc>
          <w:tcPr>
            <w:tcW w:type="dxa" w:w="4968"/>
            <w:vAlign w:val="center"/>
            <w:shd w:fill="F1F5F9"/>
          </w:tcPr>
          <w:p>
            <w:pPr>
              <w:spacing w:after="20"/>
            </w:pPr>
            <w:r>
              <w:rPr>
                <w:sz w:val="17"/>
              </w:rPr>
              <w:t>Additional detail shown when the user hovers over a mark.</w:t>
            </w:r>
          </w:p>
        </w:tc>
      </w:tr>
      <w:tr>
        <w:tc>
          <w:tcPr>
            <w:tcW w:type="dxa" w:w="4968"/>
            <w:vAlign w:val="center"/>
          </w:tcPr>
          <w:p>
            <w:pPr>
              <w:spacing w:after="20"/>
            </w:pPr>
            <w:r>
              <w:rPr>
                <w:sz w:val="17"/>
              </w:rPr>
              <w:t>Association</w:t>
            </w:r>
          </w:p>
        </w:tc>
        <w:tc>
          <w:tcPr>
            <w:tcW w:type="dxa" w:w="4968"/>
            <w:vAlign w:val="center"/>
          </w:tcPr>
          <w:p>
            <w:pPr>
              <w:spacing w:after="20"/>
            </w:pPr>
            <w:r>
              <w:rPr>
                <w:sz w:val="17"/>
              </w:rPr>
              <w:t>A pattern in which variables change together; it does not by itself prove causation.</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Tableau Data Story Plan | Global E-Commerce &amp; Retail Sales</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3 | CRAFTING INTERACTIVE DATA STORIES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8727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