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VULNPULSE</w:t>
      </w:r>
    </w:p>
    <w:p>
      <w:pPr>
        <w:jc w:val="center"/>
      </w:pPr>
      <w:r>
        <w:rPr>
          <w:b/>
          <w:color w:val="243447"/>
          <w:sz w:val="36"/>
        </w:rPr>
        <w:t>Cyber Vulnerability Intelligence Lakehouse</w:t>
      </w:r>
    </w:p>
    <w:p>
      <w:pPr>
        <w:jc w:val="center"/>
      </w:pPr>
      <w:r>
        <w:rPr>
          <w:color w:val="5B6B7A"/>
          <w:sz w:val="24"/>
        </w:rPr>
        <w:t>Phase 1 Project Proposal | Data Analysis and Visualization</w:t>
      </w:r>
    </w:p>
    <w:p/>
    <w:tbl>
      <w:tblPr>
        <w:tblW w:type="auto" w:w="0"/>
        <w:jc w:val="center"/>
        <w:tblLook w:firstColumn="1" w:firstRow="1" w:lastColumn="0" w:lastRow="0" w:noHBand="0" w:noVBand="1" w:val="04A0"/>
      </w:tblPr>
      <w:tblGrid>
        <w:gridCol w:w="10224"/>
      </w:tblGrid>
      <w:tr>
        <w:tc>
          <w:tcPr>
            <w:tcW w:type="dxa" w:w="10224"/>
            <w:shd w:fill="EAF5E9"/>
            <w:tcBorders>
              <w:top w:val="single" w:sz="8" w:color="17365D"/>
              <w:left w:val="single" w:sz="8" w:color="17365D"/>
              <w:bottom w:val="single" w:sz="8" w:color="17365D"/>
              <w:right w:val="single" w:sz="8" w:color="17365D"/>
            </w:tcBorders>
          </w:tcPr>
          <w:p>
            <w:pPr>
              <w:spacing w:after="40"/>
            </w:pPr>
            <w:r>
              <w:rPr>
                <w:b/>
                <w:color w:val="17365D"/>
              </w:rPr>
              <w:t>Project proposition:</w:t>
            </w:r>
            <w:r>
              <w:t xml:space="preserve">  Build a storage-aware Apache Spark data pipeline that combines the National Vulnerability Database (NVD) with CISA Known Exploited Vulnerabilities (KEV) data, transforms them through Bronze/Silver/Gold layers, and delivers a security intelligence dashboard.</w:t>
            </w:r>
          </w:p>
        </w:tc>
      </w:tr>
    </w:tbl>
    <w:p>
      <w:pPr>
        <w:spacing w:after="40"/>
      </w:pP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5112"/>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Item</w:t>
            </w:r>
          </w:p>
        </w:tc>
        <w:tc>
          <w:tcPr>
            <w:tcW w:type="dxa" w:w="5112"/>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Planned value</w:t>
            </w:r>
          </w:p>
        </w:tc>
      </w:tr>
      <w:tr>
        <w:trPr>
          <w:cantSplit w:val="true"/>
        </w:trPr>
        <w:tc>
          <w:tcPr>
            <w:tcW w:type="dxa" w:w="5112"/>
            <w:shd w:fill="F7F9FB"/>
            <w:vAlign w:val="top"/>
            <w:tcBorders>
              <w:top w:val="single" w:sz="4" w:color="B8C7D9"/>
              <w:left w:val="single" w:sz="4" w:color="B8C7D9"/>
              <w:bottom w:val="single" w:sz="4" w:color="B8C7D9"/>
              <w:right w:val="single" w:sz="4" w:color="B8C7D9"/>
            </w:tcBorders>
          </w:tcPr>
          <w:p>
            <w:r>
              <w:rPr>
                <w:b/>
                <w:sz w:val="17"/>
              </w:rPr>
              <w:t>Team</w:t>
            </w:r>
          </w:p>
        </w:tc>
        <w:tc>
          <w:tcPr>
            <w:tcW w:type="dxa" w:w="5112"/>
            <w:shd w:fill="F7F9FB"/>
            <w:vAlign w:val="top"/>
            <w:tcBorders>
              <w:top w:val="single" w:sz="4" w:color="B8C7D9"/>
              <w:left w:val="single" w:sz="4" w:color="B8C7D9"/>
              <w:bottom w:val="single" w:sz="4" w:color="B8C7D9"/>
              <w:right w:val="single" w:sz="4" w:color="B8C7D9"/>
            </w:tcBorders>
          </w:tcPr>
          <w:p>
            <w:r>
              <w:rPr>
                <w:sz w:val="17"/>
              </w:rPr>
              <w:t>2 students</w:t>
            </w:r>
          </w:p>
        </w:tc>
      </w:tr>
      <w:tr>
        <w:trPr>
          <w:cantSplit w:val="true"/>
        </w:trPr>
        <w:tc>
          <w:tcPr>
            <w:tcW w:type="dxa" w:w="5112"/>
            <w:vAlign w:val="top"/>
            <w:tcBorders>
              <w:top w:val="single" w:sz="4" w:color="B8C7D9"/>
              <w:left w:val="single" w:sz="4" w:color="B8C7D9"/>
              <w:bottom w:val="single" w:sz="4" w:color="B8C7D9"/>
              <w:right w:val="single" w:sz="4" w:color="B8C7D9"/>
            </w:tcBorders>
          </w:tcPr>
          <w:p>
            <w:r>
              <w:rPr>
                <w:b/>
                <w:sz w:val="17"/>
              </w:rPr>
              <w:t>Primary platform</w:t>
            </w:r>
          </w:p>
        </w:tc>
        <w:tc>
          <w:tcPr>
            <w:tcW w:type="dxa" w:w="5112"/>
            <w:vAlign w:val="top"/>
            <w:tcBorders>
              <w:top w:val="single" w:sz="4" w:color="B8C7D9"/>
              <w:left w:val="single" w:sz="4" w:color="B8C7D9"/>
              <w:bottom w:val="single" w:sz="4" w:color="B8C7D9"/>
              <w:right w:val="single" w:sz="4" w:color="B8C7D9"/>
            </w:tcBorders>
          </w:tcPr>
          <w:p>
            <w:r>
              <w:rPr>
                <w:sz w:val="17"/>
              </w:rPr>
              <w:t>Databricks Free Edition (current replacement for legacy Community Edition)</w:t>
            </w:r>
          </w:p>
        </w:tc>
      </w:tr>
      <w:tr>
        <w:trPr>
          <w:cantSplit w:val="true"/>
        </w:trPr>
        <w:tc>
          <w:tcPr>
            <w:tcW w:type="dxa" w:w="5112"/>
            <w:shd w:fill="F7F9FB"/>
            <w:vAlign w:val="top"/>
            <w:tcBorders>
              <w:top w:val="single" w:sz="4" w:color="B8C7D9"/>
              <w:left w:val="single" w:sz="4" w:color="B8C7D9"/>
              <w:bottom w:val="single" w:sz="4" w:color="B8C7D9"/>
              <w:right w:val="single" w:sz="4" w:color="B8C7D9"/>
            </w:tcBorders>
          </w:tcPr>
          <w:p>
            <w:r>
              <w:rPr>
                <w:b/>
                <w:sz w:val="17"/>
              </w:rPr>
              <w:t>BI layer</w:t>
            </w:r>
          </w:p>
        </w:tc>
        <w:tc>
          <w:tcPr>
            <w:tcW w:type="dxa" w:w="5112"/>
            <w:shd w:fill="F7F9FB"/>
            <w:vAlign w:val="top"/>
            <w:tcBorders>
              <w:top w:val="single" w:sz="4" w:color="B8C7D9"/>
              <w:left w:val="single" w:sz="4" w:color="B8C7D9"/>
              <w:bottom w:val="single" w:sz="4" w:color="B8C7D9"/>
              <w:right w:val="single" w:sz="4" w:color="B8C7D9"/>
            </w:tcBorders>
          </w:tcPr>
          <w:p>
            <w:r>
              <w:rPr>
                <w:sz w:val="17"/>
              </w:rPr>
              <w:t>Power BI</w:t>
            </w:r>
          </w:p>
        </w:tc>
      </w:tr>
      <w:tr>
        <w:trPr>
          <w:cantSplit w:val="true"/>
        </w:trPr>
        <w:tc>
          <w:tcPr>
            <w:tcW w:type="dxa" w:w="5112"/>
            <w:vAlign w:val="top"/>
            <w:tcBorders>
              <w:top w:val="single" w:sz="4" w:color="B8C7D9"/>
              <w:left w:val="single" w:sz="4" w:color="B8C7D9"/>
              <w:bottom w:val="single" w:sz="4" w:color="B8C7D9"/>
              <w:right w:val="single" w:sz="4" w:color="B8C7D9"/>
            </w:tcBorders>
          </w:tcPr>
          <w:p>
            <w:r>
              <w:rPr>
                <w:b/>
                <w:sz w:val="17"/>
              </w:rPr>
              <w:t>Primary source</w:t>
            </w:r>
          </w:p>
        </w:tc>
        <w:tc>
          <w:tcPr>
            <w:tcW w:type="dxa" w:w="5112"/>
            <w:vAlign w:val="top"/>
            <w:tcBorders>
              <w:top w:val="single" w:sz="4" w:color="B8C7D9"/>
              <w:left w:val="single" w:sz="4" w:color="B8C7D9"/>
              <w:bottom w:val="single" w:sz="4" w:color="B8C7D9"/>
              <w:right w:val="single" w:sz="4" w:color="B8C7D9"/>
            </w:tcBorders>
          </w:tcPr>
          <w:p>
            <w:r>
              <w:rPr>
                <w:sz w:val="17"/>
              </w:rPr>
              <w:t>NVD 2.0 JSON feeds + NVD CVE API 2.0</w:t>
            </w:r>
          </w:p>
        </w:tc>
      </w:tr>
      <w:tr>
        <w:trPr>
          <w:cantSplit w:val="true"/>
        </w:trPr>
        <w:tc>
          <w:tcPr>
            <w:tcW w:type="dxa" w:w="5112"/>
            <w:shd w:fill="F7F9FB"/>
            <w:vAlign w:val="top"/>
            <w:tcBorders>
              <w:top w:val="single" w:sz="4" w:color="B8C7D9"/>
              <w:left w:val="single" w:sz="4" w:color="B8C7D9"/>
              <w:bottom w:val="single" w:sz="4" w:color="B8C7D9"/>
              <w:right w:val="single" w:sz="4" w:color="B8C7D9"/>
            </w:tcBorders>
          </w:tcPr>
          <w:p>
            <w:r>
              <w:rPr>
                <w:b/>
                <w:sz w:val="17"/>
              </w:rPr>
              <w:t>Enrichment</w:t>
            </w:r>
          </w:p>
        </w:tc>
        <w:tc>
          <w:tcPr>
            <w:tcW w:type="dxa" w:w="5112"/>
            <w:shd w:fill="F7F9FB"/>
            <w:vAlign w:val="top"/>
            <w:tcBorders>
              <w:top w:val="single" w:sz="4" w:color="B8C7D9"/>
              <w:left w:val="single" w:sz="4" w:color="B8C7D9"/>
              <w:bottom w:val="single" w:sz="4" w:color="B8C7D9"/>
              <w:right w:val="single" w:sz="4" w:color="B8C7D9"/>
            </w:tcBorders>
          </w:tcPr>
          <w:p>
            <w:r>
              <w:rPr>
                <w:sz w:val="17"/>
              </w:rPr>
              <w:t>CISA Known Exploited Vulnerabilities (KEV)</w:t>
            </w:r>
          </w:p>
        </w:tc>
      </w:tr>
      <w:tr>
        <w:trPr>
          <w:cantSplit w:val="true"/>
        </w:trPr>
        <w:tc>
          <w:tcPr>
            <w:tcW w:type="dxa" w:w="5112"/>
            <w:vAlign w:val="top"/>
            <w:tcBorders>
              <w:top w:val="single" w:sz="4" w:color="B8C7D9"/>
              <w:left w:val="single" w:sz="4" w:color="B8C7D9"/>
              <w:bottom w:val="single" w:sz="4" w:color="B8C7D9"/>
              <w:right w:val="single" w:sz="4" w:color="B8C7D9"/>
            </w:tcBorders>
          </w:tcPr>
          <w:p>
            <w:r>
              <w:rPr>
                <w:b/>
                <w:sz w:val="17"/>
              </w:rPr>
              <w:t>Historical baseline</w:t>
            </w:r>
          </w:p>
        </w:tc>
        <w:tc>
          <w:tcPr>
            <w:tcW w:type="dxa" w:w="5112"/>
            <w:vAlign w:val="top"/>
            <w:tcBorders>
              <w:top w:val="single" w:sz="4" w:color="B8C7D9"/>
              <w:left w:val="single" w:sz="4" w:color="B8C7D9"/>
              <w:bottom w:val="single" w:sz="4" w:color="B8C7D9"/>
              <w:right w:val="single" w:sz="4" w:color="B8C7D9"/>
            </w:tcBorders>
          </w:tcPr>
          <w:p>
            <w:r>
              <w:rPr>
                <w:sz w:val="17"/>
              </w:rPr>
              <w:t>2020-2026 NVD yearly feeds</w:t>
            </w:r>
          </w:p>
        </w:tc>
      </w:tr>
      <w:tr>
        <w:trPr>
          <w:cantSplit w:val="true"/>
        </w:trPr>
        <w:tc>
          <w:tcPr>
            <w:tcW w:type="dxa" w:w="5112"/>
            <w:shd w:fill="F7F9FB"/>
            <w:vAlign w:val="top"/>
            <w:tcBorders>
              <w:top w:val="single" w:sz="4" w:color="B8C7D9"/>
              <w:left w:val="single" w:sz="4" w:color="B8C7D9"/>
              <w:bottom w:val="single" w:sz="4" w:color="B8C7D9"/>
              <w:right w:val="single" w:sz="4" w:color="B8C7D9"/>
            </w:tcBorders>
          </w:tcPr>
          <w:p>
            <w:r>
              <w:rPr>
                <w:b/>
                <w:sz w:val="17"/>
              </w:rPr>
              <w:t>Incremental pattern</w:t>
            </w:r>
          </w:p>
        </w:tc>
        <w:tc>
          <w:tcPr>
            <w:tcW w:type="dxa" w:w="5112"/>
            <w:shd w:fill="F7F9FB"/>
            <w:vAlign w:val="top"/>
            <w:tcBorders>
              <w:top w:val="single" w:sz="4" w:color="B8C7D9"/>
              <w:left w:val="single" w:sz="4" w:color="B8C7D9"/>
              <w:bottom w:val="single" w:sz="4" w:color="B8C7D9"/>
              <w:right w:val="single" w:sz="4" w:color="B8C7D9"/>
            </w:tcBorders>
          </w:tcPr>
          <w:p>
            <w:r>
              <w:rPr>
                <w:sz w:val="17"/>
              </w:rPr>
              <w:t>Watermark-driven NVD API query on `lastModified`</w:t>
            </w:r>
          </w:p>
        </w:tc>
      </w:tr>
      <w:tr>
        <w:trPr>
          <w:cantSplit w:val="true"/>
        </w:trPr>
        <w:tc>
          <w:tcPr>
            <w:tcW w:type="dxa" w:w="5112"/>
            <w:vAlign w:val="top"/>
            <w:tcBorders>
              <w:top w:val="single" w:sz="4" w:color="B8C7D9"/>
              <w:left w:val="single" w:sz="4" w:color="B8C7D9"/>
              <w:bottom w:val="single" w:sz="4" w:color="B8C7D9"/>
              <w:right w:val="single" w:sz="4" w:color="B8C7D9"/>
            </w:tcBorders>
          </w:tcPr>
          <w:p>
            <w:r>
              <w:rPr>
                <w:b/>
                <w:sz w:val="17"/>
              </w:rPr>
              <w:t>GitHub</w:t>
            </w:r>
          </w:p>
        </w:tc>
        <w:tc>
          <w:tcPr>
            <w:tcW w:type="dxa" w:w="5112"/>
            <w:vAlign w:val="top"/>
            <w:tcBorders>
              <w:top w:val="single" w:sz="4" w:color="B8C7D9"/>
              <w:left w:val="single" w:sz="4" w:color="B8C7D9"/>
              <w:bottom w:val="single" w:sz="4" w:color="B8C7D9"/>
              <w:right w:val="single" w:sz="4" w:color="B8C7D9"/>
            </w:tcBorders>
          </w:tcPr>
          <w:p>
            <w:r>
              <w:rPr>
                <w:sz w:val="17"/>
              </w:rPr>
              <w:t>https://github.com/kashishfatima999/VulnPulse</w:t>
            </w:r>
          </w:p>
        </w:tc>
      </w:tr>
      <w:tr>
        <w:trPr>
          <w:cantSplit w:val="true"/>
        </w:trPr>
        <w:tc>
          <w:tcPr>
            <w:tcW w:type="dxa" w:w="5112"/>
            <w:shd w:fill="F7F9FB"/>
            <w:vAlign w:val="top"/>
            <w:tcBorders>
              <w:top w:val="single" w:sz="4" w:color="B8C7D9"/>
              <w:left w:val="single" w:sz="4" w:color="B8C7D9"/>
              <w:bottom w:val="single" w:sz="4" w:color="B8C7D9"/>
              <w:right w:val="single" w:sz="4" w:color="B8C7D9"/>
            </w:tcBorders>
          </w:tcPr>
          <w:p>
            <w:r>
              <w:rPr>
                <w:b/>
                <w:sz w:val="17"/>
              </w:rPr>
              <w:t>Phase 2 target date</w:t>
            </w:r>
          </w:p>
        </w:tc>
        <w:tc>
          <w:tcPr>
            <w:tcW w:type="dxa" w:w="5112"/>
            <w:shd w:fill="F7F9FB"/>
            <w:vAlign w:val="top"/>
            <w:tcBorders>
              <w:top w:val="single" w:sz="4" w:color="B8C7D9"/>
              <w:left w:val="single" w:sz="4" w:color="B8C7D9"/>
              <w:bottom w:val="single" w:sz="4" w:color="B8C7D9"/>
              <w:right w:val="single" w:sz="4" w:color="B8C7D9"/>
            </w:tcBorders>
          </w:tcPr>
          <w:p>
            <w:r>
              <w:rPr>
                <w:sz w:val="17"/>
              </w:rPr>
              <w:t>10 October 2026</w:t>
            </w:r>
          </w:p>
        </w:tc>
      </w:tr>
      <w:tr>
        <w:trPr>
          <w:cantSplit w:val="true"/>
        </w:trPr>
        <w:tc>
          <w:tcPr>
            <w:tcW w:type="dxa" w:w="5112"/>
            <w:vAlign w:val="top"/>
            <w:tcBorders>
              <w:top w:val="single" w:sz="4" w:color="B8C7D9"/>
              <w:left w:val="single" w:sz="4" w:color="B8C7D9"/>
              <w:bottom w:val="single" w:sz="4" w:color="B8C7D9"/>
              <w:right w:val="single" w:sz="4" w:color="B8C7D9"/>
            </w:tcBorders>
          </w:tcPr>
          <w:p>
            <w:r>
              <w:rPr>
                <w:b/>
                <w:sz w:val="17"/>
              </w:rPr>
              <w:t>Phase 3 target date</w:t>
            </w:r>
          </w:p>
        </w:tc>
        <w:tc>
          <w:tcPr>
            <w:tcW w:type="dxa" w:w="5112"/>
            <w:vAlign w:val="top"/>
            <w:tcBorders>
              <w:top w:val="single" w:sz="4" w:color="B8C7D9"/>
              <w:left w:val="single" w:sz="4" w:color="B8C7D9"/>
              <w:bottom w:val="single" w:sz="4" w:color="B8C7D9"/>
              <w:right w:val="single" w:sz="4" w:color="B8C7D9"/>
            </w:tcBorders>
          </w:tcPr>
          <w:p>
            <w:r>
              <w:rPr>
                <w:sz w:val="17"/>
              </w:rPr>
              <w:t>24 October 2026</w:t>
            </w:r>
          </w:p>
        </w:tc>
      </w:tr>
    </w:tbl>
    <w:p>
      <w:pPr>
        <w:jc w:val="center"/>
      </w:pPr>
      <w:r>
        <w:t>Prepared for Phase 1 submission | Design baseline date: 25 September 2026</w:t>
      </w:r>
    </w:p>
    <w:p>
      <w:r>
        <w:br w:type="page"/>
      </w:r>
    </w:p>
    <w:p>
      <w:pPr>
        <w:pStyle w:val="Heading1"/>
      </w:pPr>
      <w:r>
        <w:t>1. Executive Summary</w:t>
      </w:r>
    </w:p>
    <w:p>
      <w:r>
        <w:t>VulnPulse is an end-to-end vulnerability intelligence data platform designed as a practical Data Engineering workload rather than a static analytics exercise. It will ingest a historical baseline from NVD, process subsequent vulnerability changes incrementally, enrich the records with CISA KEV exploitation-status metadata, and produce compact analytical datasets for Power BI.</w:t>
      </w:r>
    </w:p>
    <w:p>
      <w:r>
        <w:t>The project is deliberately scoped so Apache Spark is justified by nested JSON, large historical records, multi-source joins, schema normalization and incremental processing, while persistent storage remains controlled. Full NVD feeds are not stored in GitHub and are not repeatedly reprocessed after the initial baseline. The repository stores only small source excerpts required for reproducibility and Phase 1 evidence.</w:t>
      </w:r>
    </w:p>
    <w:tbl>
      <w:tblPr>
        <w:tblW w:type="auto" w:w="0"/>
        <w:jc w:val="center"/>
        <w:tblLook w:firstColumn="1" w:firstRow="1" w:lastColumn="0" w:lastRow="0" w:noHBand="0" w:noVBand="1" w:val="04A0"/>
      </w:tblPr>
      <w:tblGrid>
        <w:gridCol w:w="10224"/>
      </w:tblGrid>
      <w:tr>
        <w:tc>
          <w:tcPr>
            <w:tcW w:type="dxa" w:w="10224"/>
            <w:shd w:fill="EAF2F8"/>
            <w:tcBorders>
              <w:top w:val="single" w:sz="8" w:color="17365D"/>
              <w:left w:val="single" w:sz="8" w:color="17365D"/>
              <w:bottom w:val="single" w:sz="8" w:color="17365D"/>
              <w:right w:val="single" w:sz="8" w:color="17365D"/>
            </w:tcBorders>
          </w:tcPr>
          <w:p>
            <w:pPr>
              <w:spacing w:after="40"/>
            </w:pPr>
            <w:r>
              <w:rPr>
                <w:b/>
                <w:color w:val="17365D"/>
              </w:rPr>
              <w:t>Stand-out engineering feature:</w:t>
            </w:r>
            <w:r>
              <w:t xml:space="preserve">  A pipeline audit/data-quality layer will record batch size, accepted/rejected records, checksums, watermarks and processing outcomes. This demonstrates observability and operational thinking in addition to dashboard building.</w:t>
            </w:r>
          </w:p>
        </w:tc>
      </w:tr>
    </w:tbl>
    <w:p>
      <w:pPr>
        <w:spacing w:after="40"/>
      </w:pPr>
    </w:p>
    <w:p>
      <w:pPr>
        <w:pStyle w:val="Heading1"/>
      </w:pPr>
      <w:r>
        <w:t>2. Domain and Project Concept</w:t>
      </w:r>
    </w:p>
    <w:p>
      <w:r>
        <w:t>Domain: Cybersecurity vulnerability intelligence.</w:t>
      </w:r>
    </w:p>
    <w:p>
      <w:pPr>
        <w:pStyle w:val="Heading2"/>
      </w:pPr>
      <w:r>
        <w:t>2.1 Problem Statement</w:t>
      </w:r>
    </w:p>
    <w:p>
      <w:r>
        <w:t>Organizations receive vulnerability information from continuously changing public sources. A useful analytical system must distinguish a historical baseline from newly created or modified records, standardize inconsistent nested structures, identify affected vendors/products and prioritize vulnerabilities that are known to be exploited in the wild. VulnPulse turns these raw feeds into structured security intelligence.</w:t>
      </w:r>
    </w:p>
    <w:p>
      <w:pPr>
        <w:pStyle w:val="Heading2"/>
      </w:pPr>
      <w:r>
        <w:t>2.2 Project Objectives</w:t>
      </w:r>
    </w:p>
    <w:p>
      <w:pPr>
        <w:pStyle w:val="ListBullet"/>
        <w:spacing w:after="40"/>
      </w:pPr>
      <w:r>
        <w:rPr>
          <w:b/>
        </w:rPr>
        <w:t xml:space="preserve">Build a reproducible full-load pipeline. </w:t>
      </w:r>
      <w:r>
        <w:t>Load a controlled 2020-2026 NVD historical baseline.</w:t>
      </w:r>
    </w:p>
    <w:p>
      <w:pPr>
        <w:pStyle w:val="ListBullet"/>
        <w:spacing w:after="40"/>
      </w:pPr>
      <w:r>
        <w:rPr>
          <w:b/>
        </w:rPr>
        <w:t xml:space="preserve">Build a true incremental pipeline. </w:t>
      </w:r>
      <w:r>
        <w:t>Use NVD `lastModified` date filtering with a persisted watermark so only changed records are fetched after the baseline.</w:t>
      </w:r>
    </w:p>
    <w:p>
      <w:pPr>
        <w:pStyle w:val="ListBullet"/>
        <w:spacing w:after="40"/>
      </w:pPr>
      <w:r>
        <w:rPr>
          <w:b/>
        </w:rPr>
        <w:t xml:space="preserve">Integrate a second public source. </w:t>
      </w:r>
      <w:r>
        <w:t>Join CISA KEV data to identify vulnerabilities known to have been exploited in the wild.</w:t>
      </w:r>
    </w:p>
    <w:p>
      <w:pPr>
        <w:pStyle w:val="ListBullet"/>
        <w:spacing w:after="40"/>
      </w:pPr>
      <w:r>
        <w:rPr>
          <w:b/>
        </w:rPr>
        <w:t xml:space="preserve">Apply Medallion Architecture. </w:t>
      </w:r>
      <w:r>
        <w:t>Preserve source fidelity in Bronze, normalize in Silver, and create analyst-ready Gold datasets.</w:t>
      </w:r>
    </w:p>
    <w:p>
      <w:pPr>
        <w:pStyle w:val="ListBullet"/>
        <w:spacing w:after="40"/>
      </w:pPr>
      <w:r>
        <w:rPr>
          <w:b/>
        </w:rPr>
        <w:t xml:space="preserve">Produce useful BI. </w:t>
      </w:r>
      <w:r>
        <w:t>Answer vendor, severity, weakness and exploitation-priority questions in Power BI.</w:t>
      </w:r>
    </w:p>
    <w:p>
      <w:pPr>
        <w:pStyle w:val="Heading1"/>
      </w:pPr>
      <w:r>
        <w:t>3. Data Sources and Exact References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val="true"/>
        </w:trPr>
        <w:tc>
          <w:tcPr>
            <w:tcW w:type="dxa" w:w="2556"/>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Source</w:t>
            </w:r>
          </w:p>
        </w:tc>
        <w:tc>
          <w:tcPr>
            <w:tcW w:type="dxa" w:w="2556"/>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Purpose</w:t>
            </w:r>
          </w:p>
        </w:tc>
        <w:tc>
          <w:tcPr>
            <w:tcW w:type="dxa" w:w="2556"/>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Exact reference</w:t>
            </w:r>
          </w:p>
        </w:tc>
        <w:tc>
          <w:tcPr>
            <w:tcW w:type="dxa" w:w="2556"/>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Load role</w:t>
            </w:r>
          </w:p>
        </w:tc>
      </w:tr>
      <w:tr>
        <w:trPr>
          <w:cantSplit w:val="true"/>
        </w:trPr>
        <w:tc>
          <w:tcPr>
            <w:tcW w:type="dxa" w:w="2556"/>
            <w:shd w:fill="F7F9FB"/>
            <w:vAlign w:val="top"/>
            <w:tcBorders>
              <w:top w:val="single" w:sz="4" w:color="B8C7D9"/>
              <w:left w:val="single" w:sz="4" w:color="B8C7D9"/>
              <w:bottom w:val="single" w:sz="4" w:color="B8C7D9"/>
              <w:right w:val="single" w:sz="4" w:color="B8C7D9"/>
            </w:tcBorders>
          </w:tcPr>
          <w:p>
            <w:r>
              <w:rPr>
                <w:sz w:val="17"/>
              </w:rPr>
              <w:t>NVD</w:t>
            </w:r>
          </w:p>
        </w:tc>
        <w:tc>
          <w:tcPr>
            <w:tcW w:type="dxa" w:w="2556"/>
            <w:shd w:fill="F7F9FB"/>
            <w:vAlign w:val="top"/>
            <w:tcBorders>
              <w:top w:val="single" w:sz="4" w:color="B8C7D9"/>
              <w:left w:val="single" w:sz="4" w:color="B8C7D9"/>
              <w:bottom w:val="single" w:sz="4" w:color="B8C7D9"/>
              <w:right w:val="single" w:sz="4" w:color="B8C7D9"/>
            </w:tcBorders>
          </w:tcPr>
          <w:p>
            <w:r>
              <w:rPr>
                <w:sz w:val="17"/>
              </w:rPr>
              <w:t>Core vulnerability records, CVSS, CWE, affected software, dates, references</w:t>
            </w:r>
          </w:p>
        </w:tc>
        <w:tc>
          <w:tcPr>
            <w:tcW w:type="dxa" w:w="2556"/>
            <w:shd w:fill="F7F9FB"/>
            <w:vAlign w:val="top"/>
            <w:tcBorders>
              <w:top w:val="single" w:sz="4" w:color="B8C7D9"/>
              <w:left w:val="single" w:sz="4" w:color="B8C7D9"/>
              <w:bottom w:val="single" w:sz="4" w:color="B8C7D9"/>
              <w:right w:val="single" w:sz="4" w:color="B8C7D9"/>
            </w:tcBorders>
          </w:tcPr>
          <w:p>
            <w:r>
              <w:rPr>
                <w:sz w:val="17"/>
              </w:rPr>
              <w:t>https://nvd.nist.gov/</w:t>
            </w:r>
          </w:p>
        </w:tc>
        <w:tc>
          <w:tcPr>
            <w:tcW w:type="dxa" w:w="2556"/>
            <w:shd w:fill="F7F9FB"/>
            <w:vAlign w:val="top"/>
            <w:tcBorders>
              <w:top w:val="single" w:sz="4" w:color="B8C7D9"/>
              <w:left w:val="single" w:sz="4" w:color="B8C7D9"/>
              <w:bottom w:val="single" w:sz="4" w:color="B8C7D9"/>
              <w:right w:val="single" w:sz="4" w:color="B8C7D9"/>
            </w:tcBorders>
          </w:tcPr>
          <w:p>
            <w:r>
              <w:rPr>
                <w:sz w:val="17"/>
              </w:rPr>
              <w:t>Primary</w:t>
            </w:r>
          </w:p>
        </w:tc>
      </w:tr>
      <w:tr>
        <w:trPr>
          <w:cantSplit w:val="true"/>
        </w:trPr>
        <w:tc>
          <w:tcPr>
            <w:tcW w:type="dxa" w:w="2556"/>
            <w:vAlign w:val="top"/>
            <w:tcBorders>
              <w:top w:val="single" w:sz="4" w:color="B8C7D9"/>
              <w:left w:val="single" w:sz="4" w:color="B8C7D9"/>
              <w:bottom w:val="single" w:sz="4" w:color="B8C7D9"/>
              <w:right w:val="single" w:sz="4" w:color="B8C7D9"/>
            </w:tcBorders>
          </w:tcPr>
          <w:p>
            <w:r>
              <w:rPr>
                <w:sz w:val="17"/>
              </w:rPr>
              <w:t>NVD 2.0 feeds</w:t>
            </w:r>
          </w:p>
        </w:tc>
        <w:tc>
          <w:tcPr>
            <w:tcW w:type="dxa" w:w="2556"/>
            <w:vAlign w:val="top"/>
            <w:tcBorders>
              <w:top w:val="single" w:sz="4" w:color="B8C7D9"/>
              <w:left w:val="single" w:sz="4" w:color="B8C7D9"/>
              <w:bottom w:val="single" w:sz="4" w:color="B8C7D9"/>
              <w:right w:val="single" w:sz="4" w:color="B8C7D9"/>
            </w:tcBorders>
          </w:tcPr>
          <w:p>
            <w:r>
              <w:rPr>
                <w:sz w:val="17"/>
              </w:rPr>
              <w:t>Historical yearly JSON 2.0 feeds</w:t>
            </w:r>
          </w:p>
        </w:tc>
        <w:tc>
          <w:tcPr>
            <w:tcW w:type="dxa" w:w="2556"/>
            <w:vAlign w:val="top"/>
            <w:tcBorders>
              <w:top w:val="single" w:sz="4" w:color="B8C7D9"/>
              <w:left w:val="single" w:sz="4" w:color="B8C7D9"/>
              <w:bottom w:val="single" w:sz="4" w:color="B8C7D9"/>
              <w:right w:val="single" w:sz="4" w:color="B8C7D9"/>
            </w:tcBorders>
          </w:tcPr>
          <w:p>
            <w:r>
              <w:rPr>
                <w:sz w:val="17"/>
              </w:rPr>
              <w:t>https://nvd.nist.gov/feeds/json/cve/2.0/</w:t>
            </w:r>
          </w:p>
        </w:tc>
        <w:tc>
          <w:tcPr>
            <w:tcW w:type="dxa" w:w="2556"/>
            <w:vAlign w:val="top"/>
            <w:tcBorders>
              <w:top w:val="single" w:sz="4" w:color="B8C7D9"/>
              <w:left w:val="single" w:sz="4" w:color="B8C7D9"/>
              <w:bottom w:val="single" w:sz="4" w:color="B8C7D9"/>
              <w:right w:val="single" w:sz="4" w:color="B8C7D9"/>
            </w:tcBorders>
          </w:tcPr>
          <w:p>
            <w:r>
              <w:rPr>
                <w:sz w:val="17"/>
              </w:rPr>
              <w:t>Full load</w:t>
            </w:r>
          </w:p>
        </w:tc>
      </w:tr>
      <w:tr>
        <w:trPr>
          <w:cantSplit w:val="true"/>
        </w:trPr>
        <w:tc>
          <w:tcPr>
            <w:tcW w:type="dxa" w:w="2556"/>
            <w:shd w:fill="F7F9FB"/>
            <w:vAlign w:val="top"/>
            <w:tcBorders>
              <w:top w:val="single" w:sz="4" w:color="B8C7D9"/>
              <w:left w:val="single" w:sz="4" w:color="B8C7D9"/>
              <w:bottom w:val="single" w:sz="4" w:color="B8C7D9"/>
              <w:right w:val="single" w:sz="4" w:color="B8C7D9"/>
            </w:tcBorders>
          </w:tcPr>
          <w:p>
            <w:r>
              <w:rPr>
                <w:sz w:val="17"/>
              </w:rPr>
              <w:t>NVD CVE API 2.0</w:t>
            </w:r>
          </w:p>
        </w:tc>
        <w:tc>
          <w:tcPr>
            <w:tcW w:type="dxa" w:w="2556"/>
            <w:shd w:fill="F7F9FB"/>
            <w:vAlign w:val="top"/>
            <w:tcBorders>
              <w:top w:val="single" w:sz="4" w:color="B8C7D9"/>
              <w:left w:val="single" w:sz="4" w:color="B8C7D9"/>
              <w:bottom w:val="single" w:sz="4" w:color="B8C7D9"/>
              <w:right w:val="single" w:sz="4" w:color="B8C7D9"/>
            </w:tcBorders>
          </w:tcPr>
          <w:p>
            <w:r>
              <w:rPr>
                <w:sz w:val="17"/>
              </w:rPr>
              <w:t>Date-filtered CVE updates using `lastModStartDate`/`lastModEndDate`</w:t>
            </w:r>
          </w:p>
        </w:tc>
        <w:tc>
          <w:tcPr>
            <w:tcW w:type="dxa" w:w="2556"/>
            <w:shd w:fill="F7F9FB"/>
            <w:vAlign w:val="top"/>
            <w:tcBorders>
              <w:top w:val="single" w:sz="4" w:color="B8C7D9"/>
              <w:left w:val="single" w:sz="4" w:color="B8C7D9"/>
              <w:bottom w:val="single" w:sz="4" w:color="B8C7D9"/>
              <w:right w:val="single" w:sz="4" w:color="B8C7D9"/>
            </w:tcBorders>
          </w:tcPr>
          <w:p>
            <w:r>
              <w:rPr>
                <w:sz w:val="17"/>
              </w:rPr>
              <w:t>https://services.nvd.nist.gov/rest/json/cves/2.0</w:t>
            </w:r>
          </w:p>
        </w:tc>
        <w:tc>
          <w:tcPr>
            <w:tcW w:type="dxa" w:w="2556"/>
            <w:shd w:fill="F7F9FB"/>
            <w:vAlign w:val="top"/>
            <w:tcBorders>
              <w:top w:val="single" w:sz="4" w:color="B8C7D9"/>
              <w:left w:val="single" w:sz="4" w:color="B8C7D9"/>
              <w:bottom w:val="single" w:sz="4" w:color="B8C7D9"/>
              <w:right w:val="single" w:sz="4" w:color="B8C7D9"/>
            </w:tcBorders>
          </w:tcPr>
          <w:p>
            <w:r>
              <w:rPr>
                <w:sz w:val="17"/>
              </w:rPr>
              <w:t>Incremental</w:t>
            </w:r>
          </w:p>
        </w:tc>
      </w:tr>
      <w:tr>
        <w:trPr>
          <w:cantSplit w:val="true"/>
        </w:trPr>
        <w:tc>
          <w:tcPr>
            <w:tcW w:type="dxa" w:w="2556"/>
            <w:vAlign w:val="top"/>
            <w:tcBorders>
              <w:top w:val="single" w:sz="4" w:color="B8C7D9"/>
              <w:left w:val="single" w:sz="4" w:color="B8C7D9"/>
              <w:bottom w:val="single" w:sz="4" w:color="B8C7D9"/>
              <w:right w:val="single" w:sz="4" w:color="B8C7D9"/>
            </w:tcBorders>
          </w:tcPr>
          <w:p>
            <w:r>
              <w:rPr>
                <w:sz w:val="17"/>
              </w:rPr>
              <w:t>NVD developer documentation</w:t>
            </w:r>
          </w:p>
        </w:tc>
        <w:tc>
          <w:tcPr>
            <w:tcW w:type="dxa" w:w="2556"/>
            <w:vAlign w:val="top"/>
            <w:tcBorders>
              <w:top w:val="single" w:sz="4" w:color="B8C7D9"/>
              <w:left w:val="single" w:sz="4" w:color="B8C7D9"/>
              <w:bottom w:val="single" w:sz="4" w:color="B8C7D9"/>
              <w:right w:val="single" w:sz="4" w:color="B8C7D9"/>
            </w:tcBorders>
          </w:tcPr>
          <w:p>
            <w:r>
              <w:rPr>
                <w:sz w:val="17"/>
              </w:rPr>
              <w:t>API parameters and response model</w:t>
            </w:r>
          </w:p>
        </w:tc>
        <w:tc>
          <w:tcPr>
            <w:tcW w:type="dxa" w:w="2556"/>
            <w:vAlign w:val="top"/>
            <w:tcBorders>
              <w:top w:val="single" w:sz="4" w:color="B8C7D9"/>
              <w:left w:val="single" w:sz="4" w:color="B8C7D9"/>
              <w:bottom w:val="single" w:sz="4" w:color="B8C7D9"/>
              <w:right w:val="single" w:sz="4" w:color="B8C7D9"/>
            </w:tcBorders>
          </w:tcPr>
          <w:p>
            <w:r>
              <w:rPr>
                <w:sz w:val="17"/>
              </w:rPr>
              <w:t>https://nvd.nist.gov/developers/vulnerabilities</w:t>
            </w:r>
          </w:p>
        </w:tc>
        <w:tc>
          <w:tcPr>
            <w:tcW w:type="dxa" w:w="2556"/>
            <w:vAlign w:val="top"/>
            <w:tcBorders>
              <w:top w:val="single" w:sz="4" w:color="B8C7D9"/>
              <w:left w:val="single" w:sz="4" w:color="B8C7D9"/>
              <w:bottom w:val="single" w:sz="4" w:color="B8C7D9"/>
              <w:right w:val="single" w:sz="4" w:color="B8C7D9"/>
            </w:tcBorders>
          </w:tcPr>
          <w:p>
            <w:r>
              <w:rPr>
                <w:sz w:val="17"/>
              </w:rPr>
              <w:t>Technical reference</w:t>
            </w:r>
          </w:p>
        </w:tc>
      </w:tr>
      <w:tr>
        <w:trPr>
          <w:cantSplit w:val="true"/>
        </w:trPr>
        <w:tc>
          <w:tcPr>
            <w:tcW w:type="dxa" w:w="2556"/>
            <w:shd w:fill="F7F9FB"/>
            <w:vAlign w:val="top"/>
            <w:tcBorders>
              <w:top w:val="single" w:sz="4" w:color="B8C7D9"/>
              <w:left w:val="single" w:sz="4" w:color="B8C7D9"/>
              <w:bottom w:val="single" w:sz="4" w:color="B8C7D9"/>
              <w:right w:val="single" w:sz="4" w:color="B8C7D9"/>
            </w:tcBorders>
          </w:tcPr>
          <w:p>
            <w:r>
              <w:rPr>
                <w:sz w:val="17"/>
              </w:rPr>
              <w:t>CISA KEV</w:t>
            </w:r>
          </w:p>
        </w:tc>
        <w:tc>
          <w:tcPr>
            <w:tcW w:type="dxa" w:w="2556"/>
            <w:shd w:fill="F7F9FB"/>
            <w:vAlign w:val="top"/>
            <w:tcBorders>
              <w:top w:val="single" w:sz="4" w:color="B8C7D9"/>
              <w:left w:val="single" w:sz="4" w:color="B8C7D9"/>
              <w:bottom w:val="single" w:sz="4" w:color="B8C7D9"/>
              <w:right w:val="single" w:sz="4" w:color="B8C7D9"/>
            </w:tcBorders>
          </w:tcPr>
          <w:p>
            <w:r>
              <w:rPr>
                <w:sz w:val="17"/>
              </w:rPr>
              <w:t>Known-exploited enrichment, date added, due date, ransomware association, action</w:t>
            </w:r>
          </w:p>
        </w:tc>
        <w:tc>
          <w:tcPr>
            <w:tcW w:type="dxa" w:w="2556"/>
            <w:shd w:fill="F7F9FB"/>
            <w:vAlign w:val="top"/>
            <w:tcBorders>
              <w:top w:val="single" w:sz="4" w:color="B8C7D9"/>
              <w:left w:val="single" w:sz="4" w:color="B8C7D9"/>
              <w:bottom w:val="single" w:sz="4" w:color="B8C7D9"/>
              <w:right w:val="single" w:sz="4" w:color="B8C7D9"/>
            </w:tcBorders>
          </w:tcPr>
          <w:p>
            <w:r>
              <w:rPr>
                <w:sz w:val="17"/>
              </w:rPr>
              <w:t>https://www.cisa.gov/known-exploited-vulnerabilities-catalog</w:t>
            </w:r>
          </w:p>
        </w:tc>
        <w:tc>
          <w:tcPr>
            <w:tcW w:type="dxa" w:w="2556"/>
            <w:shd w:fill="F7F9FB"/>
            <w:vAlign w:val="top"/>
            <w:tcBorders>
              <w:top w:val="single" w:sz="4" w:color="B8C7D9"/>
              <w:left w:val="single" w:sz="4" w:color="B8C7D9"/>
              <w:bottom w:val="single" w:sz="4" w:color="B8C7D9"/>
              <w:right w:val="single" w:sz="4" w:color="B8C7D9"/>
            </w:tcBorders>
          </w:tcPr>
          <w:p>
            <w:r>
              <w:rPr>
                <w:sz w:val="17"/>
              </w:rPr>
              <w:t>Enrichment</w:t>
            </w:r>
          </w:p>
        </w:tc>
      </w:tr>
      <w:tr>
        <w:trPr>
          <w:cantSplit w:val="true"/>
        </w:trPr>
        <w:tc>
          <w:tcPr>
            <w:tcW w:type="dxa" w:w="2556"/>
            <w:vAlign w:val="top"/>
            <w:tcBorders>
              <w:top w:val="single" w:sz="4" w:color="B8C7D9"/>
              <w:left w:val="single" w:sz="4" w:color="B8C7D9"/>
              <w:bottom w:val="single" w:sz="4" w:color="B8C7D9"/>
              <w:right w:val="single" w:sz="4" w:color="B8C7D9"/>
            </w:tcBorders>
          </w:tcPr>
          <w:p>
            <w:r>
              <w:rPr>
                <w:sz w:val="17"/>
              </w:rPr>
              <w:t>CISA KEV JSON</w:t>
            </w:r>
          </w:p>
        </w:tc>
        <w:tc>
          <w:tcPr>
            <w:tcW w:type="dxa" w:w="2556"/>
            <w:vAlign w:val="top"/>
            <w:tcBorders>
              <w:top w:val="single" w:sz="4" w:color="B8C7D9"/>
              <w:left w:val="single" w:sz="4" w:color="B8C7D9"/>
              <w:bottom w:val="single" w:sz="4" w:color="B8C7D9"/>
              <w:right w:val="single" w:sz="4" w:color="B8C7D9"/>
            </w:tcBorders>
          </w:tcPr>
          <w:p>
            <w:r>
              <w:rPr>
                <w:sz w:val="17"/>
              </w:rPr>
              <w:t>Machine-readable KEV feed</w:t>
            </w:r>
          </w:p>
        </w:tc>
        <w:tc>
          <w:tcPr>
            <w:tcW w:type="dxa" w:w="2556"/>
            <w:vAlign w:val="top"/>
            <w:tcBorders>
              <w:top w:val="single" w:sz="4" w:color="B8C7D9"/>
              <w:left w:val="single" w:sz="4" w:color="B8C7D9"/>
              <w:bottom w:val="single" w:sz="4" w:color="B8C7D9"/>
              <w:right w:val="single" w:sz="4" w:color="B8C7D9"/>
            </w:tcBorders>
          </w:tcPr>
          <w:p>
            <w:r>
              <w:rPr>
                <w:sz w:val="17"/>
              </w:rPr>
              <w:t>https://www.cisa.gov/sites/default/files/feeds/known_exploited_vulnerabilities.json</w:t>
            </w:r>
          </w:p>
        </w:tc>
        <w:tc>
          <w:tcPr>
            <w:tcW w:type="dxa" w:w="2556"/>
            <w:vAlign w:val="top"/>
            <w:tcBorders>
              <w:top w:val="single" w:sz="4" w:color="B8C7D9"/>
              <w:left w:val="single" w:sz="4" w:color="B8C7D9"/>
              <w:bottom w:val="single" w:sz="4" w:color="B8C7D9"/>
              <w:right w:val="single" w:sz="4" w:color="B8C7D9"/>
            </w:tcBorders>
          </w:tcPr>
          <w:p>
            <w:r>
              <w:rPr>
                <w:sz w:val="17"/>
              </w:rPr>
              <w:t>Enrichment payload</w:t>
            </w:r>
          </w:p>
        </w:tc>
      </w:tr>
      <w:tr>
        <w:trPr>
          <w:cantSplit w:val="true"/>
        </w:trPr>
        <w:tc>
          <w:tcPr>
            <w:tcW w:type="dxa" w:w="2556"/>
            <w:shd w:fill="F7F9FB"/>
            <w:vAlign w:val="top"/>
            <w:tcBorders>
              <w:top w:val="single" w:sz="4" w:color="B8C7D9"/>
              <w:left w:val="single" w:sz="4" w:color="B8C7D9"/>
              <w:bottom w:val="single" w:sz="4" w:color="B8C7D9"/>
              <w:right w:val="single" w:sz="4" w:color="B8C7D9"/>
            </w:tcBorders>
          </w:tcPr>
          <w:p>
            <w:r>
              <w:rPr>
                <w:sz w:val="17"/>
              </w:rPr>
              <w:t>CISA KEV GitHub mirror</w:t>
            </w:r>
          </w:p>
        </w:tc>
        <w:tc>
          <w:tcPr>
            <w:tcW w:type="dxa" w:w="2556"/>
            <w:shd w:fill="F7F9FB"/>
            <w:vAlign w:val="top"/>
            <w:tcBorders>
              <w:top w:val="single" w:sz="4" w:color="B8C7D9"/>
              <w:left w:val="single" w:sz="4" w:color="B8C7D9"/>
              <w:bottom w:val="single" w:sz="4" w:color="B8C7D9"/>
              <w:right w:val="single" w:sz="4" w:color="B8C7D9"/>
            </w:tcBorders>
          </w:tcPr>
          <w:p>
            <w:r>
              <w:rPr>
                <w:sz w:val="17"/>
              </w:rPr>
              <w:t>Audit-friendly mirror and change history</w:t>
            </w:r>
          </w:p>
        </w:tc>
        <w:tc>
          <w:tcPr>
            <w:tcW w:type="dxa" w:w="2556"/>
            <w:shd w:fill="F7F9FB"/>
            <w:vAlign w:val="top"/>
            <w:tcBorders>
              <w:top w:val="single" w:sz="4" w:color="B8C7D9"/>
              <w:left w:val="single" w:sz="4" w:color="B8C7D9"/>
              <w:bottom w:val="single" w:sz="4" w:color="B8C7D9"/>
              <w:right w:val="single" w:sz="4" w:color="B8C7D9"/>
            </w:tcBorders>
          </w:tcPr>
          <w:p>
            <w:r>
              <w:rPr>
                <w:sz w:val="17"/>
              </w:rPr>
              <w:t>https://github.com/cisagov/kev-data</w:t>
            </w:r>
          </w:p>
        </w:tc>
        <w:tc>
          <w:tcPr>
            <w:tcW w:type="dxa" w:w="2556"/>
            <w:shd w:fill="F7F9FB"/>
            <w:vAlign w:val="top"/>
            <w:tcBorders>
              <w:top w:val="single" w:sz="4" w:color="B8C7D9"/>
              <w:left w:val="single" w:sz="4" w:color="B8C7D9"/>
              <w:bottom w:val="single" w:sz="4" w:color="B8C7D9"/>
              <w:right w:val="single" w:sz="4" w:color="B8C7D9"/>
            </w:tcBorders>
          </w:tcPr>
          <w:p>
            <w:r>
              <w:rPr>
                <w:sz w:val="17"/>
              </w:rPr>
              <w:t>Optional audit/fallback</w:t>
            </w:r>
          </w:p>
        </w:tc>
      </w:tr>
      <w:tr>
        <w:trPr>
          <w:cantSplit w:val="true"/>
        </w:trPr>
        <w:tc>
          <w:tcPr>
            <w:tcW w:type="dxa" w:w="2556"/>
            <w:vAlign w:val="top"/>
            <w:tcBorders>
              <w:top w:val="single" w:sz="4" w:color="B8C7D9"/>
              <w:left w:val="single" w:sz="4" w:color="B8C7D9"/>
              <w:bottom w:val="single" w:sz="4" w:color="B8C7D9"/>
              <w:right w:val="single" w:sz="4" w:color="B8C7D9"/>
            </w:tcBorders>
          </w:tcPr>
          <w:p>
            <w:r>
              <w:rPr>
                <w:sz w:val="17"/>
              </w:rPr>
              <w:t>VulnPulse repository</w:t>
            </w:r>
          </w:p>
        </w:tc>
        <w:tc>
          <w:tcPr>
            <w:tcW w:type="dxa" w:w="2556"/>
            <w:vAlign w:val="top"/>
            <w:tcBorders>
              <w:top w:val="single" w:sz="4" w:color="B8C7D9"/>
              <w:left w:val="single" w:sz="4" w:color="B8C7D9"/>
              <w:bottom w:val="single" w:sz="4" w:color="B8C7D9"/>
              <w:right w:val="single" w:sz="4" w:color="B8C7D9"/>
            </w:tcBorders>
          </w:tcPr>
          <w:p>
            <w:r>
              <w:rPr>
                <w:sz w:val="17"/>
              </w:rPr>
              <w:t>Version control and required small sample files</w:t>
            </w:r>
          </w:p>
        </w:tc>
        <w:tc>
          <w:tcPr>
            <w:tcW w:type="dxa" w:w="2556"/>
            <w:vAlign w:val="top"/>
            <w:tcBorders>
              <w:top w:val="single" w:sz="4" w:color="B8C7D9"/>
              <w:left w:val="single" w:sz="4" w:color="B8C7D9"/>
              <w:bottom w:val="single" w:sz="4" w:color="B8C7D9"/>
              <w:right w:val="single" w:sz="4" w:color="B8C7D9"/>
            </w:tcBorders>
          </w:tcPr>
          <w:p>
            <w:r>
              <w:rPr>
                <w:sz w:val="17"/>
              </w:rPr>
              <w:t>https://github.com/kashishfatima999/VulnPulse</w:t>
            </w:r>
          </w:p>
        </w:tc>
        <w:tc>
          <w:tcPr>
            <w:tcW w:type="dxa" w:w="2556"/>
            <w:vAlign w:val="top"/>
            <w:tcBorders>
              <w:top w:val="single" w:sz="4" w:color="B8C7D9"/>
              <w:left w:val="single" w:sz="4" w:color="B8C7D9"/>
              <w:bottom w:val="single" w:sz="4" w:color="B8C7D9"/>
              <w:right w:val="single" w:sz="4" w:color="B8C7D9"/>
            </w:tcBorders>
          </w:tcPr>
          <w:p>
            <w:r>
              <w:rPr>
                <w:sz w:val="17"/>
              </w:rPr>
              <w:t>Project repo</w:t>
            </w:r>
          </w:p>
        </w:tc>
      </w:tr>
    </w:tbl>
    <w:p>
      <w:r>
        <w:t>Source rationale: NVD supplies the broad vulnerability universe; CISA KEV adds a high-value exploitation signal. NVD is kept as the source of truth for the core CVE record, while CISA is treated as enrichment.</w:t>
      </w:r>
    </w:p>
    <w:p>
      <w:pPr>
        <w:pStyle w:val="Heading1"/>
      </w:pPr>
      <w:r>
        <w:t>4. Ingestion Pattern: Full Load + Incremental Load</w:t>
      </w:r>
    </w:p>
    <w:p>
      <w:pPr>
        <w:pStyle w:val="Heading2"/>
      </w:pPr>
      <w:r>
        <w:t>4.1 Full Load</w:t>
      </w:r>
    </w:p>
    <w:p>
      <w:r>
        <w:t>The historical baseline will cover NVD yearly JSON 2.0 feeds from 2020 through 2026 at project design time. The official file naming pattern is:</w:t>
      </w:r>
    </w:p>
    <w:p>
      <w:r>
        <w:rPr>
          <w:rFonts w:ascii="Courier New" w:hAnsi="Courier New"/>
          <w:sz w:val="18"/>
        </w:rPr>
        <w:t>https://nvd.nist.gov/feeds/json/cve/2.0/nvdcve-2.0-{YEAR}.json.gz</w:t>
      </w:r>
    </w:p>
    <w:p>
      <w:r>
        <w:t>A July 2026 public mirror of these NVD 2.0 feeds reported the following compressed sizes for 2020-2026: approximately 13.3, 16.0, 17.4, 19.2, 23.7, 22.5 and 20.2 MiB respectively, for about 131.5 MiB total compressed. Feed sizes change as records are added or modified, so the final proposal evidence will record the actual size when the team captures the baseline.</w:t>
      </w:r>
    </w:p>
    <w:p>
      <w:pPr>
        <w:pStyle w:val="Heading2"/>
      </w:pPr>
      <w:r>
        <w:t>4.2 Incremental Load</w:t>
      </w:r>
    </w:p>
    <w:p>
      <w:r>
        <w:t>After the historical baseline, the pipeline will request only CVEs modified since the previous successful watermark. The NVD CVE API supports `lastModStartDate` and `lastModEndDate` date filters and paginated results. The project will store the last successful `lastModified` timestamp, use a small overlap window, and deduplicate by CVE ID plus last-modified timestamp.</w:t>
      </w:r>
    </w:p>
    <w:p>
      <w:r>
        <w:rPr>
          <w:rFonts w:ascii="Courier New" w:hAnsi="Courier New"/>
          <w:sz w:val="17"/>
        </w:rPr>
        <w:t>Example: GET https://services.nvd.nist.gov/rest/json/cves/2.0?lastModStartDate=&lt;START&gt;&amp;lastModEndDate=&lt;END&gt;&amp;resultsPerPage=2000&amp;startIndex=0</w:t>
      </w:r>
    </w:p>
    <w:p>
      <w:r>
        <w:t>This is preferred over repeatedly downloading the historical baseline. The official NVD modified feed is retained as an operational fallback/reference: https://nvd.nist.gov/feeds/json/cve/2.0/nvdcve-2.0-modified.json.gz.</w:t>
      </w:r>
    </w:p>
    <w:p>
      <w:pPr>
        <w:pStyle w:val="Heading2"/>
      </w:pPr>
      <w:r>
        <w:t>4.3 Planned End-to-End Flow</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Stage</w:t>
            </w:r>
          </w:p>
        </w:tc>
        <w:tc>
          <w:tcPr>
            <w:tcW w:type="dxa" w:w="3408"/>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What happens</w:t>
            </w:r>
          </w:p>
        </w:tc>
        <w:tc>
          <w:tcPr>
            <w:tcW w:type="dxa" w:w="3408"/>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Storage-conscious rule</w:t>
            </w:r>
          </w:p>
        </w:tc>
      </w:tr>
      <w:tr>
        <w:trPr>
          <w:cantSplit w:val="true"/>
        </w:trPr>
        <w:tc>
          <w:tcPr>
            <w:tcW w:type="dxa" w:w="3408"/>
            <w:shd w:fill="F7F9FB"/>
            <w:vAlign w:val="top"/>
            <w:tcBorders>
              <w:top w:val="single" w:sz="4" w:color="B8C7D9"/>
              <w:left w:val="single" w:sz="4" w:color="B8C7D9"/>
              <w:bottom w:val="single" w:sz="4" w:color="B8C7D9"/>
              <w:right w:val="single" w:sz="4" w:color="B8C7D9"/>
            </w:tcBorders>
          </w:tcPr>
          <w:p>
            <w:r>
              <w:rPr>
                <w:sz w:val="17"/>
              </w:rPr>
              <w:t>Source acquisition</w:t>
            </w:r>
          </w:p>
        </w:tc>
        <w:tc>
          <w:tcPr>
            <w:tcW w:type="dxa" w:w="3408"/>
            <w:shd w:fill="F7F9FB"/>
            <w:vAlign w:val="top"/>
            <w:tcBorders>
              <w:top w:val="single" w:sz="4" w:color="B8C7D9"/>
              <w:left w:val="single" w:sz="4" w:color="B8C7D9"/>
              <w:bottom w:val="single" w:sz="4" w:color="B8C7D9"/>
              <w:right w:val="single" w:sz="4" w:color="B8C7D9"/>
            </w:tcBorders>
          </w:tcPr>
          <w:p>
            <w:r>
              <w:rPr>
                <w:sz w:val="17"/>
              </w:rPr>
              <w:t>Capture NVD yearly feeds for baseline; capture NVD date-filtered incremental payloads; capture CISA KEV snapshot.</w:t>
            </w:r>
          </w:p>
        </w:tc>
        <w:tc>
          <w:tcPr>
            <w:tcW w:type="dxa" w:w="3408"/>
            <w:shd w:fill="F7F9FB"/>
            <w:vAlign w:val="top"/>
            <w:tcBorders>
              <w:top w:val="single" w:sz="4" w:color="B8C7D9"/>
              <w:left w:val="single" w:sz="4" w:color="B8C7D9"/>
              <w:bottom w:val="single" w:sz="4" w:color="B8C7D9"/>
              <w:right w:val="single" w:sz="4" w:color="B8C7D9"/>
            </w:tcBorders>
          </w:tcPr>
          <w:p>
            <w:r>
              <w:rPr>
                <w:sz w:val="17"/>
              </w:rPr>
              <w:t>Do not keep duplicate copies after successful landing.</w:t>
            </w:r>
          </w:p>
        </w:tc>
      </w:tr>
      <w:tr>
        <w:trPr>
          <w:cantSplit w:val="true"/>
        </w:trPr>
        <w:tc>
          <w:tcPr>
            <w:tcW w:type="dxa" w:w="3408"/>
            <w:vAlign w:val="top"/>
            <w:tcBorders>
              <w:top w:val="single" w:sz="4" w:color="B8C7D9"/>
              <w:left w:val="single" w:sz="4" w:color="B8C7D9"/>
              <w:bottom w:val="single" w:sz="4" w:color="B8C7D9"/>
              <w:right w:val="single" w:sz="4" w:color="B8C7D9"/>
            </w:tcBorders>
          </w:tcPr>
          <w:p>
            <w:r>
              <w:rPr>
                <w:sz w:val="17"/>
              </w:rPr>
              <w:t>Bronze</w:t>
            </w:r>
          </w:p>
        </w:tc>
        <w:tc>
          <w:tcPr>
            <w:tcW w:type="dxa" w:w="3408"/>
            <w:vAlign w:val="top"/>
            <w:tcBorders>
              <w:top w:val="single" w:sz="4" w:color="B8C7D9"/>
              <w:left w:val="single" w:sz="4" w:color="B8C7D9"/>
              <w:bottom w:val="single" w:sz="4" w:color="B8C7D9"/>
              <w:right w:val="single" w:sz="4" w:color="B8C7D9"/>
            </w:tcBorders>
          </w:tcPr>
          <w:p>
            <w:r>
              <w:rPr>
                <w:sz w:val="17"/>
              </w:rPr>
              <w:t>Preserve source payloads with ingestion metadata, source, batch ID and checksum.</w:t>
            </w:r>
          </w:p>
        </w:tc>
        <w:tc>
          <w:tcPr>
            <w:tcW w:type="dxa" w:w="3408"/>
            <w:vAlign w:val="top"/>
            <w:tcBorders>
              <w:top w:val="single" w:sz="4" w:color="B8C7D9"/>
              <w:left w:val="single" w:sz="4" w:color="B8C7D9"/>
              <w:bottom w:val="single" w:sz="4" w:color="B8C7D9"/>
              <w:right w:val="single" w:sz="4" w:color="B8C7D9"/>
            </w:tcBorders>
          </w:tcPr>
          <w:p>
            <w:r>
              <w:rPr>
                <w:sz w:val="17"/>
              </w:rPr>
              <w:t>Keep compressed source landing only as long as operationally needed.</w:t>
            </w:r>
          </w:p>
        </w:tc>
      </w:tr>
      <w:tr>
        <w:trPr>
          <w:cantSplit w:val="true"/>
        </w:trPr>
        <w:tc>
          <w:tcPr>
            <w:tcW w:type="dxa" w:w="3408"/>
            <w:shd w:fill="F7F9FB"/>
            <w:vAlign w:val="top"/>
            <w:tcBorders>
              <w:top w:val="single" w:sz="4" w:color="B8C7D9"/>
              <w:left w:val="single" w:sz="4" w:color="B8C7D9"/>
              <w:bottom w:val="single" w:sz="4" w:color="B8C7D9"/>
              <w:right w:val="single" w:sz="4" w:color="B8C7D9"/>
            </w:tcBorders>
          </w:tcPr>
          <w:p>
            <w:r>
              <w:rPr>
                <w:sz w:val="17"/>
              </w:rPr>
              <w:t>Silver</w:t>
            </w:r>
          </w:p>
        </w:tc>
        <w:tc>
          <w:tcPr>
            <w:tcW w:type="dxa" w:w="3408"/>
            <w:shd w:fill="F7F9FB"/>
            <w:vAlign w:val="top"/>
            <w:tcBorders>
              <w:top w:val="single" w:sz="4" w:color="B8C7D9"/>
              <w:left w:val="single" w:sz="4" w:color="B8C7D9"/>
              <w:bottom w:val="single" w:sz="4" w:color="B8C7D9"/>
              <w:right w:val="single" w:sz="4" w:color="B8C7D9"/>
            </w:tcBorders>
          </w:tcPr>
          <w:p>
            <w:r>
              <w:rPr>
                <w:sz w:val="17"/>
              </w:rPr>
              <w:t>Flatten nested JSON, standardize dates/types, normalize vendors/products/CWEs, validate quality, handle identifying source metadata.</w:t>
            </w:r>
          </w:p>
        </w:tc>
        <w:tc>
          <w:tcPr>
            <w:tcW w:type="dxa" w:w="3408"/>
            <w:shd w:fill="F7F9FB"/>
            <w:vAlign w:val="top"/>
            <w:tcBorders>
              <w:top w:val="single" w:sz="4" w:color="B8C7D9"/>
              <w:left w:val="single" w:sz="4" w:color="B8C7D9"/>
              <w:bottom w:val="single" w:sz="4" w:color="B8C7D9"/>
              <w:right w:val="single" w:sz="4" w:color="B8C7D9"/>
            </w:tcBorders>
          </w:tcPr>
          <w:p>
            <w:r>
              <w:rPr>
                <w:sz w:val="17"/>
              </w:rPr>
              <w:t>Keep only analytical columns in curated tables.</w:t>
            </w:r>
          </w:p>
        </w:tc>
      </w:tr>
      <w:tr>
        <w:trPr>
          <w:cantSplit w:val="true"/>
        </w:trPr>
        <w:tc>
          <w:tcPr>
            <w:tcW w:type="dxa" w:w="3408"/>
            <w:vAlign w:val="top"/>
            <w:tcBorders>
              <w:top w:val="single" w:sz="4" w:color="B8C7D9"/>
              <w:left w:val="single" w:sz="4" w:color="B8C7D9"/>
              <w:bottom w:val="single" w:sz="4" w:color="B8C7D9"/>
              <w:right w:val="single" w:sz="4" w:color="B8C7D9"/>
            </w:tcBorders>
          </w:tcPr>
          <w:p>
            <w:r>
              <w:rPr>
                <w:sz w:val="17"/>
              </w:rPr>
              <w:t>Gold</w:t>
            </w:r>
          </w:p>
        </w:tc>
        <w:tc>
          <w:tcPr>
            <w:tcW w:type="dxa" w:w="3408"/>
            <w:vAlign w:val="top"/>
            <w:tcBorders>
              <w:top w:val="single" w:sz="4" w:color="B8C7D9"/>
              <w:left w:val="single" w:sz="4" w:color="B8C7D9"/>
              <w:bottom w:val="single" w:sz="4" w:color="B8C7D9"/>
              <w:right w:val="single" w:sz="4" w:color="B8C7D9"/>
            </w:tcBorders>
          </w:tcPr>
          <w:p>
            <w:r>
              <w:rPr>
                <w:sz w:val="17"/>
              </w:rPr>
              <w:t>Aggregate trends, vendor exposure, CWE trends, KEV-response timing, watchlist and pipeline audit.</w:t>
            </w:r>
          </w:p>
        </w:tc>
        <w:tc>
          <w:tcPr>
            <w:tcW w:type="dxa" w:w="3408"/>
            <w:vAlign w:val="top"/>
            <w:tcBorders>
              <w:top w:val="single" w:sz="4" w:color="B8C7D9"/>
              <w:left w:val="single" w:sz="4" w:color="B8C7D9"/>
              <w:bottom w:val="single" w:sz="4" w:color="B8C7D9"/>
              <w:right w:val="single" w:sz="4" w:color="B8C7D9"/>
            </w:tcBorders>
          </w:tcPr>
          <w:p>
            <w:r>
              <w:rPr>
                <w:sz w:val="17"/>
              </w:rPr>
              <w:t>Gold tables are compact and dashboard-oriented.</w:t>
            </w:r>
          </w:p>
        </w:tc>
      </w:tr>
      <w:tr>
        <w:trPr>
          <w:cantSplit w:val="true"/>
        </w:trPr>
        <w:tc>
          <w:tcPr>
            <w:tcW w:type="dxa" w:w="3408"/>
            <w:shd w:fill="F7F9FB"/>
            <w:vAlign w:val="top"/>
            <w:tcBorders>
              <w:top w:val="single" w:sz="4" w:color="B8C7D9"/>
              <w:left w:val="single" w:sz="4" w:color="B8C7D9"/>
              <w:bottom w:val="single" w:sz="4" w:color="B8C7D9"/>
              <w:right w:val="single" w:sz="4" w:color="B8C7D9"/>
            </w:tcBorders>
          </w:tcPr>
          <w:p>
            <w:r>
              <w:rPr>
                <w:sz w:val="17"/>
              </w:rPr>
              <w:t>BI</w:t>
            </w:r>
          </w:p>
        </w:tc>
        <w:tc>
          <w:tcPr>
            <w:tcW w:type="dxa" w:w="3408"/>
            <w:shd w:fill="F7F9FB"/>
            <w:vAlign w:val="top"/>
            <w:tcBorders>
              <w:top w:val="single" w:sz="4" w:color="B8C7D9"/>
              <w:left w:val="single" w:sz="4" w:color="B8C7D9"/>
              <w:bottom w:val="single" w:sz="4" w:color="B8C7D9"/>
              <w:right w:val="single" w:sz="4" w:color="B8C7D9"/>
            </w:tcBorders>
          </w:tcPr>
          <w:p>
            <w:r>
              <w:rPr>
                <w:sz w:val="17"/>
              </w:rPr>
              <w:t>Power BI consumes only Gold outputs.</w:t>
            </w:r>
          </w:p>
        </w:tc>
        <w:tc>
          <w:tcPr>
            <w:tcW w:type="dxa" w:w="3408"/>
            <w:shd w:fill="F7F9FB"/>
            <w:vAlign w:val="top"/>
            <w:tcBorders>
              <w:top w:val="single" w:sz="4" w:color="B8C7D9"/>
              <w:left w:val="single" w:sz="4" w:color="B8C7D9"/>
              <w:bottom w:val="single" w:sz="4" w:color="B8C7D9"/>
              <w:right w:val="single" w:sz="4" w:color="B8C7D9"/>
            </w:tcBorders>
          </w:tcPr>
          <w:p>
            <w:r>
              <w:rPr>
                <w:sz w:val="17"/>
              </w:rPr>
              <w:t>Do not connect Power BI to raw data.</w:t>
            </w:r>
          </w:p>
        </w:tc>
      </w:tr>
    </w:tbl>
    <w:p>
      <w:pPr>
        <w:pStyle w:val="Heading1"/>
      </w:pPr>
      <w:r>
        <w:t>5. Data Samples, Volume and Frequency</w:t>
      </w:r>
    </w:p>
    <w:p>
      <w:r>
        <w:t>Phase 1 requires actual raw samples for both load types. The repository includes a sample-collection script that downloads small excerpts from the real sources and writes them to `data/samples/`. This avoids fabricating sample payloads and avoids putting full feeds into GitHub.</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Artifact</w:t>
            </w:r>
          </w:p>
        </w:tc>
        <w:tc>
          <w:tcPr>
            <w:tcW w:type="dxa" w:w="3408"/>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Planned contents</w:t>
            </w:r>
          </w:p>
        </w:tc>
        <w:tc>
          <w:tcPr>
            <w:tcW w:type="dxa" w:w="3408"/>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Target GitHub size</w:t>
            </w:r>
          </w:p>
        </w:tc>
      </w:tr>
      <w:tr>
        <w:trPr>
          <w:cantSplit w:val="true"/>
        </w:trPr>
        <w:tc>
          <w:tcPr>
            <w:tcW w:type="dxa" w:w="3408"/>
            <w:shd w:fill="F7F9FB"/>
            <w:vAlign w:val="top"/>
            <w:tcBorders>
              <w:top w:val="single" w:sz="4" w:color="B8C7D9"/>
              <w:left w:val="single" w:sz="4" w:color="B8C7D9"/>
              <w:bottom w:val="single" w:sz="4" w:color="B8C7D9"/>
              <w:right w:val="single" w:sz="4" w:color="B8C7D9"/>
            </w:tcBorders>
          </w:tcPr>
          <w:p>
            <w:r>
              <w:rPr>
                <w:sz w:val="17"/>
              </w:rPr>
              <w:t>nvd_full_load_sample.json</w:t>
            </w:r>
          </w:p>
        </w:tc>
        <w:tc>
          <w:tcPr>
            <w:tcW w:type="dxa" w:w="3408"/>
            <w:shd w:fill="F7F9FB"/>
            <w:vAlign w:val="top"/>
            <w:tcBorders>
              <w:top w:val="single" w:sz="4" w:color="B8C7D9"/>
              <w:left w:val="single" w:sz="4" w:color="B8C7D9"/>
              <w:bottom w:val="single" w:sz="4" w:color="B8C7D9"/>
              <w:right w:val="single" w:sz="4" w:color="B8C7D9"/>
            </w:tcBorders>
          </w:tcPr>
          <w:p>
            <w:r>
              <w:rPr>
                <w:sz w:val="17"/>
              </w:rPr>
              <w:t>10 records extracted from the official 2026 NVD yearly JSON 2.0 feed.</w:t>
            </w:r>
          </w:p>
        </w:tc>
        <w:tc>
          <w:tcPr>
            <w:tcW w:type="dxa" w:w="3408"/>
            <w:shd w:fill="F7F9FB"/>
            <w:vAlign w:val="top"/>
            <w:tcBorders>
              <w:top w:val="single" w:sz="4" w:color="B8C7D9"/>
              <w:left w:val="single" w:sz="4" w:color="B8C7D9"/>
              <w:bottom w:val="single" w:sz="4" w:color="B8C7D9"/>
              <w:right w:val="single" w:sz="4" w:color="B8C7D9"/>
            </w:tcBorders>
          </w:tcPr>
          <w:p>
            <w:r>
              <w:rPr>
                <w:sz w:val="17"/>
              </w:rPr>
              <w:t>&lt; 1 MB</w:t>
            </w:r>
          </w:p>
        </w:tc>
      </w:tr>
      <w:tr>
        <w:trPr>
          <w:cantSplit w:val="true"/>
        </w:trPr>
        <w:tc>
          <w:tcPr>
            <w:tcW w:type="dxa" w:w="3408"/>
            <w:vAlign w:val="top"/>
            <w:tcBorders>
              <w:top w:val="single" w:sz="4" w:color="B8C7D9"/>
              <w:left w:val="single" w:sz="4" w:color="B8C7D9"/>
              <w:bottom w:val="single" w:sz="4" w:color="B8C7D9"/>
              <w:right w:val="single" w:sz="4" w:color="B8C7D9"/>
            </w:tcBorders>
          </w:tcPr>
          <w:p>
            <w:r>
              <w:rPr>
                <w:sz w:val="17"/>
              </w:rPr>
              <w:t>nvd_incremental_load_sample.json</w:t>
            </w:r>
          </w:p>
        </w:tc>
        <w:tc>
          <w:tcPr>
            <w:tcW w:type="dxa" w:w="3408"/>
            <w:vAlign w:val="top"/>
            <w:tcBorders>
              <w:top w:val="single" w:sz="4" w:color="B8C7D9"/>
              <w:left w:val="single" w:sz="4" w:color="B8C7D9"/>
              <w:bottom w:val="single" w:sz="4" w:color="B8C7D9"/>
              <w:right w:val="single" w:sz="4" w:color="B8C7D9"/>
            </w:tcBorders>
          </w:tcPr>
          <w:p>
            <w:r>
              <w:rPr>
                <w:sz w:val="17"/>
              </w:rPr>
              <w:t>10 records from a real 24-hour NVD API `lastModStartDate`/`lastModEndDate` query.</w:t>
            </w:r>
          </w:p>
        </w:tc>
        <w:tc>
          <w:tcPr>
            <w:tcW w:type="dxa" w:w="3408"/>
            <w:vAlign w:val="top"/>
            <w:tcBorders>
              <w:top w:val="single" w:sz="4" w:color="B8C7D9"/>
              <w:left w:val="single" w:sz="4" w:color="B8C7D9"/>
              <w:bottom w:val="single" w:sz="4" w:color="B8C7D9"/>
              <w:right w:val="single" w:sz="4" w:color="B8C7D9"/>
            </w:tcBorders>
          </w:tcPr>
          <w:p>
            <w:r>
              <w:rPr>
                <w:sz w:val="17"/>
              </w:rPr>
              <w:t>&lt; 1 MB</w:t>
            </w:r>
          </w:p>
        </w:tc>
      </w:tr>
      <w:tr>
        <w:trPr>
          <w:cantSplit w:val="true"/>
        </w:trPr>
        <w:tc>
          <w:tcPr>
            <w:tcW w:type="dxa" w:w="3408"/>
            <w:shd w:fill="F7F9FB"/>
            <w:vAlign w:val="top"/>
            <w:tcBorders>
              <w:top w:val="single" w:sz="4" w:color="B8C7D9"/>
              <w:left w:val="single" w:sz="4" w:color="B8C7D9"/>
              <w:bottom w:val="single" w:sz="4" w:color="B8C7D9"/>
              <w:right w:val="single" w:sz="4" w:color="B8C7D9"/>
            </w:tcBorders>
          </w:tcPr>
          <w:p>
            <w:r>
              <w:rPr>
                <w:sz w:val="17"/>
              </w:rPr>
              <w:t>cisa_kev_sample.json</w:t>
            </w:r>
          </w:p>
        </w:tc>
        <w:tc>
          <w:tcPr>
            <w:tcW w:type="dxa" w:w="3408"/>
            <w:shd w:fill="F7F9FB"/>
            <w:vAlign w:val="top"/>
            <w:tcBorders>
              <w:top w:val="single" w:sz="4" w:color="B8C7D9"/>
              <w:left w:val="single" w:sz="4" w:color="B8C7D9"/>
              <w:bottom w:val="single" w:sz="4" w:color="B8C7D9"/>
              <w:right w:val="single" w:sz="4" w:color="B8C7D9"/>
            </w:tcBorders>
          </w:tcPr>
          <w:p>
            <w:r>
              <w:rPr>
                <w:sz w:val="17"/>
              </w:rPr>
              <w:t>10 current CISA KEV records.</w:t>
            </w:r>
          </w:p>
        </w:tc>
        <w:tc>
          <w:tcPr>
            <w:tcW w:type="dxa" w:w="3408"/>
            <w:shd w:fill="F7F9FB"/>
            <w:vAlign w:val="top"/>
            <w:tcBorders>
              <w:top w:val="single" w:sz="4" w:color="B8C7D9"/>
              <w:left w:val="single" w:sz="4" w:color="B8C7D9"/>
              <w:bottom w:val="single" w:sz="4" w:color="B8C7D9"/>
              <w:right w:val="single" w:sz="4" w:color="B8C7D9"/>
            </w:tcBorders>
          </w:tcPr>
          <w:p>
            <w:r>
              <w:rPr>
                <w:sz w:val="17"/>
              </w:rPr>
              <w:t>&lt; 1 MB</w:t>
            </w:r>
          </w:p>
        </w:tc>
      </w:tr>
      <w:tr>
        <w:trPr>
          <w:cantSplit w:val="true"/>
        </w:trPr>
        <w:tc>
          <w:tcPr>
            <w:tcW w:type="dxa" w:w="3408"/>
            <w:vAlign w:val="top"/>
            <w:tcBorders>
              <w:top w:val="single" w:sz="4" w:color="B8C7D9"/>
              <w:left w:val="single" w:sz="4" w:color="B8C7D9"/>
              <w:bottom w:val="single" w:sz="4" w:color="B8C7D9"/>
              <w:right w:val="single" w:sz="4" w:color="B8C7D9"/>
            </w:tcBorders>
          </w:tcPr>
          <w:p>
            <w:r>
              <w:rPr>
                <w:sz w:val="17"/>
              </w:rPr>
              <w:t>source_manifest.json</w:t>
            </w:r>
          </w:p>
        </w:tc>
        <w:tc>
          <w:tcPr>
            <w:tcW w:type="dxa" w:w="3408"/>
            <w:vAlign w:val="top"/>
            <w:tcBorders>
              <w:top w:val="single" w:sz="4" w:color="B8C7D9"/>
              <w:left w:val="single" w:sz="4" w:color="B8C7D9"/>
              <w:bottom w:val="single" w:sz="4" w:color="B8C7D9"/>
              <w:right w:val="single" w:sz="4" w:color="B8C7D9"/>
            </w:tcBorders>
          </w:tcPr>
          <w:p>
            <w:r>
              <w:rPr>
                <w:sz w:val="17"/>
              </w:rPr>
              <w:t>Capture timestamps, source URLs, record counts, sample sizes and hashes where applicable.</w:t>
            </w:r>
          </w:p>
        </w:tc>
        <w:tc>
          <w:tcPr>
            <w:tcW w:type="dxa" w:w="3408"/>
            <w:vAlign w:val="top"/>
            <w:tcBorders>
              <w:top w:val="single" w:sz="4" w:color="B8C7D9"/>
              <w:left w:val="single" w:sz="4" w:color="B8C7D9"/>
              <w:bottom w:val="single" w:sz="4" w:color="B8C7D9"/>
              <w:right w:val="single" w:sz="4" w:color="B8C7D9"/>
            </w:tcBorders>
          </w:tcPr>
          <w:p>
            <w:r>
              <w:rPr>
                <w:sz w:val="17"/>
              </w:rPr>
              <w:t>Tiny</w:t>
            </w:r>
          </w:p>
        </w:tc>
      </w:tr>
    </w:tbl>
    <w:p>
      <w:pPr>
        <w:pStyle w:val="Heading2"/>
      </w:pPr>
      <w:r>
        <w:t>5.1 Volume Estimate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Component</w:t>
            </w:r>
          </w:p>
        </w:tc>
        <w:tc>
          <w:tcPr>
            <w:tcW w:type="dxa" w:w="3408"/>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Phase 1 planning estimate</w:t>
            </w:r>
          </w:p>
        </w:tc>
        <w:tc>
          <w:tcPr>
            <w:tcW w:type="dxa" w:w="3408"/>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Control</w:t>
            </w:r>
          </w:p>
        </w:tc>
      </w:tr>
      <w:tr>
        <w:trPr>
          <w:cantSplit w:val="true"/>
        </w:trPr>
        <w:tc>
          <w:tcPr>
            <w:tcW w:type="dxa" w:w="3408"/>
            <w:shd w:fill="F7F9FB"/>
            <w:vAlign w:val="top"/>
            <w:tcBorders>
              <w:top w:val="single" w:sz="4" w:color="B8C7D9"/>
              <w:left w:val="single" w:sz="4" w:color="B8C7D9"/>
              <w:bottom w:val="single" w:sz="4" w:color="B8C7D9"/>
              <w:right w:val="single" w:sz="4" w:color="B8C7D9"/>
            </w:tcBorders>
          </w:tcPr>
          <w:p>
            <w:r>
              <w:rPr>
                <w:sz w:val="17"/>
              </w:rPr>
              <w:t>NVD full baseline 2020-2026</w:t>
            </w:r>
          </w:p>
        </w:tc>
        <w:tc>
          <w:tcPr>
            <w:tcW w:type="dxa" w:w="3408"/>
            <w:shd w:fill="F7F9FB"/>
            <w:vAlign w:val="top"/>
            <w:tcBorders>
              <w:top w:val="single" w:sz="4" w:color="B8C7D9"/>
              <w:left w:val="single" w:sz="4" w:color="B8C7D9"/>
              <w:bottom w:val="single" w:sz="4" w:color="B8C7D9"/>
              <w:right w:val="single" w:sz="4" w:color="B8C7D9"/>
            </w:tcBorders>
          </w:tcPr>
          <w:p>
            <w:r>
              <w:rPr>
                <w:sz w:val="17"/>
              </w:rPr>
              <w:t>~132 MiB compressed (based on July 2026 feed-size observations); re-measure at capture time.</w:t>
            </w:r>
          </w:p>
        </w:tc>
        <w:tc>
          <w:tcPr>
            <w:tcW w:type="dxa" w:w="3408"/>
            <w:shd w:fill="F7F9FB"/>
            <w:vAlign w:val="top"/>
            <w:tcBorders>
              <w:top w:val="single" w:sz="4" w:color="B8C7D9"/>
              <w:left w:val="single" w:sz="4" w:color="B8C7D9"/>
              <w:bottom w:val="single" w:sz="4" w:color="B8C7D9"/>
              <w:right w:val="single" w:sz="4" w:color="B8C7D9"/>
            </w:tcBorders>
          </w:tcPr>
          <w:p>
            <w:r>
              <w:rPr>
                <w:sz w:val="17"/>
              </w:rPr>
              <w:t>Do not commit to GitHub.</w:t>
            </w:r>
          </w:p>
        </w:tc>
      </w:tr>
      <w:tr>
        <w:trPr>
          <w:cantSplit w:val="true"/>
        </w:trPr>
        <w:tc>
          <w:tcPr>
            <w:tcW w:type="dxa" w:w="3408"/>
            <w:vAlign w:val="top"/>
            <w:tcBorders>
              <w:top w:val="single" w:sz="4" w:color="B8C7D9"/>
              <w:left w:val="single" w:sz="4" w:color="B8C7D9"/>
              <w:bottom w:val="single" w:sz="4" w:color="B8C7D9"/>
              <w:right w:val="single" w:sz="4" w:color="B8C7D9"/>
            </w:tcBorders>
          </w:tcPr>
          <w:p>
            <w:r>
              <w:rPr>
                <w:sz w:val="17"/>
              </w:rPr>
              <w:t>NVD daily incremental</w:t>
            </w:r>
          </w:p>
        </w:tc>
        <w:tc>
          <w:tcPr>
            <w:tcW w:type="dxa" w:w="3408"/>
            <w:vAlign w:val="top"/>
            <w:tcBorders>
              <w:top w:val="single" w:sz="4" w:color="B8C7D9"/>
              <w:left w:val="single" w:sz="4" w:color="B8C7D9"/>
              <w:bottom w:val="single" w:sz="4" w:color="B8C7D9"/>
              <w:right w:val="single" w:sz="4" w:color="B8C7D9"/>
            </w:tcBorders>
          </w:tcPr>
          <w:p>
            <w:r>
              <w:rPr>
                <w:sz w:val="17"/>
              </w:rPr>
              <w:t>Plan for roughly sub-MB to low-single-digit MB compressed batches; measure the first several runs and record actual values.</w:t>
            </w:r>
          </w:p>
        </w:tc>
        <w:tc>
          <w:tcPr>
            <w:tcW w:type="dxa" w:w="3408"/>
            <w:vAlign w:val="top"/>
            <w:tcBorders>
              <w:top w:val="single" w:sz="4" w:color="B8C7D9"/>
              <w:left w:val="single" w:sz="4" w:color="B8C7D9"/>
              <w:bottom w:val="single" w:sz="4" w:color="B8C7D9"/>
              <w:right w:val="single" w:sz="4" w:color="B8C7D9"/>
            </w:tcBorders>
          </w:tcPr>
          <w:p>
            <w:r>
              <w:rPr>
                <w:sz w:val="17"/>
              </w:rPr>
              <w:t>Watermark + pagination + deduplication.</w:t>
            </w:r>
          </w:p>
        </w:tc>
      </w:tr>
      <w:tr>
        <w:trPr>
          <w:cantSplit w:val="true"/>
        </w:trPr>
        <w:tc>
          <w:tcPr>
            <w:tcW w:type="dxa" w:w="3408"/>
            <w:shd w:fill="F7F9FB"/>
            <w:vAlign w:val="top"/>
            <w:tcBorders>
              <w:top w:val="single" w:sz="4" w:color="B8C7D9"/>
              <w:left w:val="single" w:sz="4" w:color="B8C7D9"/>
              <w:bottom w:val="single" w:sz="4" w:color="B8C7D9"/>
              <w:right w:val="single" w:sz="4" w:color="B8C7D9"/>
            </w:tcBorders>
          </w:tcPr>
          <w:p>
            <w:r>
              <w:rPr>
                <w:sz w:val="17"/>
              </w:rPr>
              <w:t>CISA KEV snapshot</w:t>
            </w:r>
          </w:p>
        </w:tc>
        <w:tc>
          <w:tcPr>
            <w:tcW w:type="dxa" w:w="3408"/>
            <w:shd w:fill="F7F9FB"/>
            <w:vAlign w:val="top"/>
            <w:tcBorders>
              <w:top w:val="single" w:sz="4" w:color="B8C7D9"/>
              <w:left w:val="single" w:sz="4" w:color="B8C7D9"/>
              <w:bottom w:val="single" w:sz="4" w:color="B8C7D9"/>
              <w:right w:val="single" w:sz="4" w:color="B8C7D9"/>
            </w:tcBorders>
          </w:tcPr>
          <w:p>
            <w:r>
              <w:rPr>
                <w:sz w:val="17"/>
              </w:rPr>
              <w:t>~1.7 MB JSON in the current CISA-maintained GitHub mirror; small enough to refresh frequently.</w:t>
            </w:r>
          </w:p>
        </w:tc>
        <w:tc>
          <w:tcPr>
            <w:tcW w:type="dxa" w:w="3408"/>
            <w:shd w:fill="F7F9FB"/>
            <w:vAlign w:val="top"/>
            <w:tcBorders>
              <w:top w:val="single" w:sz="4" w:color="B8C7D9"/>
              <w:left w:val="single" w:sz="4" w:color="B8C7D9"/>
              <w:bottom w:val="single" w:sz="4" w:color="B8C7D9"/>
              <w:right w:val="single" w:sz="4" w:color="B8C7D9"/>
            </w:tcBorders>
          </w:tcPr>
          <w:p>
            <w:r>
              <w:rPr>
                <w:sz w:val="17"/>
              </w:rPr>
              <w:t>Replace/refresh rather than accumulating copies.</w:t>
            </w:r>
          </w:p>
        </w:tc>
      </w:tr>
      <w:tr>
        <w:trPr>
          <w:cantSplit w:val="true"/>
        </w:trPr>
        <w:tc>
          <w:tcPr>
            <w:tcW w:type="dxa" w:w="3408"/>
            <w:vAlign w:val="top"/>
            <w:tcBorders>
              <w:top w:val="single" w:sz="4" w:color="B8C7D9"/>
              <w:left w:val="single" w:sz="4" w:color="B8C7D9"/>
              <w:bottom w:val="single" w:sz="4" w:color="B8C7D9"/>
              <w:right w:val="single" w:sz="4" w:color="B8C7D9"/>
            </w:tcBorders>
          </w:tcPr>
          <w:p>
            <w:r>
              <w:rPr>
                <w:sz w:val="17"/>
              </w:rPr>
              <w:t>GitHub samples</w:t>
            </w:r>
          </w:p>
        </w:tc>
        <w:tc>
          <w:tcPr>
            <w:tcW w:type="dxa" w:w="3408"/>
            <w:vAlign w:val="top"/>
            <w:tcBorders>
              <w:top w:val="single" w:sz="4" w:color="B8C7D9"/>
              <w:left w:val="single" w:sz="4" w:color="B8C7D9"/>
              <w:bottom w:val="single" w:sz="4" w:color="B8C7D9"/>
              <w:right w:val="single" w:sz="4" w:color="B8C7D9"/>
            </w:tcBorders>
          </w:tcPr>
          <w:p>
            <w:r>
              <w:rPr>
                <w:sz w:val="17"/>
              </w:rPr>
              <w:t>Intentionally tiny.</w:t>
            </w:r>
          </w:p>
        </w:tc>
        <w:tc>
          <w:tcPr>
            <w:tcW w:type="dxa" w:w="3408"/>
            <w:vAlign w:val="top"/>
            <w:tcBorders>
              <w:top w:val="single" w:sz="4" w:color="B8C7D9"/>
              <w:left w:val="single" w:sz="4" w:color="B8C7D9"/>
              <w:bottom w:val="single" w:sz="4" w:color="B8C7D9"/>
              <w:right w:val="single" w:sz="4" w:color="B8C7D9"/>
            </w:tcBorders>
          </w:tcPr>
          <w:p>
            <w:r>
              <w:rPr>
                <w:sz w:val="17"/>
              </w:rPr>
              <w:t>Hard repository rule: no full feeds, Parquet dumps, or Delta exports.</w:t>
            </w:r>
          </w:p>
        </w:tc>
      </w:tr>
    </w:tbl>
    <w:p>
      <w:r>
        <w:t>The purpose of the estimate is not to maximize raw volume. It is to demonstrate scalable processing while keeping the Free Edition workload small enough to be repeatable and safe.</w:t>
      </w:r>
    </w:p>
    <w:p>
      <w:pPr>
        <w:pStyle w:val="Heading1"/>
      </w:pPr>
      <w:r>
        <w:t>6. Security, PII and Sensitive Data</w:t>
      </w:r>
    </w:p>
    <w:p>
      <w:r>
        <w:t>PII means Personally Identifiable Information: data that can identify or meaningfully identify a person, such as an email address, phone number or personal identifier. VulnPulse does not intentionally collect customer-level or personal-user records.</w:t>
      </w:r>
    </w:p>
    <w:p>
      <w:r>
        <w:t>A review is still necessary because NVD records include `sourceIdentifier`, and examples of NVD records show this field can contain email-like addresses used for source attribution. These addresses are not needed for the project analytics. The project will therefore treat them as potentially identifying source metadata and remove them from analytical Silver/Gold tables.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Field / pattern</w:t>
            </w:r>
          </w:p>
        </w:tc>
        <w:tc>
          <w:tcPr>
            <w:tcW w:type="dxa" w:w="3408"/>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Risk treatment</w:t>
            </w:r>
          </w:p>
        </w:tc>
        <w:tc>
          <w:tcPr>
            <w:tcW w:type="dxa" w:w="3408"/>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Reason</w:t>
            </w:r>
          </w:p>
        </w:tc>
      </w:tr>
      <w:tr>
        <w:trPr>
          <w:cantSplit w:val="true"/>
        </w:trPr>
        <w:tc>
          <w:tcPr>
            <w:tcW w:type="dxa" w:w="3408"/>
            <w:shd w:fill="F7F9FB"/>
            <w:vAlign w:val="top"/>
            <w:tcBorders>
              <w:top w:val="single" w:sz="4" w:color="B8C7D9"/>
              <w:left w:val="single" w:sz="4" w:color="B8C7D9"/>
              <w:bottom w:val="single" w:sz="4" w:color="B8C7D9"/>
              <w:right w:val="single" w:sz="4" w:color="B8C7D9"/>
            </w:tcBorders>
          </w:tcPr>
          <w:p>
            <w:r>
              <w:rPr>
                <w:sz w:val="17"/>
              </w:rPr>
              <w:t>NVD sourceIdentifier</w:t>
            </w:r>
          </w:p>
        </w:tc>
        <w:tc>
          <w:tcPr>
            <w:tcW w:type="dxa" w:w="3408"/>
            <w:shd w:fill="F7F9FB"/>
            <w:vAlign w:val="top"/>
            <w:tcBorders>
              <w:top w:val="single" w:sz="4" w:color="B8C7D9"/>
              <w:left w:val="single" w:sz="4" w:color="B8C7D9"/>
              <w:bottom w:val="single" w:sz="4" w:color="B8C7D9"/>
              <w:right w:val="single" w:sz="4" w:color="B8C7D9"/>
            </w:tcBorders>
          </w:tcPr>
          <w:p>
            <w:r>
              <w:rPr>
                <w:sz w:val="17"/>
              </w:rPr>
              <w:t>Detect email-like value; drop from Silver/Gold; optionally keep boolean `source_identifier_present`.</w:t>
            </w:r>
          </w:p>
        </w:tc>
        <w:tc>
          <w:tcPr>
            <w:tcW w:type="dxa" w:w="3408"/>
            <w:shd w:fill="F7F9FB"/>
            <w:vAlign w:val="top"/>
            <w:tcBorders>
              <w:top w:val="single" w:sz="4" w:color="B8C7D9"/>
              <w:left w:val="single" w:sz="4" w:color="B8C7D9"/>
              <w:bottom w:val="single" w:sz="4" w:color="B8C7D9"/>
              <w:right w:val="single" w:sz="4" w:color="B8C7D9"/>
            </w:tcBorders>
          </w:tcPr>
          <w:p>
            <w:r>
              <w:rPr>
                <w:sz w:val="17"/>
              </w:rPr>
              <w:t>Not required for security analytics and may contain email-like contact metadata.</w:t>
            </w:r>
          </w:p>
        </w:tc>
      </w:tr>
      <w:tr>
        <w:trPr>
          <w:cantSplit w:val="true"/>
        </w:trPr>
        <w:tc>
          <w:tcPr>
            <w:tcW w:type="dxa" w:w="3408"/>
            <w:vAlign w:val="top"/>
            <w:tcBorders>
              <w:top w:val="single" w:sz="4" w:color="B8C7D9"/>
              <w:left w:val="single" w:sz="4" w:color="B8C7D9"/>
              <w:bottom w:val="single" w:sz="4" w:color="B8C7D9"/>
              <w:right w:val="single" w:sz="4" w:color="B8C7D9"/>
            </w:tcBorders>
          </w:tcPr>
          <w:p>
            <w:r>
              <w:rPr>
                <w:sz w:val="17"/>
              </w:rPr>
              <w:t>Vendor / product</w:t>
            </w:r>
          </w:p>
        </w:tc>
        <w:tc>
          <w:tcPr>
            <w:tcW w:type="dxa" w:w="3408"/>
            <w:vAlign w:val="top"/>
            <w:tcBorders>
              <w:top w:val="single" w:sz="4" w:color="B8C7D9"/>
              <w:left w:val="single" w:sz="4" w:color="B8C7D9"/>
              <w:bottom w:val="single" w:sz="4" w:color="B8C7D9"/>
              <w:right w:val="single" w:sz="4" w:color="B8C7D9"/>
            </w:tcBorders>
          </w:tcPr>
          <w:p>
            <w:r>
              <w:rPr>
                <w:sz w:val="17"/>
              </w:rPr>
              <w:t>Keep.</w:t>
            </w:r>
          </w:p>
        </w:tc>
        <w:tc>
          <w:tcPr>
            <w:tcW w:type="dxa" w:w="3408"/>
            <w:vAlign w:val="top"/>
            <w:tcBorders>
              <w:top w:val="single" w:sz="4" w:color="B8C7D9"/>
              <w:left w:val="single" w:sz="4" w:color="B8C7D9"/>
              <w:bottom w:val="single" w:sz="4" w:color="B8C7D9"/>
              <w:right w:val="single" w:sz="4" w:color="B8C7D9"/>
            </w:tcBorders>
          </w:tcPr>
          <w:p>
            <w:r>
              <w:rPr>
                <w:sz w:val="17"/>
              </w:rPr>
              <w:t>Public software metadata, core to the analysis.</w:t>
            </w:r>
          </w:p>
        </w:tc>
      </w:tr>
      <w:tr>
        <w:trPr>
          <w:cantSplit w:val="true"/>
        </w:trPr>
        <w:tc>
          <w:tcPr>
            <w:tcW w:type="dxa" w:w="3408"/>
            <w:shd w:fill="F7F9FB"/>
            <w:vAlign w:val="top"/>
            <w:tcBorders>
              <w:top w:val="single" w:sz="4" w:color="B8C7D9"/>
              <w:left w:val="single" w:sz="4" w:color="B8C7D9"/>
              <w:bottom w:val="single" w:sz="4" w:color="B8C7D9"/>
              <w:right w:val="single" w:sz="4" w:color="B8C7D9"/>
            </w:tcBorders>
          </w:tcPr>
          <w:p>
            <w:r>
              <w:rPr>
                <w:sz w:val="17"/>
              </w:rPr>
              <w:t>CVE ID / CWE / CVSS</w:t>
            </w:r>
          </w:p>
        </w:tc>
        <w:tc>
          <w:tcPr>
            <w:tcW w:type="dxa" w:w="3408"/>
            <w:shd w:fill="F7F9FB"/>
            <w:vAlign w:val="top"/>
            <w:tcBorders>
              <w:top w:val="single" w:sz="4" w:color="B8C7D9"/>
              <w:left w:val="single" w:sz="4" w:color="B8C7D9"/>
              <w:bottom w:val="single" w:sz="4" w:color="B8C7D9"/>
              <w:right w:val="single" w:sz="4" w:color="B8C7D9"/>
            </w:tcBorders>
          </w:tcPr>
          <w:p>
            <w:r>
              <w:rPr>
                <w:sz w:val="17"/>
              </w:rPr>
              <w:t>Keep.</w:t>
            </w:r>
          </w:p>
        </w:tc>
        <w:tc>
          <w:tcPr>
            <w:tcW w:type="dxa" w:w="3408"/>
            <w:shd w:fill="F7F9FB"/>
            <w:vAlign w:val="top"/>
            <w:tcBorders>
              <w:top w:val="single" w:sz="4" w:color="B8C7D9"/>
              <w:left w:val="single" w:sz="4" w:color="B8C7D9"/>
              <w:bottom w:val="single" w:sz="4" w:color="B8C7D9"/>
              <w:right w:val="single" w:sz="4" w:color="B8C7D9"/>
            </w:tcBorders>
          </w:tcPr>
          <w:p>
            <w:r>
              <w:rPr>
                <w:sz w:val="17"/>
              </w:rPr>
              <w:t>Public vulnerability intelligence, core measures.</w:t>
            </w:r>
          </w:p>
        </w:tc>
      </w:tr>
      <w:tr>
        <w:trPr>
          <w:cantSplit w:val="true"/>
        </w:trPr>
        <w:tc>
          <w:tcPr>
            <w:tcW w:type="dxa" w:w="3408"/>
            <w:vAlign w:val="top"/>
            <w:tcBorders>
              <w:top w:val="single" w:sz="4" w:color="B8C7D9"/>
              <w:left w:val="single" w:sz="4" w:color="B8C7D9"/>
              <w:bottom w:val="single" w:sz="4" w:color="B8C7D9"/>
              <w:right w:val="single" w:sz="4" w:color="B8C7D9"/>
            </w:tcBorders>
          </w:tcPr>
          <w:p>
            <w:r>
              <w:rPr>
                <w:sz w:val="17"/>
              </w:rPr>
              <w:t>Reference URLs</w:t>
            </w:r>
          </w:p>
        </w:tc>
        <w:tc>
          <w:tcPr>
            <w:tcW w:type="dxa" w:w="3408"/>
            <w:vAlign w:val="top"/>
            <w:tcBorders>
              <w:top w:val="single" w:sz="4" w:color="B8C7D9"/>
              <w:left w:val="single" w:sz="4" w:color="B8C7D9"/>
              <w:bottom w:val="single" w:sz="4" w:color="B8C7D9"/>
              <w:right w:val="single" w:sz="4" w:color="B8C7D9"/>
            </w:tcBorders>
          </w:tcPr>
          <w:p>
            <w:r>
              <w:rPr>
                <w:sz w:val="17"/>
              </w:rPr>
              <w:t>Keep for analysis/audit where required; do not crawl them automatically in Phase 1.</w:t>
            </w:r>
          </w:p>
        </w:tc>
        <w:tc>
          <w:tcPr>
            <w:tcW w:type="dxa" w:w="3408"/>
            <w:vAlign w:val="top"/>
            <w:tcBorders>
              <w:top w:val="single" w:sz="4" w:color="B8C7D9"/>
              <w:left w:val="single" w:sz="4" w:color="B8C7D9"/>
              <w:bottom w:val="single" w:sz="4" w:color="B8C7D9"/>
              <w:right w:val="single" w:sz="4" w:color="B8C7D9"/>
            </w:tcBorders>
          </w:tcPr>
          <w:p>
            <w:r>
              <w:rPr>
                <w:sz w:val="17"/>
              </w:rPr>
              <w:t>Useful provenance, but not required for the first pipeline.</w:t>
            </w:r>
          </w:p>
        </w:tc>
      </w:tr>
      <w:tr>
        <w:trPr>
          <w:cantSplit w:val="true"/>
        </w:trPr>
        <w:tc>
          <w:tcPr>
            <w:tcW w:type="dxa" w:w="3408"/>
            <w:shd w:fill="F7F9FB"/>
            <w:vAlign w:val="top"/>
            <w:tcBorders>
              <w:top w:val="single" w:sz="4" w:color="B8C7D9"/>
              <w:left w:val="single" w:sz="4" w:color="B8C7D9"/>
              <w:bottom w:val="single" w:sz="4" w:color="B8C7D9"/>
              <w:right w:val="single" w:sz="4" w:color="B8C7D9"/>
            </w:tcBorders>
          </w:tcPr>
          <w:p>
            <w:r>
              <w:rPr>
                <w:sz w:val="17"/>
              </w:rPr>
              <w:t>API keys / credentials</w:t>
            </w:r>
          </w:p>
        </w:tc>
        <w:tc>
          <w:tcPr>
            <w:tcW w:type="dxa" w:w="3408"/>
            <w:shd w:fill="F7F9FB"/>
            <w:vAlign w:val="top"/>
            <w:tcBorders>
              <w:top w:val="single" w:sz="4" w:color="B8C7D9"/>
              <w:left w:val="single" w:sz="4" w:color="B8C7D9"/>
              <w:bottom w:val="single" w:sz="4" w:color="B8C7D9"/>
              <w:right w:val="single" w:sz="4" w:color="B8C7D9"/>
            </w:tcBorders>
          </w:tcPr>
          <w:p>
            <w:r>
              <w:rPr>
                <w:sz w:val="17"/>
              </w:rPr>
              <w:t>Never store.</w:t>
            </w:r>
          </w:p>
        </w:tc>
        <w:tc>
          <w:tcPr>
            <w:tcW w:type="dxa" w:w="3408"/>
            <w:shd w:fill="F7F9FB"/>
            <w:vAlign w:val="top"/>
            <w:tcBorders>
              <w:top w:val="single" w:sz="4" w:color="B8C7D9"/>
              <w:left w:val="single" w:sz="4" w:color="B8C7D9"/>
              <w:bottom w:val="single" w:sz="4" w:color="B8C7D9"/>
              <w:right w:val="single" w:sz="4" w:color="B8C7D9"/>
            </w:tcBorders>
          </w:tcPr>
          <w:p>
            <w:r>
              <w:rPr>
                <w:sz w:val="17"/>
              </w:rPr>
              <w:t>Secrets must remain in local environment variables or Databricks secrets.</w:t>
            </w:r>
          </w:p>
        </w:tc>
      </w:tr>
    </w:tbl>
    <w:p>
      <w:pPr>
        <w:pStyle w:val="Heading1"/>
      </w:pPr>
      <w:r>
        <w:t>7. High-Level Medallion Data Model</w:t>
      </w:r>
    </w:p>
    <w:p>
      <w:pPr>
        <w:pStyle w:val="Heading2"/>
      </w:pPr>
      <w:r>
        <w:t>7.1 Bronze Layer - Raw and Reproducible</w:t>
      </w:r>
    </w:p>
    <w:p>
      <w:r>
        <w:t>Bronze preserves the source payload with minimal interpretation and attaches operational metadata: batch ID, source name, source file/request, load type, ingestion timestamp and source checksum. This supports traceability and reprocessing without forcing the analytical layers to depend on raw files.</w:t>
      </w:r>
    </w:p>
    <w:p>
      <w:pPr>
        <w:pStyle w:val="Heading2"/>
      </w:pPr>
      <w:r>
        <w:t>7.2 Silver Layer - Cleansed and Normalized</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Table</w:t>
            </w:r>
          </w:p>
        </w:tc>
        <w:tc>
          <w:tcPr>
            <w:tcW w:type="dxa" w:w="3408"/>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Grain</w:t>
            </w:r>
          </w:p>
        </w:tc>
        <w:tc>
          <w:tcPr>
            <w:tcW w:type="dxa" w:w="3408"/>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Main fields</w:t>
            </w:r>
          </w:p>
        </w:tc>
      </w:tr>
      <w:tr>
        <w:trPr>
          <w:cantSplit w:val="true"/>
        </w:trPr>
        <w:tc>
          <w:tcPr>
            <w:tcW w:type="dxa" w:w="3408"/>
            <w:shd w:fill="F7F9FB"/>
            <w:vAlign w:val="top"/>
            <w:tcBorders>
              <w:top w:val="single" w:sz="4" w:color="B8C7D9"/>
              <w:left w:val="single" w:sz="4" w:color="B8C7D9"/>
              <w:bottom w:val="single" w:sz="4" w:color="B8C7D9"/>
              <w:right w:val="single" w:sz="4" w:color="B8C7D9"/>
            </w:tcBorders>
          </w:tcPr>
          <w:p>
            <w:r>
              <w:rPr>
                <w:sz w:val="17"/>
              </w:rPr>
              <w:t>silver_cve</w:t>
            </w:r>
          </w:p>
        </w:tc>
        <w:tc>
          <w:tcPr>
            <w:tcW w:type="dxa" w:w="3408"/>
            <w:shd w:fill="F7F9FB"/>
            <w:vAlign w:val="top"/>
            <w:tcBorders>
              <w:top w:val="single" w:sz="4" w:color="B8C7D9"/>
              <w:left w:val="single" w:sz="4" w:color="B8C7D9"/>
              <w:bottom w:val="single" w:sz="4" w:color="B8C7D9"/>
              <w:right w:val="single" w:sz="4" w:color="B8C7D9"/>
            </w:tcBorders>
          </w:tcPr>
          <w:p>
            <w:r>
              <w:rPr>
                <w:sz w:val="17"/>
              </w:rPr>
              <w:t>One current normalized record per CVE</w:t>
            </w:r>
          </w:p>
        </w:tc>
        <w:tc>
          <w:tcPr>
            <w:tcW w:type="dxa" w:w="3408"/>
            <w:shd w:fill="F7F9FB"/>
            <w:vAlign w:val="top"/>
            <w:tcBorders>
              <w:top w:val="single" w:sz="4" w:color="B8C7D9"/>
              <w:left w:val="single" w:sz="4" w:color="B8C7D9"/>
              <w:bottom w:val="single" w:sz="4" w:color="B8C7D9"/>
              <w:right w:val="single" w:sz="4" w:color="B8C7D9"/>
            </w:tcBorders>
          </w:tcPr>
          <w:p>
            <w:r>
              <w:rPr>
                <w:sz w:val="17"/>
              </w:rPr>
              <w:t>cve_id, published_at, last_modified_at, status, description, CVSS score/severity, attack metrics, primary CWE</w:t>
            </w:r>
          </w:p>
        </w:tc>
      </w:tr>
      <w:tr>
        <w:trPr>
          <w:cantSplit w:val="true"/>
        </w:trPr>
        <w:tc>
          <w:tcPr>
            <w:tcW w:type="dxa" w:w="3408"/>
            <w:vAlign w:val="top"/>
            <w:tcBorders>
              <w:top w:val="single" w:sz="4" w:color="B8C7D9"/>
              <w:left w:val="single" w:sz="4" w:color="B8C7D9"/>
              <w:bottom w:val="single" w:sz="4" w:color="B8C7D9"/>
              <w:right w:val="single" w:sz="4" w:color="B8C7D9"/>
            </w:tcBorders>
          </w:tcPr>
          <w:p>
            <w:r>
              <w:rPr>
                <w:sz w:val="17"/>
              </w:rPr>
              <w:t>silver_affected_product</w:t>
            </w:r>
          </w:p>
        </w:tc>
        <w:tc>
          <w:tcPr>
            <w:tcW w:type="dxa" w:w="3408"/>
            <w:vAlign w:val="top"/>
            <w:tcBorders>
              <w:top w:val="single" w:sz="4" w:color="B8C7D9"/>
              <w:left w:val="single" w:sz="4" w:color="B8C7D9"/>
              <w:bottom w:val="single" w:sz="4" w:color="B8C7D9"/>
              <w:right w:val="single" w:sz="4" w:color="B8C7D9"/>
            </w:tcBorders>
          </w:tcPr>
          <w:p>
            <w:r>
              <w:rPr>
                <w:sz w:val="17"/>
              </w:rPr>
              <w:t>One CVE-product relationship</w:t>
            </w:r>
          </w:p>
        </w:tc>
        <w:tc>
          <w:tcPr>
            <w:tcW w:type="dxa" w:w="3408"/>
            <w:vAlign w:val="top"/>
            <w:tcBorders>
              <w:top w:val="single" w:sz="4" w:color="B8C7D9"/>
              <w:left w:val="single" w:sz="4" w:color="B8C7D9"/>
              <w:bottom w:val="single" w:sz="4" w:color="B8C7D9"/>
              <w:right w:val="single" w:sz="4" w:color="B8C7D9"/>
            </w:tcBorders>
          </w:tcPr>
          <w:p>
            <w:r>
              <w:rPr>
                <w:sz w:val="17"/>
              </w:rPr>
              <w:t>cve_id, vendor, product, version range, vulnerable flag</w:t>
            </w:r>
          </w:p>
        </w:tc>
      </w:tr>
      <w:tr>
        <w:trPr>
          <w:cantSplit w:val="true"/>
        </w:trPr>
        <w:tc>
          <w:tcPr>
            <w:tcW w:type="dxa" w:w="3408"/>
            <w:shd w:fill="F7F9FB"/>
            <w:vAlign w:val="top"/>
            <w:tcBorders>
              <w:top w:val="single" w:sz="4" w:color="B8C7D9"/>
              <w:left w:val="single" w:sz="4" w:color="B8C7D9"/>
              <w:bottom w:val="single" w:sz="4" w:color="B8C7D9"/>
              <w:right w:val="single" w:sz="4" w:color="B8C7D9"/>
            </w:tcBorders>
          </w:tcPr>
          <w:p>
            <w:r>
              <w:rPr>
                <w:sz w:val="17"/>
              </w:rPr>
              <w:t>silver_cwe</w:t>
            </w:r>
          </w:p>
        </w:tc>
        <w:tc>
          <w:tcPr>
            <w:tcW w:type="dxa" w:w="3408"/>
            <w:shd w:fill="F7F9FB"/>
            <w:vAlign w:val="top"/>
            <w:tcBorders>
              <w:top w:val="single" w:sz="4" w:color="B8C7D9"/>
              <w:left w:val="single" w:sz="4" w:color="B8C7D9"/>
              <w:bottom w:val="single" w:sz="4" w:color="B8C7D9"/>
              <w:right w:val="single" w:sz="4" w:color="B8C7D9"/>
            </w:tcBorders>
          </w:tcPr>
          <w:p>
            <w:r>
              <w:rPr>
                <w:sz w:val="17"/>
              </w:rPr>
              <w:t>One CVE-CWE relationship</w:t>
            </w:r>
          </w:p>
        </w:tc>
        <w:tc>
          <w:tcPr>
            <w:tcW w:type="dxa" w:w="3408"/>
            <w:shd w:fill="F7F9FB"/>
            <w:vAlign w:val="top"/>
            <w:tcBorders>
              <w:top w:val="single" w:sz="4" w:color="B8C7D9"/>
              <w:left w:val="single" w:sz="4" w:color="B8C7D9"/>
              <w:bottom w:val="single" w:sz="4" w:color="B8C7D9"/>
              <w:right w:val="single" w:sz="4" w:color="B8C7D9"/>
            </w:tcBorders>
          </w:tcPr>
          <w:p>
            <w:r>
              <w:rPr>
                <w:sz w:val="17"/>
              </w:rPr>
              <w:t>cve_id, cwe_id</w:t>
            </w:r>
          </w:p>
        </w:tc>
      </w:tr>
      <w:tr>
        <w:trPr>
          <w:cantSplit w:val="true"/>
        </w:trPr>
        <w:tc>
          <w:tcPr>
            <w:tcW w:type="dxa" w:w="3408"/>
            <w:vAlign w:val="top"/>
            <w:tcBorders>
              <w:top w:val="single" w:sz="4" w:color="B8C7D9"/>
              <w:left w:val="single" w:sz="4" w:color="B8C7D9"/>
              <w:bottom w:val="single" w:sz="4" w:color="B8C7D9"/>
              <w:right w:val="single" w:sz="4" w:color="B8C7D9"/>
            </w:tcBorders>
          </w:tcPr>
          <w:p>
            <w:r>
              <w:rPr>
                <w:sz w:val="17"/>
              </w:rPr>
              <w:t>silver_reference</w:t>
            </w:r>
          </w:p>
        </w:tc>
        <w:tc>
          <w:tcPr>
            <w:tcW w:type="dxa" w:w="3408"/>
            <w:vAlign w:val="top"/>
            <w:tcBorders>
              <w:top w:val="single" w:sz="4" w:color="B8C7D9"/>
              <w:left w:val="single" w:sz="4" w:color="B8C7D9"/>
              <w:bottom w:val="single" w:sz="4" w:color="B8C7D9"/>
              <w:right w:val="single" w:sz="4" w:color="B8C7D9"/>
            </w:tcBorders>
          </w:tcPr>
          <w:p>
            <w:r>
              <w:rPr>
                <w:sz w:val="17"/>
              </w:rPr>
              <w:t>One CVE-reference relationship</w:t>
            </w:r>
          </w:p>
        </w:tc>
        <w:tc>
          <w:tcPr>
            <w:tcW w:type="dxa" w:w="3408"/>
            <w:vAlign w:val="top"/>
            <w:tcBorders>
              <w:top w:val="single" w:sz="4" w:color="B8C7D9"/>
              <w:left w:val="single" w:sz="4" w:color="B8C7D9"/>
              <w:bottom w:val="single" w:sz="4" w:color="B8C7D9"/>
              <w:right w:val="single" w:sz="4" w:color="B8C7D9"/>
            </w:tcBorders>
          </w:tcPr>
          <w:p>
            <w:r>
              <w:rPr>
                <w:sz w:val="17"/>
              </w:rPr>
              <w:t>cve_id, reference_url, reference_type</w:t>
            </w:r>
          </w:p>
        </w:tc>
      </w:tr>
      <w:tr>
        <w:trPr>
          <w:cantSplit w:val="true"/>
        </w:trPr>
        <w:tc>
          <w:tcPr>
            <w:tcW w:type="dxa" w:w="3408"/>
            <w:shd w:fill="F7F9FB"/>
            <w:vAlign w:val="top"/>
            <w:tcBorders>
              <w:top w:val="single" w:sz="4" w:color="B8C7D9"/>
              <w:left w:val="single" w:sz="4" w:color="B8C7D9"/>
              <w:bottom w:val="single" w:sz="4" w:color="B8C7D9"/>
              <w:right w:val="single" w:sz="4" w:color="B8C7D9"/>
            </w:tcBorders>
          </w:tcPr>
          <w:p>
            <w:r>
              <w:rPr>
                <w:sz w:val="17"/>
              </w:rPr>
              <w:t>silver_kev</w:t>
            </w:r>
          </w:p>
        </w:tc>
        <w:tc>
          <w:tcPr>
            <w:tcW w:type="dxa" w:w="3408"/>
            <w:shd w:fill="F7F9FB"/>
            <w:vAlign w:val="top"/>
            <w:tcBorders>
              <w:top w:val="single" w:sz="4" w:color="B8C7D9"/>
              <w:left w:val="single" w:sz="4" w:color="B8C7D9"/>
              <w:bottom w:val="single" w:sz="4" w:color="B8C7D9"/>
              <w:right w:val="single" w:sz="4" w:color="B8C7D9"/>
            </w:tcBorders>
          </w:tcPr>
          <w:p>
            <w:r>
              <w:rPr>
                <w:sz w:val="17"/>
              </w:rPr>
              <w:t>One KEV entry per CVE</w:t>
            </w:r>
          </w:p>
        </w:tc>
        <w:tc>
          <w:tcPr>
            <w:tcW w:type="dxa" w:w="3408"/>
            <w:shd w:fill="F7F9FB"/>
            <w:vAlign w:val="top"/>
            <w:tcBorders>
              <w:top w:val="single" w:sz="4" w:color="B8C7D9"/>
              <w:left w:val="single" w:sz="4" w:color="B8C7D9"/>
              <w:bottom w:val="single" w:sz="4" w:color="B8C7D9"/>
              <w:right w:val="single" w:sz="4" w:color="B8C7D9"/>
            </w:tcBorders>
          </w:tcPr>
          <w:p>
            <w:r>
              <w:rPr>
                <w:sz w:val="17"/>
              </w:rPr>
              <w:t>cve_id, date_added, due_date, ransomware_use, required_action</w:t>
            </w:r>
          </w:p>
        </w:tc>
      </w:tr>
    </w:tbl>
    <w:p>
      <w:r>
        <w:t>Core Silver transformations: flatten nested JSON, keep English description, cast dates/timestamps, standardize severity, derive numeric CVSS fields, split vendor/product relationships, normalize CWE identifiers, remove duplicate CVE records, handle missing values and validate numeric/date domains.</w:t>
      </w:r>
    </w:p>
    <w:p>
      <w:pPr>
        <w:pStyle w:val="Heading2"/>
      </w:pPr>
      <w:r>
        <w:t>7.3 Gold Layer - Analyst Ready</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Gold table</w:t>
            </w:r>
          </w:p>
        </w:tc>
        <w:tc>
          <w:tcPr>
            <w:tcW w:type="dxa" w:w="3408"/>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Purpose</w:t>
            </w:r>
          </w:p>
        </w:tc>
        <w:tc>
          <w:tcPr>
            <w:tcW w:type="dxa" w:w="3408"/>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Representative metrics</w:t>
            </w:r>
          </w:p>
        </w:tc>
      </w:tr>
      <w:tr>
        <w:trPr>
          <w:cantSplit w:val="true"/>
        </w:trPr>
        <w:tc>
          <w:tcPr>
            <w:tcW w:type="dxa" w:w="3408"/>
            <w:shd w:fill="F7F9FB"/>
            <w:vAlign w:val="top"/>
            <w:tcBorders>
              <w:top w:val="single" w:sz="4" w:color="B8C7D9"/>
              <w:left w:val="single" w:sz="4" w:color="B8C7D9"/>
              <w:bottom w:val="single" w:sz="4" w:color="B8C7D9"/>
              <w:right w:val="single" w:sz="4" w:color="B8C7D9"/>
            </w:tcBorders>
          </w:tcPr>
          <w:p>
            <w:r>
              <w:rPr>
                <w:sz w:val="17"/>
              </w:rPr>
              <w:t>gold_vulnerability_trends</w:t>
            </w:r>
          </w:p>
        </w:tc>
        <w:tc>
          <w:tcPr>
            <w:tcW w:type="dxa" w:w="3408"/>
            <w:shd w:fill="F7F9FB"/>
            <w:vAlign w:val="top"/>
            <w:tcBorders>
              <w:top w:val="single" w:sz="4" w:color="B8C7D9"/>
              <w:left w:val="single" w:sz="4" w:color="B8C7D9"/>
              <w:bottom w:val="single" w:sz="4" w:color="B8C7D9"/>
              <w:right w:val="single" w:sz="4" w:color="B8C7D9"/>
            </w:tcBorders>
          </w:tcPr>
          <w:p>
            <w:r>
              <w:rPr>
                <w:sz w:val="17"/>
              </w:rPr>
              <w:t>Time-based vulnerability landscape</w:t>
            </w:r>
          </w:p>
        </w:tc>
        <w:tc>
          <w:tcPr>
            <w:tcW w:type="dxa" w:w="3408"/>
            <w:shd w:fill="F7F9FB"/>
            <w:vAlign w:val="top"/>
            <w:tcBorders>
              <w:top w:val="single" w:sz="4" w:color="B8C7D9"/>
              <w:left w:val="single" w:sz="4" w:color="B8C7D9"/>
              <w:bottom w:val="single" w:sz="4" w:color="B8C7D9"/>
              <w:right w:val="single" w:sz="4" w:color="B8C7D9"/>
            </w:tcBorders>
          </w:tcPr>
          <w:p>
            <w:r>
              <w:rPr>
                <w:sz w:val="17"/>
              </w:rPr>
              <w:t>CVEs by month/year, severity mix, critical/high counts</w:t>
            </w:r>
          </w:p>
        </w:tc>
      </w:tr>
      <w:tr>
        <w:trPr>
          <w:cantSplit w:val="true"/>
        </w:trPr>
        <w:tc>
          <w:tcPr>
            <w:tcW w:type="dxa" w:w="3408"/>
            <w:vAlign w:val="top"/>
            <w:tcBorders>
              <w:top w:val="single" w:sz="4" w:color="B8C7D9"/>
              <w:left w:val="single" w:sz="4" w:color="B8C7D9"/>
              <w:bottom w:val="single" w:sz="4" w:color="B8C7D9"/>
              <w:right w:val="single" w:sz="4" w:color="B8C7D9"/>
            </w:tcBorders>
          </w:tcPr>
          <w:p>
            <w:r>
              <w:rPr>
                <w:sz w:val="17"/>
              </w:rPr>
              <w:t>gold_vendor_risk</w:t>
            </w:r>
          </w:p>
        </w:tc>
        <w:tc>
          <w:tcPr>
            <w:tcW w:type="dxa" w:w="3408"/>
            <w:vAlign w:val="top"/>
            <w:tcBorders>
              <w:top w:val="single" w:sz="4" w:color="B8C7D9"/>
              <w:left w:val="single" w:sz="4" w:color="B8C7D9"/>
              <w:bottom w:val="single" w:sz="4" w:color="B8C7D9"/>
              <w:right w:val="single" w:sz="4" w:color="B8C7D9"/>
            </w:tcBorders>
          </w:tcPr>
          <w:p>
            <w:r>
              <w:rPr>
                <w:sz w:val="17"/>
              </w:rPr>
              <w:t>Vendor/product exposure analysis</w:t>
            </w:r>
          </w:p>
        </w:tc>
        <w:tc>
          <w:tcPr>
            <w:tcW w:type="dxa" w:w="3408"/>
            <w:vAlign w:val="top"/>
            <w:tcBorders>
              <w:top w:val="single" w:sz="4" w:color="B8C7D9"/>
              <w:left w:val="single" w:sz="4" w:color="B8C7D9"/>
              <w:bottom w:val="single" w:sz="4" w:color="B8C7D9"/>
              <w:right w:val="single" w:sz="4" w:color="B8C7D9"/>
            </w:tcBorders>
          </w:tcPr>
          <w:p>
            <w:r>
              <w:rPr>
                <w:sz w:val="17"/>
              </w:rPr>
              <w:t>total CVEs, critical CVEs, KEV CVEs, average CVSS</w:t>
            </w:r>
          </w:p>
        </w:tc>
      </w:tr>
      <w:tr>
        <w:trPr>
          <w:cantSplit w:val="true"/>
        </w:trPr>
        <w:tc>
          <w:tcPr>
            <w:tcW w:type="dxa" w:w="3408"/>
            <w:shd w:fill="F7F9FB"/>
            <w:vAlign w:val="top"/>
            <w:tcBorders>
              <w:top w:val="single" w:sz="4" w:color="B8C7D9"/>
              <w:left w:val="single" w:sz="4" w:color="B8C7D9"/>
              <w:bottom w:val="single" w:sz="4" w:color="B8C7D9"/>
              <w:right w:val="single" w:sz="4" w:color="B8C7D9"/>
            </w:tcBorders>
          </w:tcPr>
          <w:p>
            <w:r>
              <w:rPr>
                <w:sz w:val="17"/>
              </w:rPr>
              <w:t>gold_kev_response</w:t>
            </w:r>
          </w:p>
        </w:tc>
        <w:tc>
          <w:tcPr>
            <w:tcW w:type="dxa" w:w="3408"/>
            <w:shd w:fill="F7F9FB"/>
            <w:vAlign w:val="top"/>
            <w:tcBorders>
              <w:top w:val="single" w:sz="4" w:color="B8C7D9"/>
              <w:left w:val="single" w:sz="4" w:color="B8C7D9"/>
              <w:bottom w:val="single" w:sz="4" w:color="B8C7D9"/>
              <w:right w:val="single" w:sz="4" w:color="B8C7D9"/>
            </w:tcBorders>
          </w:tcPr>
          <w:p>
            <w:r>
              <w:rPr>
                <w:sz w:val="17"/>
              </w:rPr>
              <w:t>Exploit-related response timing</w:t>
            </w:r>
          </w:p>
        </w:tc>
        <w:tc>
          <w:tcPr>
            <w:tcW w:type="dxa" w:w="3408"/>
            <w:shd w:fill="F7F9FB"/>
            <w:vAlign w:val="top"/>
            <w:tcBorders>
              <w:top w:val="single" w:sz="4" w:color="B8C7D9"/>
              <w:left w:val="single" w:sz="4" w:color="B8C7D9"/>
              <w:bottom w:val="single" w:sz="4" w:color="B8C7D9"/>
              <w:right w:val="single" w:sz="4" w:color="B8C7D9"/>
            </w:tcBorders>
          </w:tcPr>
          <w:p>
            <w:r>
              <w:rPr>
                <w:sz w:val="17"/>
              </w:rPr>
              <w:t>days from NVD publication to CISA KEV catalog inclusion</w:t>
            </w:r>
          </w:p>
        </w:tc>
      </w:tr>
      <w:tr>
        <w:trPr>
          <w:cantSplit w:val="true"/>
        </w:trPr>
        <w:tc>
          <w:tcPr>
            <w:tcW w:type="dxa" w:w="3408"/>
            <w:vAlign w:val="top"/>
            <w:tcBorders>
              <w:top w:val="single" w:sz="4" w:color="B8C7D9"/>
              <w:left w:val="single" w:sz="4" w:color="B8C7D9"/>
              <w:bottom w:val="single" w:sz="4" w:color="B8C7D9"/>
              <w:right w:val="single" w:sz="4" w:color="B8C7D9"/>
            </w:tcBorders>
          </w:tcPr>
          <w:p>
            <w:r>
              <w:rPr>
                <w:sz w:val="17"/>
              </w:rPr>
              <w:t>gold_cwe_trends</w:t>
            </w:r>
          </w:p>
        </w:tc>
        <w:tc>
          <w:tcPr>
            <w:tcW w:type="dxa" w:w="3408"/>
            <w:vAlign w:val="top"/>
            <w:tcBorders>
              <w:top w:val="single" w:sz="4" w:color="B8C7D9"/>
              <w:left w:val="single" w:sz="4" w:color="B8C7D9"/>
              <w:bottom w:val="single" w:sz="4" w:color="B8C7D9"/>
              <w:right w:val="single" w:sz="4" w:color="B8C7D9"/>
            </w:tcBorders>
          </w:tcPr>
          <w:p>
            <w:r>
              <w:rPr>
                <w:sz w:val="17"/>
              </w:rPr>
              <w:t>Weakness trend analysis</w:t>
            </w:r>
          </w:p>
        </w:tc>
        <w:tc>
          <w:tcPr>
            <w:tcW w:type="dxa" w:w="3408"/>
            <w:vAlign w:val="top"/>
            <w:tcBorders>
              <w:top w:val="single" w:sz="4" w:color="B8C7D9"/>
              <w:left w:val="single" w:sz="4" w:color="B8C7D9"/>
              <w:bottom w:val="single" w:sz="4" w:color="B8C7D9"/>
              <w:right w:val="single" w:sz="4" w:color="B8C7D9"/>
            </w:tcBorders>
          </w:tcPr>
          <w:p>
            <w:r>
              <w:rPr>
                <w:sz w:val="17"/>
              </w:rPr>
              <w:t>CVE count, KEV count and severity by CWE over time</w:t>
            </w:r>
          </w:p>
        </w:tc>
      </w:tr>
      <w:tr>
        <w:trPr>
          <w:cantSplit w:val="true"/>
        </w:trPr>
        <w:tc>
          <w:tcPr>
            <w:tcW w:type="dxa" w:w="3408"/>
            <w:shd w:fill="F7F9FB"/>
            <w:vAlign w:val="top"/>
            <w:tcBorders>
              <w:top w:val="single" w:sz="4" w:color="B8C7D9"/>
              <w:left w:val="single" w:sz="4" w:color="B8C7D9"/>
              <w:bottom w:val="single" w:sz="4" w:color="B8C7D9"/>
              <w:right w:val="single" w:sz="4" w:color="B8C7D9"/>
            </w:tcBorders>
          </w:tcPr>
          <w:p>
            <w:r>
              <w:rPr>
                <w:sz w:val="17"/>
              </w:rPr>
              <w:t>gold_watchlist</w:t>
            </w:r>
          </w:p>
        </w:tc>
        <w:tc>
          <w:tcPr>
            <w:tcW w:type="dxa" w:w="3408"/>
            <w:shd w:fill="F7F9FB"/>
            <w:vAlign w:val="top"/>
            <w:tcBorders>
              <w:top w:val="single" w:sz="4" w:color="B8C7D9"/>
              <w:left w:val="single" w:sz="4" w:color="B8C7D9"/>
              <w:bottom w:val="single" w:sz="4" w:color="B8C7D9"/>
              <w:right w:val="single" w:sz="4" w:color="B8C7D9"/>
            </w:tcBorders>
          </w:tcPr>
          <w:p>
            <w:r>
              <w:rPr>
                <w:sz w:val="17"/>
              </w:rPr>
              <w:t>Compact latest-priority view</w:t>
            </w:r>
          </w:p>
        </w:tc>
        <w:tc>
          <w:tcPr>
            <w:tcW w:type="dxa" w:w="3408"/>
            <w:shd w:fill="F7F9FB"/>
            <w:vAlign w:val="top"/>
            <w:tcBorders>
              <w:top w:val="single" w:sz="4" w:color="B8C7D9"/>
              <w:left w:val="single" w:sz="4" w:color="B8C7D9"/>
              <w:bottom w:val="single" w:sz="4" w:color="B8C7D9"/>
              <w:right w:val="single" w:sz="4" w:color="B8C7D9"/>
            </w:tcBorders>
          </w:tcPr>
          <w:p>
            <w:r>
              <w:rPr>
                <w:sz w:val="17"/>
              </w:rPr>
              <w:t>KEV flag, severity, due date, recency and project-defined priority rules</w:t>
            </w:r>
          </w:p>
        </w:tc>
      </w:tr>
      <w:tr>
        <w:trPr>
          <w:cantSplit w:val="true"/>
        </w:trPr>
        <w:tc>
          <w:tcPr>
            <w:tcW w:type="dxa" w:w="3408"/>
            <w:vAlign w:val="top"/>
            <w:tcBorders>
              <w:top w:val="single" w:sz="4" w:color="B8C7D9"/>
              <w:left w:val="single" w:sz="4" w:color="B8C7D9"/>
              <w:bottom w:val="single" w:sz="4" w:color="B8C7D9"/>
              <w:right w:val="single" w:sz="4" w:color="B8C7D9"/>
            </w:tcBorders>
          </w:tcPr>
          <w:p>
            <w:r>
              <w:rPr>
                <w:sz w:val="17"/>
              </w:rPr>
              <w:t>gold_pipeline_audit</w:t>
            </w:r>
          </w:p>
        </w:tc>
        <w:tc>
          <w:tcPr>
            <w:tcW w:type="dxa" w:w="3408"/>
            <w:vAlign w:val="top"/>
            <w:tcBorders>
              <w:top w:val="single" w:sz="4" w:color="B8C7D9"/>
              <w:left w:val="single" w:sz="4" w:color="B8C7D9"/>
              <w:bottom w:val="single" w:sz="4" w:color="B8C7D9"/>
              <w:right w:val="single" w:sz="4" w:color="B8C7D9"/>
            </w:tcBorders>
          </w:tcPr>
          <w:p>
            <w:r>
              <w:rPr>
                <w:sz w:val="17"/>
              </w:rPr>
              <w:t>Operational observability</w:t>
            </w:r>
          </w:p>
        </w:tc>
        <w:tc>
          <w:tcPr>
            <w:tcW w:type="dxa" w:w="3408"/>
            <w:vAlign w:val="top"/>
            <w:tcBorders>
              <w:top w:val="single" w:sz="4" w:color="B8C7D9"/>
              <w:left w:val="single" w:sz="4" w:color="B8C7D9"/>
              <w:bottom w:val="single" w:sz="4" w:color="B8C7D9"/>
              <w:right w:val="single" w:sz="4" w:color="B8C7D9"/>
            </w:tcBorders>
          </w:tcPr>
          <w:p>
            <w:r>
              <w:rPr>
                <w:sz w:val="17"/>
              </w:rPr>
              <w:t>records in/out, rejected rows, bytes, run time and watermarks</w:t>
            </w:r>
          </w:p>
        </w:tc>
      </w:tr>
    </w:tbl>
    <w:p>
      <w:r>
        <w:t>Important metric definition: `days_to_kev_inclusion = CISA dateAdded - NVD published date`. This is a time-to-catalog-inclusion measure, not a claim that the first exploitation occurred on the catalog date.</w:t>
      </w:r>
    </w:p>
    <w:p>
      <w:pPr>
        <w:pStyle w:val="Heading1"/>
      </w:pPr>
      <w:r>
        <w:t>8. Business Intelligence and Dashboard Plan</w:t>
      </w:r>
    </w:p>
    <w:p>
      <w:r>
        <w:t>The final Power BI dashboard will be designed for a security analyst or vulnerability-management team. The goal is not to reproduce the NVD website; it is to combine sources and expose trends and prioritization signals produced by the Spark pipeline.</w:t>
      </w:r>
    </w:p>
    <w:p>
      <w:pPr>
        <w:pStyle w:val="Heading2"/>
      </w:pPr>
      <w:r>
        <w:t>8.1 Business / Analytical Questions</w:t>
      </w:r>
    </w:p>
    <w:p>
      <w:pPr>
        <w:pStyle w:val="ListBullet"/>
        <w:spacing w:after="40"/>
      </w:pPr>
      <w:r>
        <w:t>How is the volume and severity of reported vulnerabilities changing over time?</w:t>
      </w:r>
    </w:p>
    <w:p>
      <w:pPr>
        <w:pStyle w:val="ListBullet"/>
        <w:spacing w:after="40"/>
      </w:pPr>
      <w:r>
        <w:t>Which vendors and products have the highest concentration of known exploited vulnerabilities?</w:t>
      </w:r>
    </w:p>
    <w:p>
      <w:pPr>
        <w:pStyle w:val="ListBullet"/>
        <w:spacing w:after="40"/>
      </w:pPr>
      <w:r>
        <w:t>Which weakness categories (CWE) appear most frequently among exploited vulnerabilities?</w:t>
      </w:r>
    </w:p>
    <w:p>
      <w:pPr>
        <w:pStyle w:val="ListBullet"/>
        <w:spacing w:after="40"/>
      </w:pPr>
      <w:r>
        <w:t>How long, on average, is the gap between NVD publication and KEV catalog inclusion?</w:t>
      </w:r>
    </w:p>
    <w:p>
      <w:pPr>
        <w:pStyle w:val="ListBullet"/>
        <w:spacing w:after="40"/>
      </w:pPr>
      <w:r>
        <w:t>Which current vulnerabilities meet the project-defined watchlist rules?</w:t>
      </w:r>
    </w:p>
    <w:p>
      <w:pPr>
        <w:pStyle w:val="Heading2"/>
      </w:pPr>
      <w:r>
        <w:t>8.2 Planned Visuals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Visual</w:t>
            </w:r>
          </w:p>
        </w:tc>
        <w:tc>
          <w:tcPr>
            <w:tcW w:type="dxa" w:w="3408"/>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What it shows</w:t>
            </w:r>
          </w:p>
        </w:tc>
        <w:tc>
          <w:tcPr>
            <w:tcW w:type="dxa" w:w="3408"/>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Gold source</w:t>
            </w:r>
          </w:p>
        </w:tc>
      </w:tr>
      <w:tr>
        <w:trPr>
          <w:cantSplit w:val="true"/>
        </w:trPr>
        <w:tc>
          <w:tcPr>
            <w:tcW w:type="dxa" w:w="3408"/>
            <w:shd w:fill="F7F9FB"/>
            <w:vAlign w:val="top"/>
            <w:tcBorders>
              <w:top w:val="single" w:sz="4" w:color="B8C7D9"/>
              <w:left w:val="single" w:sz="4" w:color="B8C7D9"/>
              <w:bottom w:val="single" w:sz="4" w:color="B8C7D9"/>
              <w:right w:val="single" w:sz="4" w:color="B8C7D9"/>
            </w:tcBorders>
          </w:tcPr>
          <w:p>
            <w:r>
              <w:rPr>
                <w:sz w:val="17"/>
              </w:rPr>
              <w:t>Severity trend line</w:t>
            </w:r>
          </w:p>
        </w:tc>
        <w:tc>
          <w:tcPr>
            <w:tcW w:type="dxa" w:w="3408"/>
            <w:shd w:fill="F7F9FB"/>
            <w:vAlign w:val="top"/>
            <w:tcBorders>
              <w:top w:val="single" w:sz="4" w:color="B8C7D9"/>
              <w:left w:val="single" w:sz="4" w:color="B8C7D9"/>
              <w:bottom w:val="single" w:sz="4" w:color="B8C7D9"/>
              <w:right w:val="single" w:sz="4" w:color="B8C7D9"/>
            </w:tcBorders>
          </w:tcPr>
          <w:p>
            <w:r>
              <w:rPr>
                <w:sz w:val="17"/>
              </w:rPr>
              <w:t>Monthly/quarterly CVE volume split by severity.</w:t>
            </w:r>
          </w:p>
        </w:tc>
        <w:tc>
          <w:tcPr>
            <w:tcW w:type="dxa" w:w="3408"/>
            <w:shd w:fill="F7F9FB"/>
            <w:vAlign w:val="top"/>
            <w:tcBorders>
              <w:top w:val="single" w:sz="4" w:color="B8C7D9"/>
              <w:left w:val="single" w:sz="4" w:color="B8C7D9"/>
              <w:bottom w:val="single" w:sz="4" w:color="B8C7D9"/>
              <w:right w:val="single" w:sz="4" w:color="B8C7D9"/>
            </w:tcBorders>
          </w:tcPr>
          <w:p>
            <w:r>
              <w:rPr>
                <w:sz w:val="17"/>
              </w:rPr>
              <w:t>gold_vulnerability_trends</w:t>
            </w:r>
          </w:p>
        </w:tc>
      </w:tr>
      <w:tr>
        <w:trPr>
          <w:cantSplit w:val="true"/>
        </w:trPr>
        <w:tc>
          <w:tcPr>
            <w:tcW w:type="dxa" w:w="3408"/>
            <w:vAlign w:val="top"/>
            <w:tcBorders>
              <w:top w:val="single" w:sz="4" w:color="B8C7D9"/>
              <w:left w:val="single" w:sz="4" w:color="B8C7D9"/>
              <w:bottom w:val="single" w:sz="4" w:color="B8C7D9"/>
              <w:right w:val="single" w:sz="4" w:color="B8C7D9"/>
            </w:tcBorders>
          </w:tcPr>
          <w:p>
            <w:r>
              <w:rPr>
                <w:sz w:val="17"/>
              </w:rPr>
              <w:t>Vendor exposure bar chart</w:t>
            </w:r>
          </w:p>
        </w:tc>
        <w:tc>
          <w:tcPr>
            <w:tcW w:type="dxa" w:w="3408"/>
            <w:vAlign w:val="top"/>
            <w:tcBorders>
              <w:top w:val="single" w:sz="4" w:color="B8C7D9"/>
              <w:left w:val="single" w:sz="4" w:color="B8C7D9"/>
              <w:bottom w:val="single" w:sz="4" w:color="B8C7D9"/>
              <w:right w:val="single" w:sz="4" w:color="B8C7D9"/>
            </w:tcBorders>
          </w:tcPr>
          <w:p>
            <w:r>
              <w:rPr>
                <w:sz w:val="17"/>
              </w:rPr>
              <w:t>Top vendors by total/critical/KEV vulnerabilities.</w:t>
            </w:r>
          </w:p>
        </w:tc>
        <w:tc>
          <w:tcPr>
            <w:tcW w:type="dxa" w:w="3408"/>
            <w:vAlign w:val="top"/>
            <w:tcBorders>
              <w:top w:val="single" w:sz="4" w:color="B8C7D9"/>
              <w:left w:val="single" w:sz="4" w:color="B8C7D9"/>
              <w:bottom w:val="single" w:sz="4" w:color="B8C7D9"/>
              <w:right w:val="single" w:sz="4" w:color="B8C7D9"/>
            </w:tcBorders>
          </w:tcPr>
          <w:p>
            <w:r>
              <w:rPr>
                <w:sz w:val="17"/>
              </w:rPr>
              <w:t>gold_vendor_risk</w:t>
            </w:r>
          </w:p>
        </w:tc>
      </w:tr>
      <w:tr>
        <w:trPr>
          <w:cantSplit w:val="true"/>
        </w:trPr>
        <w:tc>
          <w:tcPr>
            <w:tcW w:type="dxa" w:w="3408"/>
            <w:shd w:fill="F7F9FB"/>
            <w:vAlign w:val="top"/>
            <w:tcBorders>
              <w:top w:val="single" w:sz="4" w:color="B8C7D9"/>
              <w:left w:val="single" w:sz="4" w:color="B8C7D9"/>
              <w:bottom w:val="single" w:sz="4" w:color="B8C7D9"/>
              <w:right w:val="single" w:sz="4" w:color="B8C7D9"/>
            </w:tcBorders>
          </w:tcPr>
          <w:p>
            <w:r>
              <w:rPr>
                <w:sz w:val="17"/>
              </w:rPr>
              <w:t>Publication-to-KEV distribution</w:t>
            </w:r>
          </w:p>
        </w:tc>
        <w:tc>
          <w:tcPr>
            <w:tcW w:type="dxa" w:w="3408"/>
            <w:shd w:fill="F7F9FB"/>
            <w:vAlign w:val="top"/>
            <w:tcBorders>
              <w:top w:val="single" w:sz="4" w:color="B8C7D9"/>
              <w:left w:val="single" w:sz="4" w:color="B8C7D9"/>
              <w:bottom w:val="single" w:sz="4" w:color="B8C7D9"/>
              <w:right w:val="single" w:sz="4" w:color="B8C7D9"/>
            </w:tcBorders>
          </w:tcPr>
          <w:p>
            <w:r>
              <w:rPr>
                <w:sz w:val="17"/>
              </w:rPr>
              <w:t>Distribution of days to KEV inclusion, with median and percentile indicators.</w:t>
            </w:r>
          </w:p>
        </w:tc>
        <w:tc>
          <w:tcPr>
            <w:tcW w:type="dxa" w:w="3408"/>
            <w:shd w:fill="F7F9FB"/>
            <w:vAlign w:val="top"/>
            <w:tcBorders>
              <w:top w:val="single" w:sz="4" w:color="B8C7D9"/>
              <w:left w:val="single" w:sz="4" w:color="B8C7D9"/>
              <w:bottom w:val="single" w:sz="4" w:color="B8C7D9"/>
              <w:right w:val="single" w:sz="4" w:color="B8C7D9"/>
            </w:tcBorders>
          </w:tcPr>
          <w:p>
            <w:r>
              <w:rPr>
                <w:sz w:val="17"/>
              </w:rPr>
              <w:t>gold_kev_response</w:t>
            </w:r>
          </w:p>
        </w:tc>
      </w:tr>
      <w:tr>
        <w:trPr>
          <w:cantSplit w:val="true"/>
        </w:trPr>
        <w:tc>
          <w:tcPr>
            <w:tcW w:type="dxa" w:w="3408"/>
            <w:vAlign w:val="top"/>
            <w:tcBorders>
              <w:top w:val="single" w:sz="4" w:color="B8C7D9"/>
              <w:left w:val="single" w:sz="4" w:color="B8C7D9"/>
              <w:bottom w:val="single" w:sz="4" w:color="B8C7D9"/>
              <w:right w:val="single" w:sz="4" w:color="B8C7D9"/>
            </w:tcBorders>
          </w:tcPr>
          <w:p>
            <w:r>
              <w:rPr>
                <w:sz w:val="17"/>
              </w:rPr>
              <w:t>CWE heatmap</w:t>
            </w:r>
          </w:p>
        </w:tc>
        <w:tc>
          <w:tcPr>
            <w:tcW w:type="dxa" w:w="3408"/>
            <w:vAlign w:val="top"/>
            <w:tcBorders>
              <w:top w:val="single" w:sz="4" w:color="B8C7D9"/>
              <w:left w:val="single" w:sz="4" w:color="B8C7D9"/>
              <w:bottom w:val="single" w:sz="4" w:color="B8C7D9"/>
              <w:right w:val="single" w:sz="4" w:color="B8C7D9"/>
            </w:tcBorders>
          </w:tcPr>
          <w:p>
            <w:r>
              <w:rPr>
                <w:sz w:val="17"/>
              </w:rPr>
              <w:t>Weakness categories by time and KEV count.</w:t>
            </w:r>
          </w:p>
        </w:tc>
        <w:tc>
          <w:tcPr>
            <w:tcW w:type="dxa" w:w="3408"/>
            <w:vAlign w:val="top"/>
            <w:tcBorders>
              <w:top w:val="single" w:sz="4" w:color="B8C7D9"/>
              <w:left w:val="single" w:sz="4" w:color="B8C7D9"/>
              <w:bottom w:val="single" w:sz="4" w:color="B8C7D9"/>
              <w:right w:val="single" w:sz="4" w:color="B8C7D9"/>
            </w:tcBorders>
          </w:tcPr>
          <w:p>
            <w:r>
              <w:rPr>
                <w:sz w:val="17"/>
              </w:rPr>
              <w:t>gold_cwe_trends</w:t>
            </w:r>
          </w:p>
        </w:tc>
      </w:tr>
      <w:tr>
        <w:trPr>
          <w:cantSplit w:val="true"/>
        </w:trPr>
        <w:tc>
          <w:tcPr>
            <w:tcW w:type="dxa" w:w="3408"/>
            <w:shd w:fill="F7F9FB"/>
            <w:vAlign w:val="top"/>
            <w:tcBorders>
              <w:top w:val="single" w:sz="4" w:color="B8C7D9"/>
              <w:left w:val="single" w:sz="4" w:color="B8C7D9"/>
              <w:bottom w:val="single" w:sz="4" w:color="B8C7D9"/>
              <w:right w:val="single" w:sz="4" w:color="B8C7D9"/>
            </w:tcBorders>
          </w:tcPr>
          <w:p>
            <w:r>
              <w:rPr>
                <w:sz w:val="17"/>
              </w:rPr>
              <w:t>Current watchlist table</w:t>
            </w:r>
          </w:p>
        </w:tc>
        <w:tc>
          <w:tcPr>
            <w:tcW w:type="dxa" w:w="3408"/>
            <w:shd w:fill="F7F9FB"/>
            <w:vAlign w:val="top"/>
            <w:tcBorders>
              <w:top w:val="single" w:sz="4" w:color="B8C7D9"/>
              <w:left w:val="single" w:sz="4" w:color="B8C7D9"/>
              <w:bottom w:val="single" w:sz="4" w:color="B8C7D9"/>
              <w:right w:val="single" w:sz="4" w:color="B8C7D9"/>
            </w:tcBorders>
          </w:tcPr>
          <w:p>
            <w:r>
              <w:rPr>
                <w:sz w:val="17"/>
              </w:rPr>
              <w:t>CVE, vendor/product, severity, KEV status, due date and action.</w:t>
            </w:r>
          </w:p>
        </w:tc>
        <w:tc>
          <w:tcPr>
            <w:tcW w:type="dxa" w:w="3408"/>
            <w:shd w:fill="F7F9FB"/>
            <w:vAlign w:val="top"/>
            <w:tcBorders>
              <w:top w:val="single" w:sz="4" w:color="B8C7D9"/>
              <w:left w:val="single" w:sz="4" w:color="B8C7D9"/>
              <w:bottom w:val="single" w:sz="4" w:color="B8C7D9"/>
              <w:right w:val="single" w:sz="4" w:color="B8C7D9"/>
            </w:tcBorders>
          </w:tcPr>
          <w:p>
            <w:r>
              <w:rPr>
                <w:sz w:val="17"/>
              </w:rPr>
              <w:t>gold_watchlist</w:t>
            </w:r>
          </w:p>
        </w:tc>
      </w:tr>
    </w:tbl>
    <w:p>
      <w:pPr>
        <w:pStyle w:val="Heading1"/>
      </w:pPr>
      <w:r>
        <w:t>9. Engineering Setup, Version Control and FinOps</w:t>
      </w:r>
    </w:p>
    <w:p>
      <w:pPr>
        <w:pStyle w:val="Heading2"/>
      </w:pPr>
      <w:r>
        <w:t>9.1 Platform</w:t>
      </w:r>
    </w:p>
    <w:p>
      <w:r>
        <w:t>The planned Spark environment is Databricks Free Edition. Databricks documents Free Edition as a no-cost, serverless, quota-limited environment for students and learning. The current Free Edition replaced the legacy Databricks Community Edition in 2025. Free Edition also restricts outbound internet access, so source acquisition may need to occur locally and then be uploaded to a Unity Catalog volume before Spark processing.</w:t>
      </w:r>
    </w:p>
    <w:p>
      <w:r>
        <w:t>This project therefore separates source acquisition from Spark processing: a small collector script handles reproducible source capture; Databricks automates Bronze -&gt; Silver -&gt; Gold transformations after a controlled landing batch is available.</w:t>
      </w:r>
    </w:p>
    <w:p>
      <w:pPr>
        <w:pStyle w:val="Heading2"/>
      </w:pPr>
      <w:r>
        <w:t>9.2 FinOps / Storage Guardrails</w:t>
      </w:r>
    </w:p>
    <w:p>
      <w:pPr>
        <w:pStyle w:val="ListBullet"/>
        <w:spacing w:after="40"/>
      </w:pPr>
      <w:r>
        <w:rPr>
          <w:b/>
        </w:rPr>
        <w:t xml:space="preserve">No full feeds in GitHub. </w:t>
      </w:r>
      <w:r>
        <w:t>Only small source excerpts are versioned.</w:t>
      </w:r>
    </w:p>
    <w:p>
      <w:pPr>
        <w:pStyle w:val="ListBullet"/>
        <w:spacing w:after="40"/>
      </w:pPr>
      <w:r>
        <w:rPr>
          <w:b/>
        </w:rPr>
        <w:t xml:space="preserve">No duplicate persistent copies. </w:t>
      </w:r>
      <w:r>
        <w:t>Staged raw feeds are deleted after successful landing when no longer needed.</w:t>
      </w:r>
    </w:p>
    <w:p>
      <w:pPr>
        <w:pStyle w:val="ListBullet"/>
        <w:spacing w:after="40"/>
      </w:pPr>
      <w:r>
        <w:rPr>
          <w:b/>
        </w:rPr>
        <w:t xml:space="preserve">No unnecessary full reruns. </w:t>
      </w:r>
      <w:r>
        <w:t>After the baseline, the pipeline processes only records changed since the watermark.</w:t>
      </w:r>
    </w:p>
    <w:p>
      <w:pPr>
        <w:pStyle w:val="ListBullet"/>
        <w:spacing w:after="40"/>
      </w:pPr>
      <w:r>
        <w:rPr>
          <w:b/>
        </w:rPr>
        <w:t xml:space="preserve">No large local collections. </w:t>
      </w:r>
      <w:r>
        <w:t>Do not `collect()` large DataFrames; aggregate in Spark and export only Gold-level outputs.</w:t>
      </w:r>
    </w:p>
    <w:p>
      <w:pPr>
        <w:pStyle w:val="ListBullet"/>
        <w:spacing w:after="40"/>
      </w:pPr>
      <w:r>
        <w:rPr>
          <w:b/>
        </w:rPr>
        <w:t xml:space="preserve">Compact analytical tables. </w:t>
      </w:r>
      <w:r>
        <w:t>Silver/Gold retain analytical columns, not duplicate raw payloads and reference blobs.</w:t>
      </w:r>
    </w:p>
    <w:p>
      <w:pPr>
        <w:pStyle w:val="ListBullet"/>
        <w:spacing w:after="40"/>
      </w:pPr>
      <w:r>
        <w:rPr>
          <w:b/>
        </w:rPr>
        <w:t xml:space="preserve">Development ladder. </w:t>
      </w:r>
      <w:r>
        <w:t>Test with 10 records, then 1 year, then 2020-2026; do not jump directly to the largest run.</w:t>
      </w:r>
    </w:p>
    <w:p>
      <w:pPr>
        <w:pStyle w:val="ListBullet"/>
        <w:spacing w:after="40"/>
      </w:pPr>
      <w:r>
        <w:rPr>
          <w:b/>
        </w:rPr>
        <w:t xml:space="preserve">Internal storage guardrail. </w:t>
      </w:r>
      <w:r>
        <w:t>Target a persistent project footprint below ~2 GB. This is a conservative project target, not a claim about Databricks quota.</w:t>
      </w:r>
    </w:p>
    <w:tbl>
      <w:tblPr>
        <w:tblW w:type="auto" w:w="0"/>
        <w:jc w:val="center"/>
        <w:tblLook w:firstColumn="1" w:firstRow="1" w:lastColumn="0" w:lastRow="0" w:noHBand="0" w:noVBand="1" w:val="04A0"/>
      </w:tblPr>
      <w:tblGrid>
        <w:gridCol w:w="10224"/>
      </w:tblGrid>
      <w:tr>
        <w:tc>
          <w:tcPr>
            <w:tcW w:type="dxa" w:w="10224"/>
            <w:shd w:fill="FFF3CD"/>
            <w:tcBorders>
              <w:top w:val="single" w:sz="8" w:color="17365D"/>
              <w:left w:val="single" w:sz="8" w:color="17365D"/>
              <w:bottom w:val="single" w:sz="8" w:color="17365D"/>
              <w:right w:val="single" w:sz="8" w:color="17365D"/>
            </w:tcBorders>
          </w:tcPr>
          <w:p>
            <w:pPr>
              <w:spacing w:after="40"/>
            </w:pPr>
            <w:r>
              <w:rPr>
                <w:b/>
                <w:color w:val="17365D"/>
              </w:rPr>
              <w:t>FinOps in plain English:</w:t>
            </w:r>
            <w:r>
              <w:t xml:space="preserve">  Use only the compute and storage needed for the current batch. The biggest saving is avoiding repeated full-history processing after the first load.</w:t>
            </w:r>
          </w:p>
        </w:tc>
      </w:tr>
    </w:tbl>
    <w:p>
      <w:pPr>
        <w:spacing w:after="40"/>
      </w:pPr>
    </w:p>
    <w:p>
      <w:pPr>
        <w:pStyle w:val="Heading1"/>
      </w:pPr>
      <w:r>
        <w:t>10. GitHub Repository and Phase 1 Contents</w:t>
      </w:r>
    </w:p>
    <w:p>
      <w:r>
        <w:t>Current repository:</w:t>
      </w:r>
    </w:p>
    <w:p>
      <w:hyperlink r:id="rId10">
        <w:r>
          <w:rPr>
            <w:color w:val="0563C1"/>
            <w:u w:val="single"/>
          </w:rPr>
          <w:t>https://github.com/kashishfatima999/VulnPulse</w:t>
        </w:r>
      </w:hyperlink>
    </w:p>
    <w:p>
      <w:r>
        <w:t>At design time, the public repository is a starter repository. Phase 1 should turn it into an evidence-first project repository with the following structure:</w:t>
      </w:r>
    </w:p>
    <w:p>
      <w:pPr>
        <w:spacing w:after="0"/>
      </w:pPr>
      <w:r>
        <w:rPr>
          <w:rFonts w:ascii="Courier New" w:hAnsi="Courier New"/>
          <w:sz w:val="17"/>
        </w:rPr>
        <w:t>VulnPulse/</w:t>
      </w:r>
    </w:p>
    <w:p>
      <w:pPr>
        <w:spacing w:after="0"/>
      </w:pPr>
      <w:r>
        <w:rPr>
          <w:rFonts w:ascii="Courier New" w:hAnsi="Courier New"/>
          <w:sz w:val="17"/>
        </w:rPr>
        <w:t>├── README.md</w:t>
      </w:r>
    </w:p>
    <w:p>
      <w:pPr>
        <w:spacing w:after="0"/>
      </w:pPr>
      <w:r>
        <w:rPr>
          <w:rFonts w:ascii="Courier New" w:hAnsi="Courier New"/>
          <w:sz w:val="17"/>
        </w:rPr>
        <w:t>├── .gitignore</w:t>
      </w:r>
    </w:p>
    <w:p>
      <w:pPr>
        <w:spacing w:after="0"/>
      </w:pPr>
      <w:r>
        <w:rPr>
          <w:rFonts w:ascii="Courier New" w:hAnsi="Courier New"/>
          <w:sz w:val="17"/>
        </w:rPr>
        <w:t>├── config/</w:t>
      </w:r>
    </w:p>
    <w:p>
      <w:pPr>
        <w:spacing w:after="0"/>
      </w:pPr>
      <w:r>
        <w:rPr>
          <w:rFonts w:ascii="Courier New" w:hAnsi="Courier New"/>
          <w:sz w:val="17"/>
        </w:rPr>
        <w:t>│   └── config.example.yaml</w:t>
      </w:r>
    </w:p>
    <w:p>
      <w:pPr>
        <w:spacing w:after="0"/>
      </w:pPr>
      <w:r>
        <w:rPr>
          <w:rFonts w:ascii="Courier New" w:hAnsi="Courier New"/>
          <w:sz w:val="17"/>
        </w:rPr>
        <w:t>├── docs/</w:t>
      </w:r>
    </w:p>
    <w:p>
      <w:pPr>
        <w:spacing w:after="0"/>
      </w:pPr>
      <w:r>
        <w:rPr>
          <w:rFonts w:ascii="Courier New" w:hAnsi="Courier New"/>
          <w:sz w:val="17"/>
        </w:rPr>
        <w:t>│   ├── Phase1_Proposal.pdf</w:t>
      </w:r>
    </w:p>
    <w:p>
      <w:pPr>
        <w:spacing w:after="0"/>
      </w:pPr>
      <w:r>
        <w:rPr>
          <w:rFonts w:ascii="Courier New" w:hAnsi="Courier New"/>
          <w:sz w:val="17"/>
        </w:rPr>
        <w:t>│   ├── Phase1_Proposal.docx</w:t>
      </w:r>
    </w:p>
    <w:p>
      <w:pPr>
        <w:spacing w:after="0"/>
      </w:pPr>
      <w:r>
        <w:rPr>
          <w:rFonts w:ascii="Courier New" w:hAnsi="Courier New"/>
          <w:sz w:val="17"/>
        </w:rPr>
        <w:t>│   ├── DATA_SOURCES.md</w:t>
      </w:r>
    </w:p>
    <w:p>
      <w:pPr>
        <w:spacing w:after="0"/>
      </w:pPr>
      <w:r>
        <w:rPr>
          <w:rFonts w:ascii="Courier New" w:hAnsi="Courier New"/>
          <w:sz w:val="17"/>
        </w:rPr>
        <w:t>│   ├── ARCHITECTURE.md</w:t>
      </w:r>
    </w:p>
    <w:p>
      <w:pPr>
        <w:spacing w:after="0"/>
      </w:pPr>
      <w:r>
        <w:rPr>
          <w:rFonts w:ascii="Courier New" w:hAnsi="Courier New"/>
          <w:sz w:val="17"/>
        </w:rPr>
        <w:t>│   ├── PII_FINOPS.md</w:t>
      </w:r>
    </w:p>
    <w:p>
      <w:pPr>
        <w:spacing w:after="0"/>
      </w:pPr>
      <w:r>
        <w:rPr>
          <w:rFonts w:ascii="Courier New" w:hAnsi="Courier New"/>
          <w:sz w:val="17"/>
        </w:rPr>
        <w:t>│   └── PHASE1_CHECKLIST.md</w:t>
      </w:r>
    </w:p>
    <w:p>
      <w:pPr>
        <w:spacing w:after="0"/>
      </w:pPr>
      <w:r>
        <w:rPr>
          <w:rFonts w:ascii="Courier New" w:hAnsi="Courier New"/>
          <w:sz w:val="17"/>
        </w:rPr>
        <w:t>├── data/</w:t>
      </w:r>
    </w:p>
    <w:p>
      <w:pPr>
        <w:spacing w:after="0"/>
      </w:pPr>
      <w:r>
        <w:rPr>
          <w:rFonts w:ascii="Courier New" w:hAnsi="Courier New"/>
          <w:sz w:val="17"/>
        </w:rPr>
        <w:t>│   └── samples/</w:t>
      </w:r>
    </w:p>
    <w:p>
      <w:pPr>
        <w:spacing w:after="0"/>
      </w:pPr>
      <w:r>
        <w:rPr>
          <w:rFonts w:ascii="Courier New" w:hAnsi="Courier New"/>
          <w:sz w:val="17"/>
        </w:rPr>
        <w:t>│       ├── nvd_full_load_sample.json</w:t>
      </w:r>
    </w:p>
    <w:p>
      <w:pPr>
        <w:spacing w:after="0"/>
      </w:pPr>
      <w:r>
        <w:rPr>
          <w:rFonts w:ascii="Courier New" w:hAnsi="Courier New"/>
          <w:sz w:val="17"/>
        </w:rPr>
        <w:t>│       ├── nvd_incremental_load_sample.json</w:t>
      </w:r>
    </w:p>
    <w:p>
      <w:pPr>
        <w:spacing w:after="0"/>
      </w:pPr>
      <w:r>
        <w:rPr>
          <w:rFonts w:ascii="Courier New" w:hAnsi="Courier New"/>
          <w:sz w:val="17"/>
        </w:rPr>
        <w:t>│       ├── cisa_kev_sample.json</w:t>
      </w:r>
    </w:p>
    <w:p>
      <w:pPr>
        <w:spacing w:after="0"/>
      </w:pPr>
      <w:r>
        <w:rPr>
          <w:rFonts w:ascii="Courier New" w:hAnsi="Courier New"/>
          <w:sz w:val="17"/>
        </w:rPr>
        <w:t>│       ├── source_manifest.json</w:t>
      </w:r>
    </w:p>
    <w:p>
      <w:pPr>
        <w:spacing w:after="0"/>
      </w:pPr>
      <w:r>
        <w:rPr>
          <w:rFonts w:ascii="Courier New" w:hAnsi="Courier New"/>
          <w:sz w:val="17"/>
        </w:rPr>
        <w:t>│       └── README.md</w:t>
      </w:r>
    </w:p>
    <w:p>
      <w:pPr>
        <w:spacing w:after="0"/>
      </w:pPr>
      <w:r>
        <w:rPr>
          <w:rFonts w:ascii="Courier New" w:hAnsi="Courier New"/>
          <w:sz w:val="17"/>
        </w:rPr>
        <w:t>└── scripts/</w:t>
      </w:r>
    </w:p>
    <w:p>
      <w:pPr>
        <w:spacing w:after="0"/>
      </w:pPr>
      <w:r>
        <w:rPr>
          <w:rFonts w:ascii="Courier New" w:hAnsi="Courier New"/>
          <w:sz w:val="17"/>
        </w:rPr>
        <w:t xml:space="preserve">    └── collect_phase1_samples.py</w:t>
      </w:r>
    </w:p>
    <w:tbl>
      <w:tblPr>
        <w:tblW w:type="auto" w:w="0"/>
        <w:jc w:val="center"/>
        <w:tblLook w:firstColumn="1" w:firstRow="1" w:lastColumn="0" w:lastRow="0" w:noHBand="0" w:noVBand="1" w:val="04A0"/>
      </w:tblPr>
      <w:tblGrid>
        <w:gridCol w:w="10224"/>
      </w:tblGrid>
      <w:tr>
        <w:tc>
          <w:tcPr>
            <w:tcW w:type="dxa" w:w="10224"/>
            <w:shd w:fill="EAF2F8"/>
            <w:tcBorders>
              <w:top w:val="single" w:sz="8" w:color="17365D"/>
              <w:left w:val="single" w:sz="8" w:color="17365D"/>
              <w:bottom w:val="single" w:sz="8" w:color="17365D"/>
              <w:right w:val="single" w:sz="8" w:color="17365D"/>
            </w:tcBorders>
          </w:tcPr>
          <w:p>
            <w:pPr>
              <w:spacing w:after="40"/>
            </w:pPr>
            <w:r>
              <w:rPr>
                <w:b/>
                <w:color w:val="17365D"/>
              </w:rPr>
              <w:t>Do not add:</w:t>
            </w:r>
            <w:r>
              <w:t xml:space="preserve">  full NVD feeds, full CISA snapshots, Parquet/Delta exports, notebook output dumps, API keys, `.env` files or other large generated artifacts.</w:t>
            </w:r>
          </w:p>
        </w:tc>
      </w:tr>
    </w:tbl>
    <w:p>
      <w:pPr>
        <w:spacing w:after="40"/>
      </w:pPr>
    </w:p>
    <w:p>
      <w:pPr>
        <w:pStyle w:val="Heading1"/>
      </w:pPr>
      <w:r>
        <w:t>11. Phase 1 Rubric Coverage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Teacher requirement</w:t>
            </w:r>
          </w:p>
        </w:tc>
        <w:tc>
          <w:tcPr>
            <w:tcW w:type="dxa" w:w="3408"/>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VulnPulse evidence in this proposal/repository</w:t>
            </w:r>
          </w:p>
        </w:tc>
        <w:tc>
          <w:tcPr>
            <w:tcW w:type="dxa" w:w="3408"/>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Status at Phase 1</w:t>
            </w:r>
          </w:p>
        </w:tc>
      </w:tr>
      <w:tr>
        <w:trPr>
          <w:cantSplit w:val="true"/>
        </w:trPr>
        <w:tc>
          <w:tcPr>
            <w:tcW w:type="dxa" w:w="3408"/>
            <w:shd w:fill="F7F9FB"/>
            <w:vAlign w:val="top"/>
            <w:tcBorders>
              <w:top w:val="single" w:sz="4" w:color="B8C7D9"/>
              <w:left w:val="single" w:sz="4" w:color="B8C7D9"/>
              <w:bottom w:val="single" w:sz="4" w:color="B8C7D9"/>
              <w:right w:val="single" w:sz="4" w:color="B8C7D9"/>
            </w:tcBorders>
          </w:tcPr>
          <w:p>
            <w:r>
              <w:rPr>
                <w:sz w:val="17"/>
              </w:rPr>
              <w:t>1. Domain &amp; Source Identification</w:t>
            </w:r>
          </w:p>
        </w:tc>
        <w:tc>
          <w:tcPr>
            <w:tcW w:type="dxa" w:w="3408"/>
            <w:shd w:fill="F7F9FB"/>
            <w:vAlign w:val="top"/>
            <w:tcBorders>
              <w:top w:val="single" w:sz="4" w:color="B8C7D9"/>
              <w:left w:val="single" w:sz="4" w:color="B8C7D9"/>
              <w:bottom w:val="single" w:sz="4" w:color="B8C7D9"/>
              <w:right w:val="single" w:sz="4" w:color="B8C7D9"/>
            </w:tcBorders>
          </w:tcPr>
          <w:p>
            <w:r>
              <w:rPr>
                <w:sz w:val="17"/>
              </w:rPr>
              <w:t>Cybersecurity vulnerability intelligence; NVD and CISA exact URLs; explicit full vs incremental pattern.</w:t>
            </w:r>
          </w:p>
        </w:tc>
        <w:tc>
          <w:tcPr>
            <w:tcW w:type="dxa" w:w="3408"/>
            <w:shd w:fill="F7F9FB"/>
            <w:vAlign w:val="top"/>
            <w:tcBorders>
              <w:top w:val="single" w:sz="4" w:color="B8C7D9"/>
              <w:left w:val="single" w:sz="4" w:color="B8C7D9"/>
              <w:bottom w:val="single" w:sz="4" w:color="B8C7D9"/>
              <w:right w:val="single" w:sz="4" w:color="B8C7D9"/>
            </w:tcBorders>
          </w:tcPr>
          <w:p>
            <w:r>
              <w:rPr>
                <w:sz w:val="17"/>
              </w:rPr>
              <w:t>Covered by design; samples required before upload.</w:t>
            </w:r>
          </w:p>
        </w:tc>
      </w:tr>
      <w:tr>
        <w:trPr>
          <w:cantSplit w:val="true"/>
        </w:trPr>
        <w:tc>
          <w:tcPr>
            <w:tcW w:type="dxa" w:w="3408"/>
            <w:vAlign w:val="top"/>
            <w:tcBorders>
              <w:top w:val="single" w:sz="4" w:color="B8C7D9"/>
              <w:left w:val="single" w:sz="4" w:color="B8C7D9"/>
              <w:bottom w:val="single" w:sz="4" w:color="B8C7D9"/>
              <w:right w:val="single" w:sz="4" w:color="B8C7D9"/>
            </w:tcBorders>
          </w:tcPr>
          <w:p>
            <w:r>
              <w:rPr>
                <w:sz w:val="17"/>
              </w:rPr>
              <w:t>2. Data Samples &amp; Volume</w:t>
            </w:r>
          </w:p>
        </w:tc>
        <w:tc>
          <w:tcPr>
            <w:tcW w:type="dxa" w:w="3408"/>
            <w:vAlign w:val="top"/>
            <w:tcBorders>
              <w:top w:val="single" w:sz="4" w:color="B8C7D9"/>
              <w:left w:val="single" w:sz="4" w:color="B8C7D9"/>
              <w:bottom w:val="single" w:sz="4" w:color="B8C7D9"/>
              <w:right w:val="single" w:sz="4" w:color="B8C7D9"/>
            </w:tcBorders>
          </w:tcPr>
          <w:p>
            <w:r>
              <w:rPr>
                <w:sz w:val="17"/>
              </w:rPr>
              <w:t>Sample collector script + file names + measured/estimated source size + frequency plan.</w:t>
            </w:r>
          </w:p>
        </w:tc>
        <w:tc>
          <w:tcPr>
            <w:tcW w:type="dxa" w:w="3408"/>
            <w:vAlign w:val="top"/>
            <w:tcBorders>
              <w:top w:val="single" w:sz="4" w:color="B8C7D9"/>
              <w:left w:val="single" w:sz="4" w:color="B8C7D9"/>
              <w:bottom w:val="single" w:sz="4" w:color="B8C7D9"/>
              <w:right w:val="single" w:sz="4" w:color="B8C7D9"/>
            </w:tcBorders>
          </w:tcPr>
          <w:p>
            <w:r>
              <w:rPr>
                <w:sz w:val="17"/>
              </w:rPr>
              <w:t>Proposal covered; generate actual samples before submission.</w:t>
            </w:r>
          </w:p>
        </w:tc>
      </w:tr>
      <w:tr>
        <w:trPr>
          <w:cantSplit w:val="true"/>
        </w:trPr>
        <w:tc>
          <w:tcPr>
            <w:tcW w:type="dxa" w:w="3408"/>
            <w:shd w:fill="F7F9FB"/>
            <w:vAlign w:val="top"/>
            <w:tcBorders>
              <w:top w:val="single" w:sz="4" w:color="B8C7D9"/>
              <w:left w:val="single" w:sz="4" w:color="B8C7D9"/>
              <w:bottom w:val="single" w:sz="4" w:color="B8C7D9"/>
              <w:right w:val="single" w:sz="4" w:color="B8C7D9"/>
            </w:tcBorders>
          </w:tcPr>
          <w:p>
            <w:r>
              <w:rPr>
                <w:sz w:val="17"/>
              </w:rPr>
              <w:t>3. Security &amp; Compliance</w:t>
            </w:r>
          </w:p>
        </w:tc>
        <w:tc>
          <w:tcPr>
            <w:tcW w:type="dxa" w:w="3408"/>
            <w:shd w:fill="F7F9FB"/>
            <w:vAlign w:val="top"/>
            <w:tcBorders>
              <w:top w:val="single" w:sz="4" w:color="B8C7D9"/>
              <w:left w:val="single" w:sz="4" w:color="B8C7D9"/>
              <w:bottom w:val="single" w:sz="4" w:color="B8C7D9"/>
              <w:right w:val="single" w:sz="4" w:color="B8C7D9"/>
            </w:tcBorders>
          </w:tcPr>
          <w:p>
            <w:r>
              <w:rPr>
                <w:sz w:val="17"/>
              </w:rPr>
              <w:t>PII explanation, `sourceIdentifier` handling, no secrets in repo, source provenance.</w:t>
            </w:r>
          </w:p>
        </w:tc>
        <w:tc>
          <w:tcPr>
            <w:tcW w:type="dxa" w:w="3408"/>
            <w:shd w:fill="F7F9FB"/>
            <w:vAlign w:val="top"/>
            <w:tcBorders>
              <w:top w:val="single" w:sz="4" w:color="B8C7D9"/>
              <w:left w:val="single" w:sz="4" w:color="B8C7D9"/>
              <w:bottom w:val="single" w:sz="4" w:color="B8C7D9"/>
              <w:right w:val="single" w:sz="4" w:color="B8C7D9"/>
            </w:tcBorders>
          </w:tcPr>
          <w:p>
            <w:r>
              <w:rPr>
                <w:sz w:val="17"/>
              </w:rPr>
              <w:t>Covered.</w:t>
            </w:r>
          </w:p>
        </w:tc>
      </w:tr>
      <w:tr>
        <w:trPr>
          <w:cantSplit w:val="true"/>
        </w:trPr>
        <w:tc>
          <w:tcPr>
            <w:tcW w:type="dxa" w:w="3408"/>
            <w:vAlign w:val="top"/>
            <w:tcBorders>
              <w:top w:val="single" w:sz="4" w:color="B8C7D9"/>
              <w:left w:val="single" w:sz="4" w:color="B8C7D9"/>
              <w:bottom w:val="single" w:sz="4" w:color="B8C7D9"/>
              <w:right w:val="single" w:sz="4" w:color="B8C7D9"/>
            </w:tcBorders>
          </w:tcPr>
          <w:p>
            <w:r>
              <w:rPr>
                <w:sz w:val="17"/>
              </w:rPr>
              <w:t>4. Medallion Modeling</w:t>
            </w:r>
          </w:p>
        </w:tc>
        <w:tc>
          <w:tcPr>
            <w:tcW w:type="dxa" w:w="3408"/>
            <w:vAlign w:val="top"/>
            <w:tcBorders>
              <w:top w:val="single" w:sz="4" w:color="B8C7D9"/>
              <w:left w:val="single" w:sz="4" w:color="B8C7D9"/>
              <w:bottom w:val="single" w:sz="4" w:color="B8C7D9"/>
              <w:right w:val="single" w:sz="4" w:color="B8C7D9"/>
            </w:tcBorders>
          </w:tcPr>
          <w:p>
            <w:r>
              <w:rPr>
                <w:sz w:val="17"/>
              </w:rPr>
              <w:t>Bronze/Silver/Gold tables and transformations.</w:t>
            </w:r>
          </w:p>
        </w:tc>
        <w:tc>
          <w:tcPr>
            <w:tcW w:type="dxa" w:w="3408"/>
            <w:vAlign w:val="top"/>
            <w:tcBorders>
              <w:top w:val="single" w:sz="4" w:color="B8C7D9"/>
              <w:left w:val="single" w:sz="4" w:color="B8C7D9"/>
              <w:bottom w:val="single" w:sz="4" w:color="B8C7D9"/>
              <w:right w:val="single" w:sz="4" w:color="B8C7D9"/>
            </w:tcBorders>
          </w:tcPr>
          <w:p>
            <w:r>
              <w:rPr>
                <w:sz w:val="17"/>
              </w:rPr>
              <w:t>Covered.</w:t>
            </w:r>
          </w:p>
        </w:tc>
      </w:tr>
      <w:tr>
        <w:trPr>
          <w:cantSplit w:val="true"/>
        </w:trPr>
        <w:tc>
          <w:tcPr>
            <w:tcW w:type="dxa" w:w="3408"/>
            <w:shd w:fill="F7F9FB"/>
            <w:vAlign w:val="top"/>
            <w:tcBorders>
              <w:top w:val="single" w:sz="4" w:color="B8C7D9"/>
              <w:left w:val="single" w:sz="4" w:color="B8C7D9"/>
              <w:bottom w:val="single" w:sz="4" w:color="B8C7D9"/>
              <w:right w:val="single" w:sz="4" w:color="B8C7D9"/>
            </w:tcBorders>
          </w:tcPr>
          <w:p>
            <w:r>
              <w:rPr>
                <w:sz w:val="17"/>
              </w:rPr>
              <w:t>5. BI &amp; Dashboard</w:t>
            </w:r>
          </w:p>
        </w:tc>
        <w:tc>
          <w:tcPr>
            <w:tcW w:type="dxa" w:w="3408"/>
            <w:shd w:fill="F7F9FB"/>
            <w:vAlign w:val="top"/>
            <w:tcBorders>
              <w:top w:val="single" w:sz="4" w:color="B8C7D9"/>
              <w:left w:val="single" w:sz="4" w:color="B8C7D9"/>
              <w:bottom w:val="single" w:sz="4" w:color="B8C7D9"/>
              <w:right w:val="single" w:sz="4" w:color="B8C7D9"/>
            </w:tcBorders>
          </w:tcPr>
          <w:p>
            <w:r>
              <w:rPr>
                <w:sz w:val="17"/>
              </w:rPr>
              <w:t>Business questions, Gold outputs and planned visuals.</w:t>
            </w:r>
          </w:p>
        </w:tc>
        <w:tc>
          <w:tcPr>
            <w:tcW w:type="dxa" w:w="3408"/>
            <w:shd w:fill="F7F9FB"/>
            <w:vAlign w:val="top"/>
            <w:tcBorders>
              <w:top w:val="single" w:sz="4" w:color="B8C7D9"/>
              <w:left w:val="single" w:sz="4" w:color="B8C7D9"/>
              <w:bottom w:val="single" w:sz="4" w:color="B8C7D9"/>
              <w:right w:val="single" w:sz="4" w:color="B8C7D9"/>
            </w:tcBorders>
          </w:tcPr>
          <w:p>
            <w:r>
              <w:rPr>
                <w:sz w:val="17"/>
              </w:rPr>
              <w:t>Covered.</w:t>
            </w:r>
          </w:p>
        </w:tc>
      </w:tr>
      <w:tr>
        <w:trPr>
          <w:cantSplit w:val="true"/>
        </w:trPr>
        <w:tc>
          <w:tcPr>
            <w:tcW w:type="dxa" w:w="3408"/>
            <w:vAlign w:val="top"/>
            <w:tcBorders>
              <w:top w:val="single" w:sz="4" w:color="B8C7D9"/>
              <w:left w:val="single" w:sz="4" w:color="B8C7D9"/>
              <w:bottom w:val="single" w:sz="4" w:color="B8C7D9"/>
              <w:right w:val="single" w:sz="4" w:color="B8C7D9"/>
            </w:tcBorders>
          </w:tcPr>
          <w:p>
            <w:r>
              <w:rPr>
                <w:sz w:val="17"/>
              </w:rPr>
              <w:t>6. Engineering &amp; FinOps</w:t>
            </w:r>
          </w:p>
        </w:tc>
        <w:tc>
          <w:tcPr>
            <w:tcW w:type="dxa" w:w="3408"/>
            <w:vAlign w:val="top"/>
            <w:tcBorders>
              <w:top w:val="single" w:sz="4" w:color="B8C7D9"/>
              <w:left w:val="single" w:sz="4" w:color="B8C7D9"/>
              <w:bottom w:val="single" w:sz="4" w:color="B8C7D9"/>
              <w:right w:val="single" w:sz="4" w:color="B8C7D9"/>
            </w:tcBorders>
          </w:tcPr>
          <w:p>
            <w:r>
              <w:rPr>
                <w:sz w:val="17"/>
              </w:rPr>
              <w:t>GitHub structure, Databricks Free Edition, storage/compute guardrails, no giant repository artifacts.</w:t>
            </w:r>
          </w:p>
        </w:tc>
        <w:tc>
          <w:tcPr>
            <w:tcW w:type="dxa" w:w="3408"/>
            <w:vAlign w:val="top"/>
            <w:tcBorders>
              <w:top w:val="single" w:sz="4" w:color="B8C7D9"/>
              <w:left w:val="single" w:sz="4" w:color="B8C7D9"/>
              <w:bottom w:val="single" w:sz="4" w:color="B8C7D9"/>
              <w:right w:val="single" w:sz="4" w:color="B8C7D9"/>
            </w:tcBorders>
          </w:tcPr>
          <w:p>
            <w:r>
              <w:rPr>
                <w:sz w:val="17"/>
              </w:rPr>
              <w:t>Covered.</w:t>
            </w:r>
          </w:p>
        </w:tc>
      </w:tr>
    </w:tbl>
    <w:p>
      <w:pPr>
        <w:pStyle w:val="Heading1"/>
      </w:pPr>
      <w:r>
        <w:t>12. Semester Execution Plan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Period</w:t>
            </w:r>
          </w:p>
        </w:tc>
        <w:tc>
          <w:tcPr>
            <w:tcW w:type="dxa" w:w="3408"/>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Main deliverable</w:t>
            </w:r>
          </w:p>
        </w:tc>
        <w:tc>
          <w:tcPr>
            <w:tcW w:type="dxa" w:w="3408"/>
            <w:shd w:fill="17365D"/>
            <w:vAlign w:val="center"/>
            <w:tcBorders>
              <w:top w:val="single" w:sz="4" w:color="B8C7D9"/>
              <w:left w:val="single" w:sz="4" w:color="B8C7D9"/>
              <w:bottom w:val="single" w:sz="4" w:color="B8C7D9"/>
              <w:right w:val="single" w:sz="4" w:color="B8C7D9"/>
            </w:tcBorders>
          </w:tcPr>
          <w:p>
            <w:pPr>
              <w:jc w:val="center"/>
            </w:pPr>
            <w:r>
              <w:rPr>
                <w:b/>
                <w:color w:val="FFFFFF"/>
                <w:sz w:val="18"/>
              </w:rPr>
              <w:t>Storage/compute rule</w:t>
            </w:r>
          </w:p>
        </w:tc>
      </w:tr>
      <w:tr>
        <w:trPr>
          <w:cantSplit w:val="true"/>
        </w:trPr>
        <w:tc>
          <w:tcPr>
            <w:tcW w:type="dxa" w:w="3408"/>
            <w:shd w:fill="F7F9FB"/>
            <w:vAlign w:val="top"/>
            <w:tcBorders>
              <w:top w:val="single" w:sz="4" w:color="B8C7D9"/>
              <w:left w:val="single" w:sz="4" w:color="B8C7D9"/>
              <w:bottom w:val="single" w:sz="4" w:color="B8C7D9"/>
              <w:right w:val="single" w:sz="4" w:color="B8C7D9"/>
            </w:tcBorders>
          </w:tcPr>
          <w:p>
            <w:r>
              <w:rPr>
                <w:sz w:val="17"/>
              </w:rPr>
              <w:t>Phase 1 - now</w:t>
            </w:r>
          </w:p>
        </w:tc>
        <w:tc>
          <w:tcPr>
            <w:tcW w:type="dxa" w:w="3408"/>
            <w:shd w:fill="F7F9FB"/>
            <w:vAlign w:val="top"/>
            <w:tcBorders>
              <w:top w:val="single" w:sz="4" w:color="B8C7D9"/>
              <w:left w:val="single" w:sz="4" w:color="B8C7D9"/>
              <w:bottom w:val="single" w:sz="4" w:color="B8C7D9"/>
              <w:right w:val="single" w:sz="4" w:color="B8C7D9"/>
            </w:tcBorders>
          </w:tcPr>
          <w:p>
            <w:r>
              <w:rPr>
                <w:sz w:val="17"/>
              </w:rPr>
              <w:t>Proposal, sample evidence, source documentation, repository structure.</w:t>
            </w:r>
          </w:p>
        </w:tc>
        <w:tc>
          <w:tcPr>
            <w:tcW w:type="dxa" w:w="3408"/>
            <w:shd w:fill="F7F9FB"/>
            <w:vAlign w:val="top"/>
            <w:tcBorders>
              <w:top w:val="single" w:sz="4" w:color="B8C7D9"/>
              <w:left w:val="single" w:sz="4" w:color="B8C7D9"/>
              <w:bottom w:val="single" w:sz="4" w:color="B8C7D9"/>
              <w:right w:val="single" w:sz="4" w:color="B8C7D9"/>
            </w:tcBorders>
          </w:tcPr>
          <w:p>
            <w:r>
              <w:rPr>
                <w:sz w:val="17"/>
              </w:rPr>
              <w:t>No large cloud processing yet.</w:t>
            </w:r>
          </w:p>
        </w:tc>
      </w:tr>
      <w:tr>
        <w:trPr>
          <w:cantSplit w:val="true"/>
        </w:trPr>
        <w:tc>
          <w:tcPr>
            <w:tcW w:type="dxa" w:w="3408"/>
            <w:vAlign w:val="top"/>
            <w:tcBorders>
              <w:top w:val="single" w:sz="4" w:color="B8C7D9"/>
              <w:left w:val="single" w:sz="4" w:color="B8C7D9"/>
              <w:bottom w:val="single" w:sz="4" w:color="B8C7D9"/>
              <w:right w:val="single" w:sz="4" w:color="B8C7D9"/>
            </w:tcBorders>
          </w:tcPr>
          <w:p>
            <w:r>
              <w:rPr>
                <w:sz w:val="17"/>
              </w:rPr>
              <w:t>Phase 2 - by 10 Oct 2026</w:t>
            </w:r>
          </w:p>
        </w:tc>
        <w:tc>
          <w:tcPr>
            <w:tcW w:type="dxa" w:w="3408"/>
            <w:vAlign w:val="top"/>
            <w:tcBorders>
              <w:top w:val="single" w:sz="4" w:color="B8C7D9"/>
              <w:left w:val="single" w:sz="4" w:color="B8C7D9"/>
              <w:bottom w:val="single" w:sz="4" w:color="B8C7D9"/>
              <w:right w:val="single" w:sz="4" w:color="B8C7D9"/>
            </w:tcBorders>
          </w:tcPr>
          <w:p>
            <w:r>
              <w:rPr>
                <w:sz w:val="17"/>
              </w:rPr>
              <w:t>Full ingestion + Bronze/Silver + incremental mechanism + data-quality checks, subject to later requirements.</w:t>
            </w:r>
          </w:p>
        </w:tc>
        <w:tc>
          <w:tcPr>
            <w:tcW w:type="dxa" w:w="3408"/>
            <w:vAlign w:val="top"/>
            <w:tcBorders>
              <w:top w:val="single" w:sz="4" w:color="B8C7D9"/>
              <w:left w:val="single" w:sz="4" w:color="B8C7D9"/>
              <w:bottom w:val="single" w:sz="4" w:color="B8C7D9"/>
              <w:right w:val="single" w:sz="4" w:color="B8C7D9"/>
            </w:tcBorders>
          </w:tcPr>
          <w:p>
            <w:r>
              <w:rPr>
                <w:sz w:val="17"/>
              </w:rPr>
              <w:t>Build progressively: samples -&gt; one year -&gt; full baseline.</w:t>
            </w:r>
          </w:p>
        </w:tc>
      </w:tr>
      <w:tr>
        <w:trPr>
          <w:cantSplit w:val="true"/>
        </w:trPr>
        <w:tc>
          <w:tcPr>
            <w:tcW w:type="dxa" w:w="3408"/>
            <w:shd w:fill="F7F9FB"/>
            <w:vAlign w:val="top"/>
            <w:tcBorders>
              <w:top w:val="single" w:sz="4" w:color="B8C7D9"/>
              <w:left w:val="single" w:sz="4" w:color="B8C7D9"/>
              <w:bottom w:val="single" w:sz="4" w:color="B8C7D9"/>
              <w:right w:val="single" w:sz="4" w:color="B8C7D9"/>
            </w:tcBorders>
          </w:tcPr>
          <w:p>
            <w:r>
              <w:rPr>
                <w:sz w:val="17"/>
              </w:rPr>
              <w:t>Phase 3 - by 24 Oct 2026</w:t>
            </w:r>
          </w:p>
        </w:tc>
        <w:tc>
          <w:tcPr>
            <w:tcW w:type="dxa" w:w="3408"/>
            <w:shd w:fill="F7F9FB"/>
            <w:vAlign w:val="top"/>
            <w:tcBorders>
              <w:top w:val="single" w:sz="4" w:color="B8C7D9"/>
              <w:left w:val="single" w:sz="4" w:color="B8C7D9"/>
              <w:bottom w:val="single" w:sz="4" w:color="B8C7D9"/>
              <w:right w:val="single" w:sz="4" w:color="B8C7D9"/>
            </w:tcBorders>
          </w:tcPr>
          <w:p>
            <w:r>
              <w:rPr>
                <w:sz w:val="17"/>
              </w:rPr>
              <w:t>Gold layer + Power BI dashboard + end-to-end testing/documentation, subject to later requirements.</w:t>
            </w:r>
          </w:p>
        </w:tc>
        <w:tc>
          <w:tcPr>
            <w:tcW w:type="dxa" w:w="3408"/>
            <w:shd w:fill="F7F9FB"/>
            <w:vAlign w:val="top"/>
            <w:tcBorders>
              <w:top w:val="single" w:sz="4" w:color="B8C7D9"/>
              <w:left w:val="single" w:sz="4" w:color="B8C7D9"/>
              <w:bottom w:val="single" w:sz="4" w:color="B8C7D9"/>
              <w:right w:val="single" w:sz="4" w:color="B8C7D9"/>
            </w:tcBorders>
          </w:tcPr>
          <w:p>
            <w:r>
              <w:rPr>
                <w:sz w:val="17"/>
              </w:rPr>
              <w:t>Refresh incrementally; export only compact dashboard-ready data.</w:t>
            </w:r>
          </w:p>
        </w:tc>
      </w:tr>
    </w:tbl>
    <w:p>
      <w:pPr>
        <w:pStyle w:val="Heading1"/>
      </w:pPr>
      <w:r>
        <w:t>13. Features That Make VulnPulse Stand Out</w:t>
      </w:r>
    </w:p>
    <w:p>
      <w:pPr>
        <w:pStyle w:val="ListBullet"/>
        <w:spacing w:after="40"/>
      </w:pPr>
      <w:r>
        <w:rPr>
          <w:b/>
        </w:rPr>
        <w:t xml:space="preserve">Multi-source enrichment. </w:t>
      </w:r>
      <w:r>
        <w:t>NVD alone becomes much more useful when joined with CISA KEV.</w:t>
      </w:r>
    </w:p>
    <w:p>
      <w:pPr>
        <w:pStyle w:val="ListBullet"/>
        <w:spacing w:after="40"/>
      </w:pPr>
      <w:r>
        <w:rPr>
          <w:b/>
        </w:rPr>
        <w:t xml:space="preserve">True incremental design. </w:t>
      </w:r>
      <w:r>
        <w:t>A persisted watermark avoids reprocessing the historical baseline.</w:t>
      </w:r>
    </w:p>
    <w:p>
      <w:pPr>
        <w:pStyle w:val="ListBullet"/>
        <w:spacing w:after="40"/>
      </w:pPr>
      <w:r>
        <w:rPr>
          <w:b/>
        </w:rPr>
        <w:t xml:space="preserve">Data-quality gate. </w:t>
      </w:r>
      <w:r>
        <w:t>Schema, null, duplicate, date and CVSS validation occur before Gold.</w:t>
      </w:r>
    </w:p>
    <w:p>
      <w:pPr>
        <w:pStyle w:val="ListBullet"/>
        <w:spacing w:after="40"/>
      </w:pPr>
      <w:r>
        <w:rPr>
          <w:b/>
        </w:rPr>
        <w:t xml:space="preserve">Operational observability. </w:t>
      </w:r>
      <w:r>
        <w:t>The pipeline audit table measures batch behavior and demonstrates Data Engineering maturity.</w:t>
      </w:r>
    </w:p>
    <w:p>
      <w:pPr>
        <w:pStyle w:val="ListBullet"/>
        <w:spacing w:after="40"/>
      </w:pPr>
      <w:r>
        <w:rPr>
          <w:b/>
        </w:rPr>
        <w:t xml:space="preserve">Clearly defined derived metric. </w:t>
      </w:r>
      <w:r>
        <w:t>Time to KEV inclusion is transparent about what the data does and does not prove.</w:t>
      </w:r>
    </w:p>
    <w:p>
      <w:pPr>
        <w:pStyle w:val="ListBullet"/>
        <w:spacing w:after="40"/>
      </w:pPr>
      <w:r>
        <w:rPr>
          <w:b/>
        </w:rPr>
        <w:t xml:space="preserve">Storage-aware engineering. </w:t>
      </w:r>
      <w:r>
        <w:t>The design explicitly protects GitHub and free-tier storage from raw-data accumulation.</w:t>
      </w:r>
    </w:p>
    <w:p>
      <w:pPr>
        <w:pStyle w:val="Heading1"/>
      </w:pPr>
      <w:r>
        <w:t>14. Official / Supporting References</w:t>
      </w:r>
    </w:p>
    <w:p>
      <w:pPr>
        <w:pStyle w:val="ListBullet"/>
      </w:pPr>
      <w:hyperlink r:id="rId11">
        <w:r>
          <w:rPr>
            <w:color w:val="0563C1"/>
            <w:u w:val="single"/>
          </w:rPr>
          <w:t>NVD - National Vulnerability Database</w:t>
        </w:r>
      </w:hyperlink>
    </w:p>
    <w:p>
      <w:pPr>
        <w:pStyle w:val="ListBullet"/>
      </w:pPr>
      <w:hyperlink r:id="rId12">
        <w:r>
          <w:rPr>
            <w:color w:val="0563C1"/>
            <w:u w:val="single"/>
          </w:rPr>
          <w:t>NVD 2.0 JSON CVE feeds</w:t>
        </w:r>
      </w:hyperlink>
    </w:p>
    <w:p>
      <w:pPr>
        <w:pStyle w:val="ListBullet"/>
      </w:pPr>
      <w:hyperlink r:id="rId13">
        <w:r>
          <w:rPr>
            <w:color w:val="0563C1"/>
            <w:u w:val="single"/>
          </w:rPr>
          <w:t>NVD CVE API 2.0</w:t>
        </w:r>
      </w:hyperlink>
    </w:p>
    <w:p>
      <w:pPr>
        <w:pStyle w:val="ListBullet"/>
      </w:pPr>
      <w:hyperlink r:id="rId14">
        <w:r>
          <w:rPr>
            <w:color w:val="0563C1"/>
            <w:u w:val="single"/>
          </w:rPr>
          <w:t>NVD developer documentation</w:t>
        </w:r>
      </w:hyperlink>
    </w:p>
    <w:p>
      <w:pPr>
        <w:pStyle w:val="ListBullet"/>
      </w:pPr>
      <w:hyperlink r:id="rId15">
        <w:r>
          <w:rPr>
            <w:color w:val="0563C1"/>
            <w:u w:val="single"/>
          </w:rPr>
          <w:t>NVD API key request</w:t>
        </w:r>
      </w:hyperlink>
    </w:p>
    <w:p>
      <w:pPr>
        <w:pStyle w:val="ListBullet"/>
      </w:pPr>
      <w:hyperlink r:id="rId16">
        <w:r>
          <w:rPr>
            <w:color w:val="0563C1"/>
            <w:u w:val="single"/>
          </w:rPr>
          <w:t>CISA Known Exploited Vulnerabilities catalog</w:t>
        </w:r>
      </w:hyperlink>
    </w:p>
    <w:p>
      <w:pPr>
        <w:pStyle w:val="ListBullet"/>
      </w:pPr>
      <w:hyperlink r:id="rId17">
        <w:r>
          <w:rPr>
            <w:color w:val="0563C1"/>
            <w:u w:val="single"/>
          </w:rPr>
          <w:t>CISA KEV JSON</w:t>
        </w:r>
      </w:hyperlink>
    </w:p>
    <w:p>
      <w:pPr>
        <w:pStyle w:val="ListBullet"/>
      </w:pPr>
      <w:hyperlink r:id="rId18">
        <w:r>
          <w:rPr>
            <w:color w:val="0563C1"/>
            <w:u w:val="single"/>
          </w:rPr>
          <w:t>CISA KEV CSV</w:t>
        </w:r>
      </w:hyperlink>
    </w:p>
    <w:p>
      <w:pPr>
        <w:pStyle w:val="ListBullet"/>
      </w:pPr>
      <w:hyperlink r:id="rId19">
        <w:r>
          <w:rPr>
            <w:color w:val="0563C1"/>
            <w:u w:val="single"/>
          </w:rPr>
          <w:t>CISA KEV GitHub mirror</w:t>
        </w:r>
      </w:hyperlink>
    </w:p>
    <w:p>
      <w:pPr>
        <w:pStyle w:val="ListBullet"/>
      </w:pPr>
      <w:hyperlink r:id="rId20">
        <w:r>
          <w:rPr>
            <w:color w:val="0563C1"/>
            <w:u w:val="single"/>
          </w:rPr>
          <w:t>CISA KEV JSON schema</w:t>
        </w:r>
      </w:hyperlink>
    </w:p>
    <w:p>
      <w:pPr>
        <w:pStyle w:val="ListBullet"/>
      </w:pPr>
      <w:hyperlink r:id="rId21">
        <w:r>
          <w:rPr>
            <w:color w:val="0563C1"/>
            <w:u w:val="single"/>
          </w:rPr>
          <w:t>Databricks Free Edition</w:t>
        </w:r>
      </w:hyperlink>
    </w:p>
    <w:p>
      <w:pPr>
        <w:pStyle w:val="ListBullet"/>
      </w:pPr>
      <w:hyperlink r:id="rId22">
        <w:r>
          <w:rPr>
            <w:color w:val="0563C1"/>
            <w:u w:val="single"/>
          </w:rPr>
          <w:t>Databricks Free Edition limitations</w:t>
        </w:r>
      </w:hyperlink>
    </w:p>
    <w:p>
      <w:pPr>
        <w:pStyle w:val="ListBullet"/>
      </w:pPr>
      <w:hyperlink r:id="rId10">
        <w:r>
          <w:rPr>
            <w:color w:val="0563C1"/>
            <w:u w:val="single"/>
          </w:rPr>
          <w:t>VulnPulse GitHub repository</w:t>
        </w:r>
      </w:hyperlink>
    </w:p>
    <w:p>
      <w:r>
        <w:t>Phase 1 submission gate: before the proposal is submitted, run `python scripts/collect_phase1_samples.py`, inspect the generated samples, commit the four small sample/manifest files and all Phase 1 documentation, then verify that the public GitHub link opens without authentication.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7A"/>
        <w:sz w:val="16"/>
      </w:rPr>
      <w:t>VulnPulse | Phase 1 Proposal | Fall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43447"/>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kashishfatima999/VulnPulse" TargetMode="External"/><Relationship Id="rId11" Type="http://schemas.openxmlformats.org/officeDocument/2006/relationships/hyperlink" Target="https://nvd.nist.gov/" TargetMode="External"/><Relationship Id="rId12" Type="http://schemas.openxmlformats.org/officeDocument/2006/relationships/hyperlink" Target="https://nvd.nist.gov/feeds/json/cve/2.0/" TargetMode="External"/><Relationship Id="rId13" Type="http://schemas.openxmlformats.org/officeDocument/2006/relationships/hyperlink" Target="https://services.nvd.nist.gov/rest/json/cves/2.0" TargetMode="External"/><Relationship Id="rId14" Type="http://schemas.openxmlformats.org/officeDocument/2006/relationships/hyperlink" Target="https://nvd.nist.gov/developers/vulnerabilities" TargetMode="External"/><Relationship Id="rId15" Type="http://schemas.openxmlformats.org/officeDocument/2006/relationships/hyperlink" Target="https://nvd.nist.gov/developers/request-an-api-key" TargetMode="External"/><Relationship Id="rId16" Type="http://schemas.openxmlformats.org/officeDocument/2006/relationships/hyperlink" Target="https://www.cisa.gov/known-exploited-vulnerabilities-catalog" TargetMode="External"/><Relationship Id="rId17" Type="http://schemas.openxmlformats.org/officeDocument/2006/relationships/hyperlink" Target="https://www.cisa.gov/sites/default/files/feeds/known_exploited_vulnerabilities.json" TargetMode="External"/><Relationship Id="rId18" Type="http://schemas.openxmlformats.org/officeDocument/2006/relationships/hyperlink" Target="https://www.cisa.gov/sites/default/files/csv/known_exploited_vulnerabilities.csv" TargetMode="External"/><Relationship Id="rId19" Type="http://schemas.openxmlformats.org/officeDocument/2006/relationships/hyperlink" Target="https://github.com/cisagov/kev-data" TargetMode="External"/><Relationship Id="rId20" Type="http://schemas.openxmlformats.org/officeDocument/2006/relationships/hyperlink" Target="https://www.cisa.gov/sites/default/files/feeds/known_exploited_vulnerabilities_schema.json" TargetMode="External"/><Relationship Id="rId21" Type="http://schemas.openxmlformats.org/officeDocument/2006/relationships/hyperlink" Target="https://docs.databricks.com/aws/en/getting-started/free-edition" TargetMode="External"/><Relationship Id="rId22" Type="http://schemas.openxmlformats.org/officeDocument/2006/relationships/hyperlink" Target="https://docs.databricks.com/aws/en/getting-started/free-edition-limit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VulnPulse - Phase 1 Project Proposal</dc:title>
  <dc:subject>Data Analysis and Visualization semester project</dc:subject>
  <dc:creator>VulnPulse Team</dc:creator>
  <cp:keywords>Apache Spark, Medallion Architecture, NVD, CISA KEV, cybersecurity, Power BI, data engineering</cp:keywords>
  <dc:description>generated by python-docx</dc:description>
  <cp:lastModifiedBy/>
  <cp:revision>1</cp:revision>
  <dcterms:created xsi:type="dcterms:W3CDTF">2013-12-23T23:15:00Z</dcterms:created>
  <dcterms:modified xsi:type="dcterms:W3CDTF">2013-12-23T23:15:00Z</dcterms:modified>
  <cp:category/>
</cp:coreProperties>
</file>