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07F86"/>
          <w:sz w:val="24"/>
        </w:rPr>
        <w:t>WEEK 6  |  FINAL TASK</w:t>
      </w:r>
    </w:p>
    <w:p>
      <w:pPr>
        <w:pStyle w:val="Title"/>
        <w:jc w:val="center"/>
      </w:pPr>
      <w:r>
        <w:t>Cybersecurity</w:t>
        <w:br/>
        <w:t>Audit Plan</w:t>
      </w:r>
    </w:p>
    <w:p>
      <w:pPr>
        <w:jc w:val="center"/>
      </w:pPr>
      <w:r>
        <w:rPr>
          <w:color w:val="505F6E"/>
          <w:sz w:val="26"/>
        </w:rPr>
        <w:t>A practical, evidence-based plan for reviewing security controls</w:t>
      </w:r>
    </w:p>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2304A"/>
          </w:tcPr>
          <w:p>
            <w:pPr>
              <w:spacing w:after="20"/>
            </w:pPr>
            <w:r/>
            <w:r>
              <w:rPr>
                <w:rFonts w:ascii="Aptos" w:hAnsi="Aptos"/>
                <w:b/>
                <w:color w:val="FFFFFF"/>
                <w:sz w:val="17"/>
              </w:rPr>
              <w:t>REPORT DETAILS</w:t>
            </w:r>
          </w:p>
        </w:tc>
        <w:tc>
          <w:tcPr>
            <w:tcW w:type="dxa" w:w="6912"/>
            <w:vAlign w:val="center"/>
            <w:shd w:fill="12304A"/>
          </w:tcPr>
          <w:p>
            <w:pPr>
              <w:spacing w:after="20"/>
            </w:pPr>
            <w:r/>
            <w:r>
              <w:rPr>
                <w:rFonts w:ascii="Aptos" w:hAnsi="Aptos"/>
                <w:b/>
                <w:color w:val="FFFFFF"/>
                <w:sz w:val="17"/>
              </w:rPr>
              <w:t>INFORMATION</w:t>
            </w:r>
          </w:p>
        </w:tc>
      </w:tr>
      <w:tr>
        <w:tc>
          <w:tcPr>
            <w:tcW w:type="dxa" w:w="2880"/>
            <w:vAlign w:val="center"/>
          </w:tcPr>
          <w:p>
            <w:pPr>
              <w:spacing w:after="20"/>
            </w:pPr>
            <w:r/>
            <w:r>
              <w:rPr>
                <w:rFonts w:ascii="Aptos" w:hAnsi="Aptos"/>
                <w:b w:val="0"/>
                <w:sz w:val="16"/>
              </w:rPr>
              <w:t>Prepared by</w:t>
            </w:r>
          </w:p>
        </w:tc>
        <w:tc>
          <w:tcPr>
            <w:tcW w:type="dxa" w:w="6912"/>
            <w:vAlign w:val="center"/>
          </w:tcPr>
          <w:p>
            <w:pPr>
              <w:spacing w:after="20"/>
            </w:pPr>
            <w:r/>
            <w:r>
              <w:rPr>
                <w:rFonts w:ascii="Aptos" w:hAnsi="Aptos"/>
                <w:b w:val="0"/>
                <w:sz w:val="16"/>
              </w:rPr>
              <w:t>Kashish Sharma</w:t>
            </w:r>
          </w:p>
        </w:tc>
      </w:tr>
      <w:tr>
        <w:tc>
          <w:tcPr>
            <w:tcW w:type="dxa" w:w="2880"/>
            <w:vAlign w:val="center"/>
            <w:shd w:fill="EEF5F6"/>
          </w:tcPr>
          <w:p>
            <w:pPr>
              <w:spacing w:after="20"/>
            </w:pPr>
            <w:r/>
            <w:r>
              <w:rPr>
                <w:rFonts w:ascii="Aptos" w:hAnsi="Aptos"/>
                <w:b w:val="0"/>
                <w:sz w:val="16"/>
              </w:rPr>
              <w:t>Program / Task</w:t>
            </w:r>
          </w:p>
        </w:tc>
        <w:tc>
          <w:tcPr>
            <w:tcW w:type="dxa" w:w="6912"/>
            <w:vAlign w:val="center"/>
            <w:shd w:fill="EEF5F6"/>
          </w:tcPr>
          <w:p>
            <w:pPr>
              <w:spacing w:after="20"/>
            </w:pPr>
            <w:r/>
            <w:r>
              <w:rPr>
                <w:rFonts w:ascii="Aptos" w:hAnsi="Aptos"/>
                <w:b w:val="0"/>
                <w:sz w:val="16"/>
              </w:rPr>
              <w:t>Cyber Security Analyst Internship — Week 6</w:t>
            </w:r>
          </w:p>
        </w:tc>
      </w:tr>
      <w:tr>
        <w:tc>
          <w:tcPr>
            <w:tcW w:type="dxa" w:w="2880"/>
            <w:vAlign w:val="center"/>
          </w:tcPr>
          <w:p>
            <w:pPr>
              <w:spacing w:after="20"/>
            </w:pPr>
            <w:r/>
            <w:r>
              <w:rPr>
                <w:rFonts w:ascii="Aptos" w:hAnsi="Aptos"/>
                <w:b w:val="0"/>
                <w:sz w:val="16"/>
              </w:rPr>
              <w:t>Organization</w:t>
            </w:r>
          </w:p>
        </w:tc>
        <w:tc>
          <w:tcPr>
            <w:tcW w:type="dxa" w:w="6912"/>
            <w:vAlign w:val="center"/>
          </w:tcPr>
          <w:p>
            <w:pPr>
              <w:spacing w:after="20"/>
            </w:pPr>
            <w:r/>
            <w:r>
              <w:rPr>
                <w:rFonts w:ascii="Aptos" w:hAnsi="Aptos"/>
                <w:b w:val="0"/>
                <w:sz w:val="16"/>
              </w:rPr>
              <w:t>Northstar Services (hypothetical, 120-person organization)</w:t>
            </w:r>
          </w:p>
        </w:tc>
      </w:tr>
      <w:tr>
        <w:tc>
          <w:tcPr>
            <w:tcW w:type="dxa" w:w="2880"/>
            <w:vAlign w:val="center"/>
            <w:shd w:fill="EEF5F6"/>
          </w:tcPr>
          <w:p>
            <w:pPr>
              <w:spacing w:after="20"/>
            </w:pPr>
            <w:r/>
            <w:r>
              <w:rPr>
                <w:rFonts w:ascii="Aptos" w:hAnsi="Aptos"/>
                <w:b w:val="0"/>
                <w:sz w:val="16"/>
              </w:rPr>
              <w:t>Assessment type</w:t>
            </w:r>
          </w:p>
        </w:tc>
        <w:tc>
          <w:tcPr>
            <w:tcW w:type="dxa" w:w="6912"/>
            <w:vAlign w:val="center"/>
            <w:shd w:fill="EEF5F6"/>
          </w:tcPr>
          <w:p>
            <w:pPr>
              <w:spacing w:after="20"/>
            </w:pPr>
            <w:r/>
            <w:r>
              <w:rPr>
                <w:rFonts w:ascii="Aptos" w:hAnsi="Aptos"/>
                <w:b w:val="0"/>
                <w:sz w:val="16"/>
              </w:rPr>
              <w:t>Planned internal security audit; non-destructive and authorized</w:t>
            </w:r>
          </w:p>
        </w:tc>
      </w:tr>
      <w:tr>
        <w:tc>
          <w:tcPr>
            <w:tcW w:type="dxa" w:w="2880"/>
            <w:vAlign w:val="center"/>
          </w:tcPr>
          <w:p>
            <w:pPr>
              <w:spacing w:after="20"/>
            </w:pPr>
            <w:r/>
            <w:r>
              <w:rPr>
                <w:rFonts w:ascii="Aptos" w:hAnsi="Aptos"/>
                <w:b w:val="0"/>
                <w:sz w:val="16"/>
              </w:rPr>
              <w:t>Planning effort</w:t>
            </w:r>
          </w:p>
        </w:tc>
        <w:tc>
          <w:tcPr>
            <w:tcW w:type="dxa" w:w="6912"/>
            <w:vAlign w:val="center"/>
          </w:tcPr>
          <w:p>
            <w:pPr>
              <w:spacing w:after="20"/>
            </w:pPr>
            <w:r/>
            <w:r>
              <w:rPr>
                <w:rFonts w:ascii="Aptos" w:hAnsi="Aptos"/>
                <w:b w:val="0"/>
                <w:sz w:val="16"/>
              </w:rPr>
              <w:t>32 hours across four weeks</w:t>
            </w:r>
          </w:p>
        </w:tc>
      </w:tr>
      <w:tr>
        <w:tc>
          <w:tcPr>
            <w:tcW w:type="dxa" w:w="2880"/>
            <w:vAlign w:val="center"/>
            <w:shd w:fill="EEF5F6"/>
          </w:tcPr>
          <w:p>
            <w:pPr>
              <w:spacing w:after="20"/>
            </w:pPr>
            <w:r/>
            <w:r>
              <w:rPr>
                <w:rFonts w:ascii="Aptos" w:hAnsi="Aptos"/>
                <w:b w:val="0"/>
                <w:sz w:val="16"/>
              </w:rPr>
              <w:t>Version / date</w:t>
            </w:r>
          </w:p>
        </w:tc>
        <w:tc>
          <w:tcPr>
            <w:tcW w:type="dxa" w:w="6912"/>
            <w:vAlign w:val="center"/>
            <w:shd w:fill="EEF5F6"/>
          </w:tcPr>
          <w:p>
            <w:pPr>
              <w:spacing w:after="20"/>
            </w:pPr>
            <w:r/>
            <w:r>
              <w:rPr>
                <w:rFonts w:ascii="Aptos" w:hAnsi="Aptos"/>
                <w:b w:val="0"/>
                <w:sz w:val="16"/>
              </w:rPr>
              <w:t>Version 1.0  |  24 October 2026</w:t>
            </w:r>
          </w:p>
        </w:tc>
      </w:tr>
    </w:tbl>
    <w:p>
      <w:pPr>
        <w:spacing w:after="20"/>
      </w:pPr>
    </w:p>
    <w:p>
      <w:pPr>
        <w:spacing w:before="440"/>
        <w:jc w:val="center"/>
      </w:pPr>
      <w:r>
        <w:rPr>
          <w:b/>
          <w:color w:val="D76532"/>
        </w:rPr>
        <w:t>CONFIDENTIALITY NOTE</w:t>
      </w:r>
    </w:p>
    <w:p>
      <w:pPr>
        <w:jc w:val="center"/>
      </w:pPr>
      <w:r>
        <w:t>This is a planning document for a hypothetical organization. Any sample asset counts, risks, evidence examples, costs, and findings are illustrative planning assumptions—not claims that a real audit or penetration test has been performed.</w:t>
      </w:r>
    </w:p>
    <w:p>
      <w:r>
        <w:br w:type="page"/>
      </w:r>
    </w:p>
    <w:p>
      <w:pPr>
        <w:pStyle w:val="Heading1"/>
      </w:pPr>
      <w:r>
        <w:t>1. Executive Summary</w:t>
      </w:r>
    </w:p>
    <w:p>
      <w:r>
        <w:t>This plan defines a repeatable, risk-based cybersecurity audit for Northstar Services, a hypothetical company with approximately 120 employees, a small IT team, cloud-hosted email and collaboration, a customer-facing web application, employee laptops, and a local office network. The audit will assess whether selected security controls are designed appropriately, operating consistently, and supported by evidence. It will prioritize identity and access management, endpoint protection, vulnerability and patch management, backups and recovery, network security, incident response, data protection, and security awareness.</w:t>
      </w:r>
    </w:p>
    <w:p>
      <w:r>
        <w:t>The engagement is designed as a controlled review, not an unrestricted penetration test. Testing will use read-only configuration reviews, approved sampling, documentation inspection, interviews, and safe validation checks. Any active scanning or test account activity requires written authorization and an agreed window. The plan allocates 32 working hours over four weeks, defines owners and deliverables, and includes a realistic illustrative budget. Results will be rated by risk, supported by evidence IDs, assigned to accountable owners, and tracked to closure.</w:t>
      </w:r>
    </w:p>
    <w:p>
      <w:pPr>
        <w:pStyle w:val="Heading2"/>
      </w:pPr>
      <w:r>
        <w:t>Audit objectives</w:t>
      </w:r>
    </w:p>
    <w:p>
      <w:pPr>
        <w:pStyle w:val="ListBullet"/>
        <w:spacing w:after="40"/>
      </w:pPr>
      <w:r>
        <w:t>Confirm that important systems and sensitive information are identified and have accountable owners.</w:t>
      </w:r>
    </w:p>
    <w:p>
      <w:pPr>
        <w:pStyle w:val="ListBullet"/>
        <w:spacing w:after="40"/>
      </w:pPr>
      <w:r>
        <w:t>Evaluate whether access, endpoint, patching, backup, logging, and incident-response controls are appropriate for the organization’s risk.</w:t>
      </w:r>
    </w:p>
    <w:p>
      <w:pPr>
        <w:pStyle w:val="ListBullet"/>
        <w:spacing w:after="40"/>
      </w:pPr>
      <w:r>
        <w:t>Collect traceable evidence and test a defined sample rather than relying only on verbal assurances.</w:t>
      </w:r>
    </w:p>
    <w:p>
      <w:pPr>
        <w:pStyle w:val="ListBullet"/>
        <w:spacing w:after="40"/>
      </w:pPr>
      <w:r>
        <w:t>Rank gaps by likelihood, impact, and business exposure; recommend practical remediation with deadlines.</w:t>
      </w:r>
    </w:p>
    <w:p>
      <w:pPr>
        <w:pStyle w:val="ListBullet"/>
        <w:spacing w:after="40"/>
      </w:pPr>
      <w:r>
        <w:t>Establish a repeatable audit cycle and management reporting process.</w:t>
      </w:r>
    </w:p>
    <w:p>
      <w:pPr>
        <w:pStyle w:val="Heading1"/>
      </w:pPr>
      <w:r>
        <w:t>2. Organization Profile and Assumptions</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2304A"/>
          </w:tcPr>
          <w:p>
            <w:pPr>
              <w:spacing w:after="20"/>
            </w:pPr>
            <w:r/>
            <w:r>
              <w:rPr>
                <w:rFonts w:ascii="Aptos" w:hAnsi="Aptos"/>
                <w:b/>
                <w:color w:val="FFFFFF"/>
                <w:sz w:val="17"/>
              </w:rPr>
              <w:t>Area</w:t>
            </w:r>
          </w:p>
        </w:tc>
        <w:tc>
          <w:tcPr>
            <w:tcW w:type="dxa" w:w="3600"/>
            <w:vAlign w:val="center"/>
            <w:shd w:fill="12304A"/>
          </w:tcPr>
          <w:p>
            <w:pPr>
              <w:spacing w:after="20"/>
            </w:pPr>
            <w:r/>
            <w:r>
              <w:rPr>
                <w:rFonts w:ascii="Aptos" w:hAnsi="Aptos"/>
                <w:b/>
                <w:color w:val="FFFFFF"/>
                <w:sz w:val="17"/>
              </w:rPr>
              <w:t>Planning assumption</w:t>
            </w:r>
          </w:p>
        </w:tc>
        <w:tc>
          <w:tcPr>
            <w:tcW w:type="dxa" w:w="4464"/>
            <w:vAlign w:val="center"/>
            <w:shd w:fill="12304A"/>
          </w:tcPr>
          <w:p>
            <w:pPr>
              <w:spacing w:after="20"/>
            </w:pPr>
            <w:r/>
            <w:r>
              <w:rPr>
                <w:rFonts w:ascii="Aptos" w:hAnsi="Aptos"/>
                <w:b/>
                <w:color w:val="FFFFFF"/>
                <w:sz w:val="17"/>
              </w:rPr>
              <w:t>Audit implication</w:t>
            </w:r>
          </w:p>
        </w:tc>
      </w:tr>
      <w:tr>
        <w:tc>
          <w:tcPr>
            <w:tcW w:type="dxa" w:w="1800"/>
            <w:vAlign w:val="center"/>
          </w:tcPr>
          <w:p>
            <w:pPr>
              <w:spacing w:after="20"/>
            </w:pPr>
            <w:r/>
            <w:r>
              <w:rPr>
                <w:rFonts w:ascii="Aptos" w:hAnsi="Aptos"/>
                <w:b w:val="0"/>
                <w:sz w:val="16"/>
              </w:rPr>
              <w:t>People</w:t>
            </w:r>
          </w:p>
        </w:tc>
        <w:tc>
          <w:tcPr>
            <w:tcW w:type="dxa" w:w="3600"/>
            <w:vAlign w:val="center"/>
          </w:tcPr>
          <w:p>
            <w:pPr>
              <w:spacing w:after="20"/>
            </w:pPr>
            <w:r/>
            <w:r>
              <w:rPr>
                <w:rFonts w:ascii="Aptos" w:hAnsi="Aptos"/>
                <w:b w:val="0"/>
                <w:sz w:val="16"/>
              </w:rPr>
              <w:t>120 employees; 8-person IT/support function</w:t>
            </w:r>
          </w:p>
        </w:tc>
        <w:tc>
          <w:tcPr>
            <w:tcW w:type="dxa" w:w="4464"/>
            <w:vAlign w:val="center"/>
          </w:tcPr>
          <w:p>
            <w:pPr>
              <w:spacing w:after="20"/>
            </w:pPr>
            <w:r/>
            <w:r>
              <w:rPr>
                <w:rFonts w:ascii="Aptos" w:hAnsi="Aptos"/>
                <w:b w:val="0"/>
                <w:sz w:val="16"/>
              </w:rPr>
              <w:t>Review joiner/mover/leaver processes and security awareness records.</w:t>
            </w:r>
          </w:p>
        </w:tc>
      </w:tr>
      <w:tr>
        <w:tc>
          <w:tcPr>
            <w:tcW w:type="dxa" w:w="1800"/>
            <w:vAlign w:val="center"/>
            <w:shd w:fill="EEF5F6"/>
          </w:tcPr>
          <w:p>
            <w:pPr>
              <w:spacing w:after="20"/>
            </w:pPr>
            <w:r/>
            <w:r>
              <w:rPr>
                <w:rFonts w:ascii="Aptos" w:hAnsi="Aptos"/>
                <w:b w:val="0"/>
                <w:sz w:val="16"/>
              </w:rPr>
              <w:t>Identity &amp; productivity</w:t>
            </w:r>
          </w:p>
        </w:tc>
        <w:tc>
          <w:tcPr>
            <w:tcW w:type="dxa" w:w="3600"/>
            <w:vAlign w:val="center"/>
            <w:shd w:fill="EEF5F6"/>
          </w:tcPr>
          <w:p>
            <w:pPr>
              <w:spacing w:after="20"/>
            </w:pPr>
            <w:r/>
            <w:r>
              <w:rPr>
                <w:rFonts w:ascii="Aptos" w:hAnsi="Aptos"/>
                <w:b w:val="0"/>
                <w:sz w:val="16"/>
              </w:rPr>
              <w:t>Cloud identity, email, collaboration and MFA capabilities</w:t>
            </w:r>
          </w:p>
        </w:tc>
        <w:tc>
          <w:tcPr>
            <w:tcW w:type="dxa" w:w="4464"/>
            <w:vAlign w:val="center"/>
            <w:shd w:fill="EEF5F6"/>
          </w:tcPr>
          <w:p>
            <w:pPr>
              <w:spacing w:after="20"/>
            </w:pPr>
            <w:r/>
            <w:r>
              <w:rPr>
                <w:rFonts w:ascii="Aptos" w:hAnsi="Aptos"/>
                <w:b w:val="0"/>
                <w:sz w:val="16"/>
              </w:rPr>
              <w:t>Review MFA coverage, privileged roles, sign-in protections and sharing settings.</w:t>
            </w:r>
          </w:p>
        </w:tc>
      </w:tr>
      <w:tr>
        <w:tc>
          <w:tcPr>
            <w:tcW w:type="dxa" w:w="1800"/>
            <w:vAlign w:val="center"/>
          </w:tcPr>
          <w:p>
            <w:pPr>
              <w:spacing w:after="20"/>
            </w:pPr>
            <w:r/>
            <w:r>
              <w:rPr>
                <w:rFonts w:ascii="Aptos" w:hAnsi="Aptos"/>
                <w:b w:val="0"/>
                <w:sz w:val="16"/>
              </w:rPr>
              <w:t>Endpoints</w:t>
            </w:r>
          </w:p>
        </w:tc>
        <w:tc>
          <w:tcPr>
            <w:tcW w:type="dxa" w:w="3600"/>
            <w:vAlign w:val="center"/>
          </w:tcPr>
          <w:p>
            <w:pPr>
              <w:spacing w:after="20"/>
            </w:pPr>
            <w:r/>
            <w:r>
              <w:rPr>
                <w:rFonts w:ascii="Aptos" w:hAnsi="Aptos"/>
                <w:b w:val="0"/>
                <w:sz w:val="16"/>
              </w:rPr>
              <w:t>About 100 managed laptops/desktops</w:t>
            </w:r>
          </w:p>
        </w:tc>
        <w:tc>
          <w:tcPr>
            <w:tcW w:type="dxa" w:w="4464"/>
            <w:vAlign w:val="center"/>
          </w:tcPr>
          <w:p>
            <w:pPr>
              <w:spacing w:after="20"/>
            </w:pPr>
            <w:r/>
            <w:r>
              <w:rPr>
                <w:rFonts w:ascii="Aptos" w:hAnsi="Aptos"/>
                <w:b w:val="0"/>
                <w:sz w:val="16"/>
              </w:rPr>
              <w:t>Sample 15 endpoints across teams and operating-system types.</w:t>
            </w:r>
          </w:p>
        </w:tc>
      </w:tr>
      <w:tr>
        <w:tc>
          <w:tcPr>
            <w:tcW w:type="dxa" w:w="1800"/>
            <w:vAlign w:val="center"/>
            <w:shd w:fill="EEF5F6"/>
          </w:tcPr>
          <w:p>
            <w:pPr>
              <w:spacing w:after="20"/>
            </w:pPr>
            <w:r/>
            <w:r>
              <w:rPr>
                <w:rFonts w:ascii="Aptos" w:hAnsi="Aptos"/>
                <w:b w:val="0"/>
                <w:sz w:val="16"/>
              </w:rPr>
              <w:t>Network</w:t>
            </w:r>
          </w:p>
        </w:tc>
        <w:tc>
          <w:tcPr>
            <w:tcW w:type="dxa" w:w="3600"/>
            <w:vAlign w:val="center"/>
            <w:shd w:fill="EEF5F6"/>
          </w:tcPr>
          <w:p>
            <w:pPr>
              <w:spacing w:after="20"/>
            </w:pPr>
            <w:r/>
            <w:r>
              <w:rPr>
                <w:rFonts w:ascii="Aptos" w:hAnsi="Aptos"/>
                <w:b w:val="0"/>
                <w:sz w:val="16"/>
              </w:rPr>
              <w:t>Office Wi-Fi, firewall/router, remote access and guest network</w:t>
            </w:r>
          </w:p>
        </w:tc>
        <w:tc>
          <w:tcPr>
            <w:tcW w:type="dxa" w:w="4464"/>
            <w:vAlign w:val="center"/>
            <w:shd w:fill="EEF5F6"/>
          </w:tcPr>
          <w:p>
            <w:pPr>
              <w:spacing w:after="20"/>
            </w:pPr>
            <w:r/>
            <w:r>
              <w:rPr>
                <w:rFonts w:ascii="Aptos" w:hAnsi="Aptos"/>
                <w:b w:val="0"/>
                <w:sz w:val="16"/>
              </w:rPr>
              <w:t>Review diagrams, firewall rule ownership, segmentation and remote-access configuration.</w:t>
            </w:r>
          </w:p>
        </w:tc>
      </w:tr>
      <w:tr>
        <w:tc>
          <w:tcPr>
            <w:tcW w:type="dxa" w:w="1800"/>
            <w:vAlign w:val="center"/>
          </w:tcPr>
          <w:p>
            <w:pPr>
              <w:spacing w:after="20"/>
            </w:pPr>
            <w:r/>
            <w:r>
              <w:rPr>
                <w:rFonts w:ascii="Aptos" w:hAnsi="Aptos"/>
                <w:b w:val="0"/>
                <w:sz w:val="16"/>
              </w:rPr>
              <w:t>Applications</w:t>
            </w:r>
          </w:p>
        </w:tc>
        <w:tc>
          <w:tcPr>
            <w:tcW w:type="dxa" w:w="3600"/>
            <w:vAlign w:val="center"/>
          </w:tcPr>
          <w:p>
            <w:pPr>
              <w:spacing w:after="20"/>
            </w:pPr>
            <w:r/>
            <w:r>
              <w:rPr>
                <w:rFonts w:ascii="Aptos" w:hAnsi="Aptos"/>
                <w:b w:val="0"/>
                <w:sz w:val="16"/>
              </w:rPr>
              <w:t>One customer-facing web application and two business SaaS tools</w:t>
            </w:r>
          </w:p>
        </w:tc>
        <w:tc>
          <w:tcPr>
            <w:tcW w:type="dxa" w:w="4464"/>
            <w:vAlign w:val="center"/>
          </w:tcPr>
          <w:p>
            <w:pPr>
              <w:spacing w:after="20"/>
            </w:pPr>
            <w:r/>
            <w:r>
              <w:rPr>
                <w:rFonts w:ascii="Aptos" w:hAnsi="Aptos"/>
                <w:b w:val="0"/>
                <w:sz w:val="16"/>
              </w:rPr>
              <w:t>Review ownership, access, change management and vulnerability handling.</w:t>
            </w:r>
          </w:p>
        </w:tc>
      </w:tr>
      <w:tr>
        <w:tc>
          <w:tcPr>
            <w:tcW w:type="dxa" w:w="1800"/>
            <w:vAlign w:val="center"/>
            <w:shd w:fill="EEF5F6"/>
          </w:tcPr>
          <w:p>
            <w:pPr>
              <w:spacing w:after="20"/>
            </w:pPr>
            <w:r/>
            <w:r>
              <w:rPr>
                <w:rFonts w:ascii="Aptos" w:hAnsi="Aptos"/>
                <w:b w:val="0"/>
                <w:sz w:val="16"/>
              </w:rPr>
              <w:t>Data &amp; recovery</w:t>
            </w:r>
          </w:p>
        </w:tc>
        <w:tc>
          <w:tcPr>
            <w:tcW w:type="dxa" w:w="3600"/>
            <w:vAlign w:val="center"/>
            <w:shd w:fill="EEF5F6"/>
          </w:tcPr>
          <w:p>
            <w:pPr>
              <w:spacing w:after="20"/>
            </w:pPr>
            <w:r/>
            <w:r>
              <w:rPr>
                <w:rFonts w:ascii="Aptos" w:hAnsi="Aptos"/>
                <w:b w:val="0"/>
                <w:sz w:val="16"/>
              </w:rPr>
              <w:t>Customer/contact records and business documents; cloud backup service</w:t>
            </w:r>
          </w:p>
        </w:tc>
        <w:tc>
          <w:tcPr>
            <w:tcW w:type="dxa" w:w="4464"/>
            <w:vAlign w:val="center"/>
            <w:shd w:fill="EEF5F6"/>
          </w:tcPr>
          <w:p>
            <w:pPr>
              <w:spacing w:after="20"/>
            </w:pPr>
            <w:r/>
            <w:r>
              <w:rPr>
                <w:rFonts w:ascii="Aptos" w:hAnsi="Aptos"/>
                <w:b w:val="0"/>
                <w:sz w:val="16"/>
              </w:rPr>
              <w:t>Check classification, retention, access restrictions and restore-test evidence.</w:t>
            </w:r>
          </w:p>
        </w:tc>
      </w:tr>
      <w:tr>
        <w:tc>
          <w:tcPr>
            <w:tcW w:type="dxa" w:w="1800"/>
            <w:vAlign w:val="center"/>
          </w:tcPr>
          <w:p>
            <w:pPr>
              <w:spacing w:after="20"/>
            </w:pPr>
            <w:r/>
            <w:r>
              <w:rPr>
                <w:rFonts w:ascii="Aptos" w:hAnsi="Aptos"/>
                <w:b w:val="0"/>
                <w:sz w:val="16"/>
              </w:rPr>
              <w:t>Compliance</w:t>
            </w:r>
          </w:p>
        </w:tc>
        <w:tc>
          <w:tcPr>
            <w:tcW w:type="dxa" w:w="3600"/>
            <w:vAlign w:val="center"/>
          </w:tcPr>
          <w:p>
            <w:pPr>
              <w:spacing w:after="20"/>
            </w:pPr>
            <w:r/>
            <w:r>
              <w:rPr>
                <w:rFonts w:ascii="Aptos" w:hAnsi="Aptos"/>
                <w:b w:val="0"/>
                <w:sz w:val="16"/>
              </w:rPr>
              <w:t>No specific certification assumed</w:t>
            </w:r>
          </w:p>
        </w:tc>
        <w:tc>
          <w:tcPr>
            <w:tcW w:type="dxa" w:w="4464"/>
            <w:vAlign w:val="center"/>
          </w:tcPr>
          <w:p>
            <w:pPr>
              <w:spacing w:after="20"/>
            </w:pPr>
            <w:r/>
            <w:r>
              <w:rPr>
                <w:rFonts w:ascii="Aptos" w:hAnsi="Aptos"/>
                <w:b w:val="0"/>
                <w:sz w:val="16"/>
              </w:rPr>
              <w:t>Use recognized good-practice references; legal/compliance obligations must be confirmed by management.</w:t>
            </w:r>
          </w:p>
        </w:tc>
      </w:tr>
    </w:tbl>
    <w:p>
      <w:pPr>
        <w:spacing w:after="20"/>
      </w:pPr>
    </w:p>
    <w:p>
      <w:pPr>
        <w:pStyle w:val="Heading1"/>
      </w:pPr>
      <w:r>
        <w:t>3. Scope, Boundaries and Exclusions</w:t>
      </w:r>
    </w:p>
    <w:p>
      <w:pPr>
        <w:pStyle w:val="Heading2"/>
      </w:pPr>
      <w:r>
        <w:t>In scope</w:t>
      </w:r>
    </w:p>
    <w:p>
      <w:pPr>
        <w:pStyle w:val="ListBullet"/>
        <w:spacing w:after="40"/>
      </w:pPr>
      <w:r>
        <w:t>Identity and access management: MFA, privileged accounts, access approvals, periodic access reviews and account removal.</w:t>
      </w:r>
    </w:p>
    <w:p>
      <w:pPr>
        <w:pStyle w:val="ListBullet"/>
        <w:spacing w:after="40"/>
      </w:pPr>
      <w:r>
        <w:t>Endpoint security: device inventory, encryption, endpoint detection/antivirus status, local administrator privileges and screen-lock settings.</w:t>
      </w:r>
    </w:p>
    <w:p>
      <w:pPr>
        <w:pStyle w:val="ListBullet"/>
        <w:spacing w:after="40"/>
      </w:pPr>
      <w:r>
        <w:t>Vulnerability and patch management: asset coverage, severity-based prioritization, patch age, exception approval and closure evidence.</w:t>
      </w:r>
    </w:p>
    <w:p>
      <w:pPr>
        <w:pStyle w:val="ListBullet"/>
        <w:spacing w:after="40"/>
      </w:pPr>
      <w:r>
        <w:t>Network security: network diagrams, firewall rule review, remote access, Wi-Fi separation and change approvals.</w:t>
      </w:r>
    </w:p>
    <w:p>
      <w:pPr>
        <w:pStyle w:val="ListBullet"/>
        <w:spacing w:after="40"/>
      </w:pPr>
      <w:r>
        <w:t>Backup and recovery: backup coverage, access separation, retention, monitoring and evidence of restore tests.</w:t>
      </w:r>
    </w:p>
    <w:p>
      <w:pPr>
        <w:pStyle w:val="ListBullet"/>
        <w:spacing w:after="40"/>
      </w:pPr>
      <w:r>
        <w:t>Logging and incident response: critical log sources, alert ownership, incident procedure, escalation contacts and tabletop exercise readiness.</w:t>
      </w:r>
    </w:p>
    <w:p>
      <w:pPr>
        <w:pStyle w:val="ListBullet"/>
        <w:spacing w:after="40"/>
      </w:pPr>
      <w:r>
        <w:t>Data protection and awareness: sharing permissions, retention practices, phishing/security training completion and reporting route.</w:t>
      </w:r>
    </w:p>
    <w:p>
      <w:pPr>
        <w:pStyle w:val="Heading2"/>
      </w:pPr>
      <w:r>
        <w:t>Out of scope</w:t>
      </w:r>
    </w:p>
    <w:p>
      <w:pPr>
        <w:pStyle w:val="ListBullet"/>
        <w:spacing w:after="40"/>
      </w:pPr>
      <w:r>
        <w:t>Destructive testing, denial-of-service tests, social engineering against real employees, or attempts to access data without authorization.</w:t>
      </w:r>
    </w:p>
    <w:p>
      <w:pPr>
        <w:pStyle w:val="ListBullet"/>
        <w:spacing w:after="40"/>
      </w:pPr>
      <w:r>
        <w:t>Source-code audit, full red-team exercise, forensic investigation, physical penetration testing, and third-party systems not owned or explicitly authorized by Northstar Services.</w:t>
      </w:r>
    </w:p>
    <w:p>
      <w:pPr>
        <w:pStyle w:val="ListBullet"/>
        <w:spacing w:after="40"/>
      </w:pPr>
      <w:r>
        <w:t>Certification or legal-compliance attestation. The audit can identify areas needing specialist legal or compliance review but cannot certify compliance.</w:t>
      </w:r>
    </w:p>
    <w:p>
      <w:pPr>
        <w:pStyle w:val="Heading2"/>
      </w:pPr>
      <w:r>
        <w:t>Rules of engagement</w:t>
      </w:r>
    </w:p>
    <w:p>
      <w:r>
        <w:t>The executive sponsor must approve the scope, named systems, test accounts, dates, and contacts in writing before evidence collection begins. Use least-privilege access and read-only methods wherever possible. Do not copy production customer data into the report; record redacted screenshots, configuration excerpts, timestamps, and evidence references instead. Stop testing and notify the IT lead immediately if service instability, unexpected sensitive-data exposure, or a suspected active incident is observed.</w:t>
      </w:r>
    </w:p>
    <w:p>
      <w:pPr>
        <w:pStyle w:val="Heading1"/>
      </w:pPr>
      <w:r>
        <w:t>4. Audit Method and Evidence Standard</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12304A"/>
          </w:tcPr>
          <w:p>
            <w:pPr>
              <w:spacing w:after="20"/>
            </w:pPr>
            <w:r/>
            <w:r>
              <w:rPr>
                <w:rFonts w:ascii="Aptos" w:hAnsi="Aptos"/>
                <w:b/>
                <w:color w:val="FFFFFF"/>
                <w:sz w:val="17"/>
              </w:rPr>
              <w:t>Phase</w:t>
            </w:r>
          </w:p>
        </w:tc>
        <w:tc>
          <w:tcPr>
            <w:tcW w:type="dxa" w:w="4320"/>
            <w:vAlign w:val="center"/>
            <w:shd w:fill="12304A"/>
          </w:tcPr>
          <w:p>
            <w:pPr>
              <w:spacing w:after="20"/>
            </w:pPr>
            <w:r/>
            <w:r>
              <w:rPr>
                <w:rFonts w:ascii="Aptos" w:hAnsi="Aptos"/>
                <w:b/>
                <w:color w:val="FFFFFF"/>
                <w:sz w:val="17"/>
              </w:rPr>
              <w:t>Activities</w:t>
            </w:r>
          </w:p>
        </w:tc>
        <w:tc>
          <w:tcPr>
            <w:tcW w:type="dxa" w:w="4104"/>
            <w:vAlign w:val="center"/>
            <w:shd w:fill="12304A"/>
          </w:tcPr>
          <w:p>
            <w:pPr>
              <w:spacing w:after="20"/>
            </w:pPr>
            <w:r/>
            <w:r>
              <w:rPr>
                <w:rFonts w:ascii="Aptos" w:hAnsi="Aptos"/>
                <w:b/>
                <w:color w:val="FFFFFF"/>
                <w:sz w:val="17"/>
              </w:rPr>
              <w:t>Evidence / output</w:t>
            </w:r>
          </w:p>
        </w:tc>
      </w:tr>
      <w:tr>
        <w:tc>
          <w:tcPr>
            <w:tcW w:type="dxa" w:w="1440"/>
            <w:vAlign w:val="center"/>
          </w:tcPr>
          <w:p>
            <w:pPr>
              <w:spacing w:after="20"/>
            </w:pPr>
            <w:r/>
            <w:r>
              <w:rPr>
                <w:rFonts w:ascii="Aptos" w:hAnsi="Aptos"/>
                <w:b w:val="0"/>
                <w:sz w:val="16"/>
              </w:rPr>
              <w:t>1. Plan</w:t>
            </w:r>
          </w:p>
        </w:tc>
        <w:tc>
          <w:tcPr>
            <w:tcW w:type="dxa" w:w="4320"/>
            <w:vAlign w:val="center"/>
          </w:tcPr>
          <w:p>
            <w:pPr>
              <w:spacing w:after="20"/>
            </w:pPr>
            <w:r/>
            <w:r>
              <w:rPr>
                <w:rFonts w:ascii="Aptos" w:hAnsi="Aptos"/>
                <w:b w:val="0"/>
                <w:sz w:val="16"/>
              </w:rPr>
              <w:t>Kick-off, confirm assets and owners, risk workshop, authorize scope.</w:t>
            </w:r>
          </w:p>
        </w:tc>
        <w:tc>
          <w:tcPr>
            <w:tcW w:type="dxa" w:w="4104"/>
            <w:vAlign w:val="center"/>
          </w:tcPr>
          <w:p>
            <w:pPr>
              <w:spacing w:after="20"/>
            </w:pPr>
            <w:r/>
            <w:r>
              <w:rPr>
                <w:rFonts w:ascii="Aptos" w:hAnsi="Aptos"/>
                <w:b w:val="0"/>
                <w:sz w:val="16"/>
              </w:rPr>
              <w:t>Signed scope, contact list, asset list, test window.</w:t>
            </w:r>
          </w:p>
        </w:tc>
      </w:tr>
      <w:tr>
        <w:tc>
          <w:tcPr>
            <w:tcW w:type="dxa" w:w="1440"/>
            <w:vAlign w:val="center"/>
            <w:shd w:fill="EEF5F6"/>
          </w:tcPr>
          <w:p>
            <w:pPr>
              <w:spacing w:after="20"/>
            </w:pPr>
            <w:r/>
            <w:r>
              <w:rPr>
                <w:rFonts w:ascii="Aptos" w:hAnsi="Aptos"/>
                <w:b w:val="0"/>
                <w:sz w:val="16"/>
              </w:rPr>
              <w:t>2. Discover</w:t>
            </w:r>
          </w:p>
        </w:tc>
        <w:tc>
          <w:tcPr>
            <w:tcW w:type="dxa" w:w="4320"/>
            <w:vAlign w:val="center"/>
            <w:shd w:fill="EEF5F6"/>
          </w:tcPr>
          <w:p>
            <w:pPr>
              <w:spacing w:after="20"/>
            </w:pPr>
            <w:r/>
            <w:r>
              <w:rPr>
                <w:rFonts w:ascii="Aptos" w:hAnsi="Aptos"/>
                <w:b w:val="0"/>
                <w:sz w:val="16"/>
              </w:rPr>
              <w:t>Review diagrams, policies, inventories, cloud/admin settings and prior findings.</w:t>
            </w:r>
          </w:p>
        </w:tc>
        <w:tc>
          <w:tcPr>
            <w:tcW w:type="dxa" w:w="4104"/>
            <w:vAlign w:val="center"/>
            <w:shd w:fill="EEF5F6"/>
          </w:tcPr>
          <w:p>
            <w:pPr>
              <w:spacing w:after="20"/>
            </w:pPr>
            <w:r/>
            <w:r>
              <w:rPr>
                <w:rFonts w:ascii="Aptos" w:hAnsi="Aptos"/>
                <w:b w:val="0"/>
                <w:sz w:val="16"/>
              </w:rPr>
              <w:t>Document register; evidence log; inventory gaps.</w:t>
            </w:r>
          </w:p>
        </w:tc>
      </w:tr>
      <w:tr>
        <w:tc>
          <w:tcPr>
            <w:tcW w:type="dxa" w:w="1440"/>
            <w:vAlign w:val="center"/>
          </w:tcPr>
          <w:p>
            <w:pPr>
              <w:spacing w:after="20"/>
            </w:pPr>
            <w:r/>
            <w:r>
              <w:rPr>
                <w:rFonts w:ascii="Aptos" w:hAnsi="Aptos"/>
                <w:b w:val="0"/>
                <w:sz w:val="16"/>
              </w:rPr>
              <w:t>3. Test controls</w:t>
            </w:r>
          </w:p>
        </w:tc>
        <w:tc>
          <w:tcPr>
            <w:tcW w:type="dxa" w:w="4320"/>
            <w:vAlign w:val="center"/>
          </w:tcPr>
          <w:p>
            <w:pPr>
              <w:spacing w:after="20"/>
            </w:pPr>
            <w:r/>
            <w:r>
              <w:rPr>
                <w:rFonts w:ascii="Aptos" w:hAnsi="Aptos"/>
                <w:b w:val="0"/>
                <w:sz w:val="16"/>
              </w:rPr>
              <w:t>Interview owners, inspect configurations, sample records, validate selected controls safely.</w:t>
            </w:r>
          </w:p>
        </w:tc>
        <w:tc>
          <w:tcPr>
            <w:tcW w:type="dxa" w:w="4104"/>
            <w:vAlign w:val="center"/>
          </w:tcPr>
          <w:p>
            <w:pPr>
              <w:spacing w:after="20"/>
            </w:pPr>
            <w:r/>
            <w:r>
              <w:rPr>
                <w:rFonts w:ascii="Aptos" w:hAnsi="Aptos"/>
                <w:b w:val="0"/>
                <w:sz w:val="16"/>
              </w:rPr>
              <w:t>Dated evidence IDs, sample criteria, pass/partial/fail result.</w:t>
            </w:r>
          </w:p>
        </w:tc>
      </w:tr>
      <w:tr>
        <w:tc>
          <w:tcPr>
            <w:tcW w:type="dxa" w:w="1440"/>
            <w:vAlign w:val="center"/>
            <w:shd w:fill="EEF5F6"/>
          </w:tcPr>
          <w:p>
            <w:pPr>
              <w:spacing w:after="20"/>
            </w:pPr>
            <w:r/>
            <w:r>
              <w:rPr>
                <w:rFonts w:ascii="Aptos" w:hAnsi="Aptos"/>
                <w:b w:val="0"/>
                <w:sz w:val="16"/>
              </w:rPr>
              <w:t>4. Rate risk</w:t>
            </w:r>
          </w:p>
        </w:tc>
        <w:tc>
          <w:tcPr>
            <w:tcW w:type="dxa" w:w="4320"/>
            <w:vAlign w:val="center"/>
            <w:shd w:fill="EEF5F6"/>
          </w:tcPr>
          <w:p>
            <w:pPr>
              <w:spacing w:after="20"/>
            </w:pPr>
            <w:r/>
            <w:r>
              <w:rPr>
                <w:rFonts w:ascii="Aptos" w:hAnsi="Aptos"/>
                <w:b w:val="0"/>
                <w:sz w:val="16"/>
              </w:rPr>
              <w:t>Validate observations with control owners; assess likelihood and impact.</w:t>
            </w:r>
          </w:p>
        </w:tc>
        <w:tc>
          <w:tcPr>
            <w:tcW w:type="dxa" w:w="4104"/>
            <w:vAlign w:val="center"/>
            <w:shd w:fill="EEF5F6"/>
          </w:tcPr>
          <w:p>
            <w:pPr>
              <w:spacing w:after="20"/>
            </w:pPr>
            <w:r/>
            <w:r>
              <w:rPr>
                <w:rFonts w:ascii="Aptos" w:hAnsi="Aptos"/>
                <w:b w:val="0"/>
                <w:sz w:val="16"/>
              </w:rPr>
              <w:t>Finding records with evidence, root cause and risk score.</w:t>
            </w:r>
          </w:p>
        </w:tc>
      </w:tr>
      <w:tr>
        <w:tc>
          <w:tcPr>
            <w:tcW w:type="dxa" w:w="1440"/>
            <w:vAlign w:val="center"/>
          </w:tcPr>
          <w:p>
            <w:pPr>
              <w:spacing w:after="20"/>
            </w:pPr>
            <w:r/>
            <w:r>
              <w:rPr>
                <w:rFonts w:ascii="Aptos" w:hAnsi="Aptos"/>
                <w:b w:val="0"/>
                <w:sz w:val="16"/>
              </w:rPr>
              <w:t>5. Report</w:t>
            </w:r>
          </w:p>
        </w:tc>
        <w:tc>
          <w:tcPr>
            <w:tcW w:type="dxa" w:w="4320"/>
            <w:vAlign w:val="center"/>
          </w:tcPr>
          <w:p>
            <w:pPr>
              <w:spacing w:after="20"/>
            </w:pPr>
            <w:r/>
            <w:r>
              <w:rPr>
                <w:rFonts w:ascii="Aptos" w:hAnsi="Aptos"/>
                <w:b w:val="0"/>
                <w:sz w:val="16"/>
              </w:rPr>
              <w:t>Agree factual accuracy, prepare prioritized actions and management summary.</w:t>
            </w:r>
          </w:p>
        </w:tc>
        <w:tc>
          <w:tcPr>
            <w:tcW w:type="dxa" w:w="4104"/>
            <w:vAlign w:val="center"/>
          </w:tcPr>
          <w:p>
            <w:pPr>
              <w:spacing w:after="20"/>
            </w:pPr>
            <w:r/>
            <w:r>
              <w:rPr>
                <w:rFonts w:ascii="Aptos" w:hAnsi="Aptos"/>
                <w:b w:val="0"/>
                <w:sz w:val="16"/>
              </w:rPr>
              <w:t>Final report, remediation tracker and presentation.</w:t>
            </w:r>
          </w:p>
        </w:tc>
      </w:tr>
      <w:tr>
        <w:tc>
          <w:tcPr>
            <w:tcW w:type="dxa" w:w="1440"/>
            <w:vAlign w:val="center"/>
            <w:shd w:fill="EEF5F6"/>
          </w:tcPr>
          <w:p>
            <w:pPr>
              <w:spacing w:after="20"/>
            </w:pPr>
            <w:r/>
            <w:r>
              <w:rPr>
                <w:rFonts w:ascii="Aptos" w:hAnsi="Aptos"/>
                <w:b w:val="0"/>
                <w:sz w:val="16"/>
              </w:rPr>
              <w:t>6. Follow up</w:t>
            </w:r>
          </w:p>
        </w:tc>
        <w:tc>
          <w:tcPr>
            <w:tcW w:type="dxa" w:w="4320"/>
            <w:vAlign w:val="center"/>
            <w:shd w:fill="EEF5F6"/>
          </w:tcPr>
          <w:p>
            <w:pPr>
              <w:spacing w:after="20"/>
            </w:pPr>
            <w:r/>
            <w:r>
              <w:rPr>
                <w:rFonts w:ascii="Aptos" w:hAnsi="Aptos"/>
                <w:b w:val="0"/>
                <w:sz w:val="16"/>
              </w:rPr>
              <w:t>Confirm evidence of fixes and retest agreed items.</w:t>
            </w:r>
          </w:p>
        </w:tc>
        <w:tc>
          <w:tcPr>
            <w:tcW w:type="dxa" w:w="4104"/>
            <w:vAlign w:val="center"/>
            <w:shd w:fill="EEF5F6"/>
          </w:tcPr>
          <w:p>
            <w:pPr>
              <w:spacing w:after="20"/>
            </w:pPr>
            <w:r/>
            <w:r>
              <w:rPr>
                <w:rFonts w:ascii="Aptos" w:hAnsi="Aptos"/>
                <w:b w:val="0"/>
                <w:sz w:val="16"/>
              </w:rPr>
              <w:t>Closure notes and residual-risk acceptance where applicable.</w:t>
            </w:r>
          </w:p>
        </w:tc>
      </w:tr>
    </w:tbl>
    <w:p>
      <w:pPr>
        <w:spacing w:after="20"/>
      </w:pPr>
    </w:p>
    <w:p>
      <w:pPr>
        <w:pStyle w:val="Heading2"/>
      </w:pPr>
      <w:r>
        <w:t>Evidence handling rules</w:t>
      </w:r>
    </w:p>
    <w:p>
      <w:pPr>
        <w:pStyle w:val="ListBullet"/>
        <w:spacing w:after="40"/>
      </w:pPr>
      <w:r>
        <w:t>Give each item a unique ID, for example IAM-01 or BAK-02; record date/time, system, collector, method, sample size and storage location.</w:t>
      </w:r>
    </w:p>
    <w:p>
      <w:pPr>
        <w:pStyle w:val="ListBullet"/>
        <w:spacing w:after="40"/>
      </w:pPr>
      <w:r>
        <w:t>Prefer primary evidence: exported configuration, access-review record, ticket, patch dashboard, backup job log or restore-test result.</w:t>
      </w:r>
    </w:p>
    <w:p>
      <w:pPr>
        <w:pStyle w:val="ListBullet"/>
        <w:spacing w:after="40"/>
      </w:pPr>
      <w:r>
        <w:t>For interviews, document the role and date, then corroborate important statements with records or configuration.</w:t>
      </w:r>
    </w:p>
    <w:p>
      <w:pPr>
        <w:pStyle w:val="ListBullet"/>
        <w:spacing w:after="40"/>
      </w:pPr>
      <w:r>
        <w:t>Redact usernames, email addresses, tokens, IP details or customer information when not required for the finding.</w:t>
      </w:r>
    </w:p>
    <w:p>
      <w:pPr>
        <w:pStyle w:val="ListBullet"/>
        <w:spacing w:after="40"/>
      </w:pPr>
      <w:r>
        <w:t>Keep evidence in an access-restricted audit folder; grant access only to the audit team and designated owners, and follow the agreed retention period.</w:t>
      </w:r>
    </w:p>
    <w:p>
      <w:pPr>
        <w:pStyle w:val="Heading1"/>
      </w:pPr>
      <w:r>
        <w:t>5. Control Areas and Detailed Test Procedures</w:t>
      </w:r>
    </w:p>
    <w:p>
      <w:pPr>
        <w:pStyle w:val="Heading2"/>
      </w:pPr>
      <w:r>
        <w:t>5.1 Identity and Access Management (High priority)</w:t>
      </w:r>
    </w:p>
    <w:p>
      <w:r>
        <w:t>Risk addressed: compromised accounts or excessive privileges can expose email, customer records and administrative systems.</w:t>
      </w:r>
    </w:p>
    <w:p>
      <w:pPr>
        <w:pStyle w:val="ListBullet"/>
        <w:spacing w:after="40"/>
      </w:pPr>
      <w:r>
        <w:t>Obtain the user and privileged-account export as of the audit date. Reconcile a sample of 15 users against HR status and manager approval.</w:t>
      </w:r>
    </w:p>
    <w:p>
      <w:pPr>
        <w:pStyle w:val="ListBullet"/>
        <w:spacing w:after="40"/>
      </w:pPr>
      <w:r>
        <w:t>Check MFA enforcement for all administrators and a sample of 10 standard users; record exceptions and compensating controls.</w:t>
      </w:r>
    </w:p>
    <w:p>
      <w:pPr>
        <w:pStyle w:val="ListBullet"/>
        <w:spacing w:after="40"/>
      </w:pPr>
      <w:r>
        <w:t>Inspect all privileged roles (assumed maximum 10) for named ownership, business need, separate admin accounts and recent review.</w:t>
      </w:r>
    </w:p>
    <w:p>
      <w:pPr>
        <w:pStyle w:val="ListBullet"/>
        <w:spacing w:after="40"/>
      </w:pPr>
      <w:r>
        <w:t>Select five recent leavers from the previous six months, if available, and compare HR departure date with account disablement and session/token revocation evidence.</w:t>
      </w:r>
    </w:p>
    <w:p>
      <w:pPr>
        <w:pStyle w:val="ListBullet"/>
        <w:spacing w:after="40"/>
      </w:pPr>
      <w:r>
        <w:t>Inspect password/authentication policy and alerting for risky sign-ins; do not collect passwords or authentication secrets.</w:t>
      </w:r>
    </w:p>
    <w:p>
      <w:r>
        <w:t>Pass criteria: privileged accounts are individually assigned, approved and reviewed; MFA is enforced for administrators; sampled leaver accounts are disabled promptly under the organization’s approved SLA; exceptions have owners and expiry dates.</w:t>
      </w:r>
    </w:p>
    <w:p>
      <w:pPr>
        <w:pStyle w:val="Heading2"/>
      </w:pPr>
      <w:r>
        <w:t>5.2 Endpoint Protection and Configuration</w:t>
      </w:r>
    </w:p>
    <w:p>
      <w:pPr>
        <w:pStyle w:val="ListBullet"/>
        <w:spacing w:after="40"/>
      </w:pPr>
      <w:r>
        <w:t>Compare the endpoint-management inventory with the asset register; sample 15 devices across departments and operating systems.</w:t>
      </w:r>
    </w:p>
    <w:p>
      <w:pPr>
        <w:pStyle w:val="ListBullet"/>
        <w:spacing w:after="40"/>
      </w:pPr>
      <w:r>
        <w:t>Check endpoint protection agent health, recent update/check-in, full-disk encryption, screen-lock configuration and local administrator membership.</w:t>
      </w:r>
    </w:p>
    <w:p>
      <w:pPr>
        <w:pStyle w:val="ListBullet"/>
        <w:spacing w:after="40"/>
      </w:pPr>
      <w:r>
        <w:t>Review the process for lost devices, unsupported operating systems and devices that have not checked in for 14 days.</w:t>
      </w:r>
    </w:p>
    <w:p>
      <w:pPr>
        <w:pStyle w:val="ListBullet"/>
        <w:spacing w:after="40"/>
      </w:pPr>
      <w:r>
        <w:t>Record device IDs and configuration evidence only; do not extract personal files.</w:t>
      </w:r>
    </w:p>
    <w:p>
      <w:r>
        <w:t>Pass criteria: sampled managed devices report healthy protection, encryption is enabled where required, unsupported devices are documented with a remediation plan, and exceptions are approved.</w:t>
      </w:r>
    </w:p>
    <w:p>
      <w:pPr>
        <w:pStyle w:val="Heading2"/>
      </w:pPr>
      <w:r>
        <w:t>5.3 Vulnerability and Patch Management</w:t>
      </w:r>
    </w:p>
    <w:p>
      <w:pPr>
        <w:pStyle w:val="ListBullet"/>
        <w:spacing w:after="40"/>
      </w:pPr>
      <w:r>
        <w:t>Obtain the latest vulnerability/patch dashboard and define its reporting date and coverage.</w:t>
      </w:r>
    </w:p>
    <w:p>
      <w:pPr>
        <w:pStyle w:val="ListBullet"/>
        <w:spacing w:after="40"/>
      </w:pPr>
      <w:r>
        <w:t>Select the five highest-risk open findings and five recently closed findings; trace each to an owner, ticket, target date and closure evidence.</w:t>
      </w:r>
    </w:p>
    <w:p>
      <w:pPr>
        <w:pStyle w:val="ListBullet"/>
        <w:spacing w:after="40"/>
      </w:pPr>
      <w:r>
        <w:t>Compare patch age against the organization’s approved SLA. If no SLA exists, recommend a documented baseline (for example, critical internet-exposed issues prioritized within 72 hours where feasible, subject to validation and change control).</w:t>
      </w:r>
    </w:p>
    <w:p>
      <w:pPr>
        <w:pStyle w:val="ListBullet"/>
        <w:spacing w:after="40"/>
      </w:pPr>
      <w:r>
        <w:t>Check whether internet-facing assets and business-critical systems are included in scanning and whether exceptions have expiry dates.</w:t>
      </w:r>
    </w:p>
    <w:p>
      <w:r>
        <w:t>Pass criteria: coverage is known, findings are prioritized by severity and exposure, remediation is tracked, and overdue high-risk exceptions are escalated. The example timelines are recommendations, not universal legal requirements.</w:t>
      </w:r>
    </w:p>
    <w:p>
      <w:pPr>
        <w:pStyle w:val="Heading2"/>
      </w:pPr>
      <w:r>
        <w:t>5.4 Network and Remote Access</w:t>
      </w:r>
    </w:p>
    <w:p>
      <w:pPr>
        <w:pStyle w:val="ListBullet"/>
        <w:spacing w:after="40"/>
      </w:pPr>
      <w:r>
        <w:t>Review the current network diagram and confirm the owner and date of the last update.</w:t>
      </w:r>
    </w:p>
    <w:p>
      <w:pPr>
        <w:pStyle w:val="ListBullet"/>
        <w:spacing w:after="40"/>
      </w:pPr>
      <w:r>
        <w:t>Sample 10 firewall rules, including internet-facing and remote-access rules; check documented business purpose, owner, approval, and review date.</w:t>
      </w:r>
    </w:p>
    <w:p>
      <w:pPr>
        <w:pStyle w:val="ListBullet"/>
        <w:spacing w:after="40"/>
      </w:pPr>
      <w:r>
        <w:t>Confirm guest Wi-Fi is separated from internal resources and remote access uses approved authentication and MFA where supported.</w:t>
      </w:r>
    </w:p>
    <w:p>
      <w:pPr>
        <w:pStyle w:val="ListBullet"/>
        <w:spacing w:after="40"/>
      </w:pPr>
      <w:r>
        <w:t>Inspect change records for three recent network/security changes and check that approval and rollback notes exist.</w:t>
      </w:r>
    </w:p>
    <w:p>
      <w:pPr>
        <w:pStyle w:val="Heading2"/>
      </w:pPr>
      <w:r>
        <w:t>5.5 Backup, Recovery and Data Protection</w:t>
      </w:r>
    </w:p>
    <w:p>
      <w:pPr>
        <w:pStyle w:val="ListBullet"/>
        <w:spacing w:after="40"/>
      </w:pPr>
      <w:r>
        <w:t>Review backup coverage for the customer application, identity configuration where exportable, and critical shared documents.</w:t>
      </w:r>
    </w:p>
    <w:p>
      <w:pPr>
        <w:pStyle w:val="ListBullet"/>
        <w:spacing w:after="40"/>
      </w:pPr>
      <w:r>
        <w:t>Inspect 30 days of backup job status; identify failures, repeated warnings and alert recipients.</w:t>
      </w:r>
    </w:p>
    <w:p>
      <w:pPr>
        <w:pStyle w:val="ListBullet"/>
        <w:spacing w:after="40"/>
      </w:pPr>
      <w:r>
        <w:t>Review one recent restore test or, if none exists, agree a safe test of a non-production sample with the system owner.</w:t>
      </w:r>
    </w:p>
    <w:p>
      <w:pPr>
        <w:pStyle w:val="ListBullet"/>
        <w:spacing w:after="40"/>
      </w:pPr>
      <w:r>
        <w:t>Verify backup administration is restricted and, where available, at least one protected/immutable or separately controlled copy exists.</w:t>
      </w:r>
    </w:p>
    <w:p>
      <w:pPr>
        <w:pStyle w:val="ListBullet"/>
        <w:spacing w:after="40"/>
      </w:pPr>
      <w:r>
        <w:t>Review sharing settings for a sample of 10 sensitive folders or documents without opening unnecessary content.</w:t>
      </w:r>
    </w:p>
    <w:p>
      <w:pPr>
        <w:pStyle w:val="Heading2"/>
      </w:pPr>
      <w:r>
        <w:t>5.6 Logging, Incident Response and Awareness</w:t>
      </w:r>
    </w:p>
    <w:p>
      <w:pPr>
        <w:pStyle w:val="ListBullet"/>
        <w:spacing w:after="40"/>
      </w:pPr>
      <w:r>
        <w:t>Identify logs available for identity, endpoint protection, firewall, cloud administration and the customer-facing application; note retention and responsible reviewer.</w:t>
      </w:r>
    </w:p>
    <w:p>
      <w:pPr>
        <w:pStyle w:val="ListBullet"/>
        <w:spacing w:after="40"/>
      </w:pPr>
      <w:r>
        <w:t>Trace three recent security alerts or incidents from detection to ticket, triage, escalation and closure. If no incidents occurred, inspect a test alert or documented exercise instead.</w:t>
      </w:r>
    </w:p>
    <w:p>
      <w:pPr>
        <w:pStyle w:val="ListBullet"/>
        <w:spacing w:after="40"/>
      </w:pPr>
      <w:r>
        <w:t>Review the incident-response plan for roles, contact methods, evidence preservation, external notification decision ownership and recovery priorities.</w:t>
      </w:r>
    </w:p>
    <w:p>
      <w:pPr>
        <w:pStyle w:val="ListBullet"/>
        <w:spacing w:after="40"/>
      </w:pPr>
      <w:r>
        <w:t>Conduct a 30-minute tabletop scenario with authorized staff (for example, suspicious cloud sign-in) and document decisions, timing and improvement actions.</w:t>
      </w:r>
    </w:p>
    <w:p>
      <w:pPr>
        <w:pStyle w:val="ListBullet"/>
        <w:spacing w:after="40"/>
      </w:pPr>
      <w:r>
        <w:t>Check training completion records and the method employees use to report suspicious messages; report sample size and completion percentage.</w:t>
      </w:r>
    </w:p>
    <w:p>
      <w:pPr>
        <w:pStyle w:val="Heading1"/>
      </w:pPr>
      <w:r>
        <w:t>6. Risk Rating and Finding Format</w:t>
      </w:r>
    </w:p>
    <w:p>
      <w:r>
        <w:t>Rate likelihood and impact from 1 (Low) to 5 (Very high). Risk score = Likelihood × Impact. Use the score as a consistent prioritization aid, then apply professional judgment for internet exposure, sensitive data, exploitability, business criticality and existing safeguards.</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12304A"/>
          </w:tcPr>
          <w:p>
            <w:pPr>
              <w:spacing w:after="20"/>
            </w:pPr>
            <w:r/>
            <w:r>
              <w:rPr>
                <w:rFonts w:ascii="Aptos" w:hAnsi="Aptos"/>
                <w:b/>
                <w:color w:val="FFFFFF"/>
                <w:sz w:val="17"/>
              </w:rPr>
              <w:t>Score</w:t>
            </w:r>
          </w:p>
        </w:tc>
        <w:tc>
          <w:tcPr>
            <w:tcW w:type="dxa" w:w="1656"/>
            <w:vAlign w:val="center"/>
            <w:shd w:fill="12304A"/>
          </w:tcPr>
          <w:p>
            <w:pPr>
              <w:spacing w:after="20"/>
            </w:pPr>
            <w:r/>
            <w:r>
              <w:rPr>
                <w:rFonts w:ascii="Aptos" w:hAnsi="Aptos"/>
                <w:b/>
                <w:color w:val="FFFFFF"/>
                <w:sz w:val="17"/>
              </w:rPr>
              <w:t>Rating</w:t>
            </w:r>
          </w:p>
        </w:tc>
        <w:tc>
          <w:tcPr>
            <w:tcW w:type="dxa" w:w="6768"/>
            <w:vAlign w:val="center"/>
            <w:shd w:fill="12304A"/>
          </w:tcPr>
          <w:p>
            <w:pPr>
              <w:spacing w:after="20"/>
            </w:pPr>
            <w:r/>
            <w:r>
              <w:rPr>
                <w:rFonts w:ascii="Aptos" w:hAnsi="Aptos"/>
                <w:b/>
                <w:color w:val="FFFFFF"/>
                <w:sz w:val="17"/>
              </w:rPr>
              <w:t>Target response (proposed)</w:t>
            </w:r>
          </w:p>
        </w:tc>
      </w:tr>
      <w:tr>
        <w:tc>
          <w:tcPr>
            <w:tcW w:type="dxa" w:w="1440"/>
            <w:vAlign w:val="center"/>
          </w:tcPr>
          <w:p>
            <w:pPr>
              <w:spacing w:after="20"/>
            </w:pPr>
            <w:r/>
            <w:r>
              <w:rPr>
                <w:rFonts w:ascii="Aptos" w:hAnsi="Aptos"/>
                <w:b w:val="0"/>
                <w:sz w:val="16"/>
              </w:rPr>
              <w:t>20–25</w:t>
            </w:r>
          </w:p>
        </w:tc>
        <w:tc>
          <w:tcPr>
            <w:tcW w:type="dxa" w:w="1656"/>
            <w:vAlign w:val="center"/>
          </w:tcPr>
          <w:p>
            <w:pPr>
              <w:spacing w:after="20"/>
            </w:pPr>
            <w:r/>
            <w:r>
              <w:rPr>
                <w:rFonts w:ascii="Aptos" w:hAnsi="Aptos"/>
                <w:b w:val="0"/>
                <w:sz w:val="16"/>
              </w:rPr>
              <w:t>Critical</w:t>
            </w:r>
          </w:p>
        </w:tc>
        <w:tc>
          <w:tcPr>
            <w:tcW w:type="dxa" w:w="6768"/>
            <w:vAlign w:val="center"/>
          </w:tcPr>
          <w:p>
            <w:pPr>
              <w:spacing w:after="20"/>
            </w:pPr>
            <w:r/>
            <w:r>
              <w:rPr>
                <w:rFonts w:ascii="Aptos" w:hAnsi="Aptos"/>
                <w:b w:val="0"/>
                <w:sz w:val="16"/>
              </w:rPr>
              <w:t>Escalate immediately; containment or approved mitigation plan within 24 hours.</w:t>
            </w:r>
          </w:p>
        </w:tc>
      </w:tr>
      <w:tr>
        <w:tc>
          <w:tcPr>
            <w:tcW w:type="dxa" w:w="1440"/>
            <w:vAlign w:val="center"/>
            <w:shd w:fill="EEF5F6"/>
          </w:tcPr>
          <w:p>
            <w:pPr>
              <w:spacing w:after="20"/>
            </w:pPr>
            <w:r/>
            <w:r>
              <w:rPr>
                <w:rFonts w:ascii="Aptos" w:hAnsi="Aptos"/>
                <w:b w:val="0"/>
                <w:sz w:val="16"/>
              </w:rPr>
              <w:t>12–19</w:t>
            </w:r>
          </w:p>
        </w:tc>
        <w:tc>
          <w:tcPr>
            <w:tcW w:type="dxa" w:w="1656"/>
            <w:vAlign w:val="center"/>
            <w:shd w:fill="EEF5F6"/>
          </w:tcPr>
          <w:p>
            <w:pPr>
              <w:spacing w:after="20"/>
            </w:pPr>
            <w:r/>
            <w:r>
              <w:rPr>
                <w:rFonts w:ascii="Aptos" w:hAnsi="Aptos"/>
                <w:b w:val="0"/>
                <w:sz w:val="16"/>
              </w:rPr>
              <w:t>High</w:t>
            </w:r>
          </w:p>
        </w:tc>
        <w:tc>
          <w:tcPr>
            <w:tcW w:type="dxa" w:w="6768"/>
            <w:vAlign w:val="center"/>
            <w:shd w:fill="EEF5F6"/>
          </w:tcPr>
          <w:p>
            <w:pPr>
              <w:spacing w:after="20"/>
            </w:pPr>
            <w:r/>
            <w:r>
              <w:rPr>
                <w:rFonts w:ascii="Aptos" w:hAnsi="Aptos"/>
                <w:b w:val="0"/>
                <w:sz w:val="16"/>
              </w:rPr>
              <w:t>Owner and action plan within 5 business days; target remediation within 30 days.</w:t>
            </w:r>
          </w:p>
        </w:tc>
      </w:tr>
      <w:tr>
        <w:tc>
          <w:tcPr>
            <w:tcW w:type="dxa" w:w="1440"/>
            <w:vAlign w:val="center"/>
          </w:tcPr>
          <w:p>
            <w:pPr>
              <w:spacing w:after="20"/>
            </w:pPr>
            <w:r/>
            <w:r>
              <w:rPr>
                <w:rFonts w:ascii="Aptos" w:hAnsi="Aptos"/>
                <w:b w:val="0"/>
                <w:sz w:val="16"/>
              </w:rPr>
              <w:t>6–11</w:t>
            </w:r>
          </w:p>
        </w:tc>
        <w:tc>
          <w:tcPr>
            <w:tcW w:type="dxa" w:w="1656"/>
            <w:vAlign w:val="center"/>
          </w:tcPr>
          <w:p>
            <w:pPr>
              <w:spacing w:after="20"/>
            </w:pPr>
            <w:r/>
            <w:r>
              <w:rPr>
                <w:rFonts w:ascii="Aptos" w:hAnsi="Aptos"/>
                <w:b w:val="0"/>
                <w:sz w:val="16"/>
              </w:rPr>
              <w:t>Medium</w:t>
            </w:r>
          </w:p>
        </w:tc>
        <w:tc>
          <w:tcPr>
            <w:tcW w:type="dxa" w:w="6768"/>
            <w:vAlign w:val="center"/>
          </w:tcPr>
          <w:p>
            <w:pPr>
              <w:spacing w:after="20"/>
            </w:pPr>
            <w:r/>
            <w:r>
              <w:rPr>
                <w:rFonts w:ascii="Aptos" w:hAnsi="Aptos"/>
                <w:b w:val="0"/>
                <w:sz w:val="16"/>
              </w:rPr>
              <w:t>Action plan within 10 business days; target remediation within 60 days.</w:t>
            </w:r>
          </w:p>
        </w:tc>
      </w:tr>
      <w:tr>
        <w:tc>
          <w:tcPr>
            <w:tcW w:type="dxa" w:w="1440"/>
            <w:vAlign w:val="center"/>
            <w:shd w:fill="EEF5F6"/>
          </w:tcPr>
          <w:p>
            <w:pPr>
              <w:spacing w:after="20"/>
            </w:pPr>
            <w:r/>
            <w:r>
              <w:rPr>
                <w:rFonts w:ascii="Aptos" w:hAnsi="Aptos"/>
                <w:b w:val="0"/>
                <w:sz w:val="16"/>
              </w:rPr>
              <w:t>1–5</w:t>
            </w:r>
          </w:p>
        </w:tc>
        <w:tc>
          <w:tcPr>
            <w:tcW w:type="dxa" w:w="1656"/>
            <w:vAlign w:val="center"/>
            <w:shd w:fill="EEF5F6"/>
          </w:tcPr>
          <w:p>
            <w:pPr>
              <w:spacing w:after="20"/>
            </w:pPr>
            <w:r/>
            <w:r>
              <w:rPr>
                <w:rFonts w:ascii="Aptos" w:hAnsi="Aptos"/>
                <w:b w:val="0"/>
                <w:sz w:val="16"/>
              </w:rPr>
              <w:t>Low</w:t>
            </w:r>
          </w:p>
        </w:tc>
        <w:tc>
          <w:tcPr>
            <w:tcW w:type="dxa" w:w="6768"/>
            <w:vAlign w:val="center"/>
            <w:shd w:fill="EEF5F6"/>
          </w:tcPr>
          <w:p>
            <w:pPr>
              <w:spacing w:after="20"/>
            </w:pPr>
            <w:r/>
            <w:r>
              <w:rPr>
                <w:rFonts w:ascii="Aptos" w:hAnsi="Aptos"/>
                <w:b w:val="0"/>
                <w:sz w:val="16"/>
              </w:rPr>
              <w:t>Track improvement; target remediation within 90 days or accept with documented rationale.</w:t>
            </w:r>
          </w:p>
        </w:tc>
      </w:tr>
    </w:tbl>
    <w:p>
      <w:pPr>
        <w:spacing w:after="20"/>
      </w:pPr>
    </w:p>
    <w:p>
      <w:r>
        <w:t>These are proposed internal targets for this hypothetical organization. Management must approve or adjust them based on business impact, legal obligations, operational constraints and risk appetite.</w:t>
      </w:r>
    </w:p>
    <w:p>
      <w:pPr>
        <w:pStyle w:val="Heading2"/>
      </w:pPr>
      <w:r>
        <w:t>Required finding template</w:t>
      </w:r>
    </w:p>
    <w:tbl>
      <w:tblPr>
        <w:tblStyle w:val="TableGrid"/>
        <w:tblW w:type="auto" w:w="0"/>
        <w:jc w:val="center"/>
        <w:tblLook w:firstColumn="1" w:firstRow="1" w:lastColumn="0" w:lastRow="0" w:noHBand="0" w:noVBand="1" w:val="04A0"/>
      </w:tblPr>
      <w:tblGrid>
        <w:gridCol w:w="4997"/>
        <w:gridCol w:w="4997"/>
      </w:tblGrid>
      <w:tr>
        <w:tc>
          <w:tcPr>
            <w:tcW w:type="dxa" w:w="2160"/>
            <w:vAlign w:val="center"/>
            <w:shd w:fill="12304A"/>
          </w:tcPr>
          <w:p>
            <w:pPr>
              <w:spacing w:after="20"/>
            </w:pPr>
            <w:r/>
            <w:r>
              <w:rPr>
                <w:rFonts w:ascii="Aptos" w:hAnsi="Aptos"/>
                <w:b/>
                <w:color w:val="FFFFFF"/>
                <w:sz w:val="17"/>
              </w:rPr>
              <w:t>Field</w:t>
            </w:r>
          </w:p>
        </w:tc>
        <w:tc>
          <w:tcPr>
            <w:tcW w:type="dxa" w:w="7704"/>
            <w:vAlign w:val="center"/>
            <w:shd w:fill="12304A"/>
          </w:tcPr>
          <w:p>
            <w:pPr>
              <w:spacing w:after="20"/>
            </w:pPr>
            <w:r/>
            <w:r>
              <w:rPr>
                <w:rFonts w:ascii="Aptos" w:hAnsi="Aptos"/>
                <w:b/>
                <w:color w:val="FFFFFF"/>
                <w:sz w:val="17"/>
              </w:rPr>
              <w:t>What to record</w:t>
            </w:r>
          </w:p>
        </w:tc>
      </w:tr>
      <w:tr>
        <w:tc>
          <w:tcPr>
            <w:tcW w:type="dxa" w:w="2160"/>
            <w:vAlign w:val="center"/>
          </w:tcPr>
          <w:p>
            <w:pPr>
              <w:spacing w:after="20"/>
            </w:pPr>
            <w:r/>
            <w:r>
              <w:rPr>
                <w:rFonts w:ascii="Aptos" w:hAnsi="Aptos"/>
                <w:b w:val="0"/>
                <w:sz w:val="16"/>
              </w:rPr>
              <w:t>Finding ID and title</w:t>
            </w:r>
          </w:p>
        </w:tc>
        <w:tc>
          <w:tcPr>
            <w:tcW w:type="dxa" w:w="7704"/>
            <w:vAlign w:val="center"/>
          </w:tcPr>
          <w:p>
            <w:pPr>
              <w:spacing w:after="20"/>
            </w:pPr>
            <w:r/>
            <w:r>
              <w:rPr>
                <w:rFonts w:ascii="Aptos" w:hAnsi="Aptos"/>
                <w:b w:val="0"/>
                <w:sz w:val="16"/>
              </w:rPr>
              <w:t>Unique identifier and concise statement of the control gap.</w:t>
            </w:r>
          </w:p>
        </w:tc>
      </w:tr>
      <w:tr>
        <w:tc>
          <w:tcPr>
            <w:tcW w:type="dxa" w:w="2160"/>
            <w:vAlign w:val="center"/>
            <w:shd w:fill="EEF5F6"/>
          </w:tcPr>
          <w:p>
            <w:pPr>
              <w:spacing w:after="20"/>
            </w:pPr>
            <w:r/>
            <w:r>
              <w:rPr>
                <w:rFonts w:ascii="Aptos" w:hAnsi="Aptos"/>
                <w:b w:val="0"/>
                <w:sz w:val="16"/>
              </w:rPr>
              <w:t>Criteria</w:t>
            </w:r>
          </w:p>
        </w:tc>
        <w:tc>
          <w:tcPr>
            <w:tcW w:type="dxa" w:w="7704"/>
            <w:vAlign w:val="center"/>
            <w:shd w:fill="EEF5F6"/>
          </w:tcPr>
          <w:p>
            <w:pPr>
              <w:spacing w:after="20"/>
            </w:pPr>
            <w:r/>
            <w:r>
              <w:rPr>
                <w:rFonts w:ascii="Aptos" w:hAnsi="Aptos"/>
                <w:b w:val="0"/>
                <w:sz w:val="16"/>
              </w:rPr>
              <w:t>Policy, agreed requirement or recognized good-practice expectation.</w:t>
            </w:r>
          </w:p>
        </w:tc>
      </w:tr>
      <w:tr>
        <w:tc>
          <w:tcPr>
            <w:tcW w:type="dxa" w:w="2160"/>
            <w:vAlign w:val="center"/>
          </w:tcPr>
          <w:p>
            <w:pPr>
              <w:spacing w:after="20"/>
            </w:pPr>
            <w:r/>
            <w:r>
              <w:rPr>
                <w:rFonts w:ascii="Aptos" w:hAnsi="Aptos"/>
                <w:b w:val="0"/>
                <w:sz w:val="16"/>
              </w:rPr>
              <w:t>Condition and evidence</w:t>
            </w:r>
          </w:p>
        </w:tc>
        <w:tc>
          <w:tcPr>
            <w:tcW w:type="dxa" w:w="7704"/>
            <w:vAlign w:val="center"/>
          </w:tcPr>
          <w:p>
            <w:pPr>
              <w:spacing w:after="20"/>
            </w:pPr>
            <w:r/>
            <w:r>
              <w:rPr>
                <w:rFonts w:ascii="Aptos" w:hAnsi="Aptos"/>
                <w:b w:val="0"/>
                <w:sz w:val="16"/>
              </w:rPr>
              <w:t>What was observed, where, when, sample size, and evidence IDs.</w:t>
            </w:r>
          </w:p>
        </w:tc>
      </w:tr>
      <w:tr>
        <w:tc>
          <w:tcPr>
            <w:tcW w:type="dxa" w:w="2160"/>
            <w:vAlign w:val="center"/>
            <w:shd w:fill="EEF5F6"/>
          </w:tcPr>
          <w:p>
            <w:pPr>
              <w:spacing w:after="20"/>
            </w:pPr>
            <w:r/>
            <w:r>
              <w:rPr>
                <w:rFonts w:ascii="Aptos" w:hAnsi="Aptos"/>
                <w:b w:val="0"/>
                <w:sz w:val="16"/>
              </w:rPr>
              <w:t>Cause and consequence</w:t>
            </w:r>
          </w:p>
        </w:tc>
        <w:tc>
          <w:tcPr>
            <w:tcW w:type="dxa" w:w="7704"/>
            <w:vAlign w:val="center"/>
            <w:shd w:fill="EEF5F6"/>
          </w:tcPr>
          <w:p>
            <w:pPr>
              <w:spacing w:after="20"/>
            </w:pPr>
            <w:r/>
            <w:r>
              <w:rPr>
                <w:rFonts w:ascii="Aptos" w:hAnsi="Aptos"/>
                <w:b w:val="0"/>
                <w:sz w:val="16"/>
              </w:rPr>
              <w:t>Why the gap may exist and realistic business impact.</w:t>
            </w:r>
          </w:p>
        </w:tc>
      </w:tr>
      <w:tr>
        <w:tc>
          <w:tcPr>
            <w:tcW w:type="dxa" w:w="2160"/>
            <w:vAlign w:val="center"/>
          </w:tcPr>
          <w:p>
            <w:pPr>
              <w:spacing w:after="20"/>
            </w:pPr>
            <w:r/>
            <w:r>
              <w:rPr>
                <w:rFonts w:ascii="Aptos" w:hAnsi="Aptos"/>
                <w:b w:val="0"/>
                <w:sz w:val="16"/>
              </w:rPr>
              <w:t>Risk rating</w:t>
            </w:r>
          </w:p>
        </w:tc>
        <w:tc>
          <w:tcPr>
            <w:tcW w:type="dxa" w:w="7704"/>
            <w:vAlign w:val="center"/>
          </w:tcPr>
          <w:p>
            <w:pPr>
              <w:spacing w:after="20"/>
            </w:pPr>
            <w:r/>
            <w:r>
              <w:rPr>
                <w:rFonts w:ascii="Aptos" w:hAnsi="Aptos"/>
                <w:b w:val="0"/>
                <w:sz w:val="16"/>
              </w:rPr>
              <w:t>Likelihood, impact, score and reason for the rating.</w:t>
            </w:r>
          </w:p>
        </w:tc>
      </w:tr>
      <w:tr>
        <w:tc>
          <w:tcPr>
            <w:tcW w:type="dxa" w:w="2160"/>
            <w:vAlign w:val="center"/>
            <w:shd w:fill="EEF5F6"/>
          </w:tcPr>
          <w:p>
            <w:pPr>
              <w:spacing w:after="20"/>
            </w:pPr>
            <w:r/>
            <w:r>
              <w:rPr>
                <w:rFonts w:ascii="Aptos" w:hAnsi="Aptos"/>
                <w:b w:val="0"/>
                <w:sz w:val="16"/>
              </w:rPr>
              <w:t>Recommendation</w:t>
            </w:r>
          </w:p>
        </w:tc>
        <w:tc>
          <w:tcPr>
            <w:tcW w:type="dxa" w:w="7704"/>
            <w:vAlign w:val="center"/>
            <w:shd w:fill="EEF5F6"/>
          </w:tcPr>
          <w:p>
            <w:pPr>
              <w:spacing w:after="20"/>
            </w:pPr>
            <w:r/>
            <w:r>
              <w:rPr>
                <w:rFonts w:ascii="Aptos" w:hAnsi="Aptos"/>
                <w:b w:val="0"/>
                <w:sz w:val="16"/>
              </w:rPr>
              <w:t>Specific, achievable action; avoid vague wording such as “improve security.”</w:t>
            </w:r>
          </w:p>
        </w:tc>
      </w:tr>
      <w:tr>
        <w:tc>
          <w:tcPr>
            <w:tcW w:type="dxa" w:w="2160"/>
            <w:vAlign w:val="center"/>
          </w:tcPr>
          <w:p>
            <w:pPr>
              <w:spacing w:after="20"/>
            </w:pPr>
            <w:r/>
            <w:r>
              <w:rPr>
                <w:rFonts w:ascii="Aptos" w:hAnsi="Aptos"/>
                <w:b w:val="0"/>
                <w:sz w:val="16"/>
              </w:rPr>
              <w:t>Owner and due date</w:t>
            </w:r>
          </w:p>
        </w:tc>
        <w:tc>
          <w:tcPr>
            <w:tcW w:type="dxa" w:w="7704"/>
            <w:vAlign w:val="center"/>
          </w:tcPr>
          <w:p>
            <w:pPr>
              <w:spacing w:after="20"/>
            </w:pPr>
            <w:r/>
            <w:r>
              <w:rPr>
                <w:rFonts w:ascii="Aptos" w:hAnsi="Aptos"/>
                <w:b w:val="0"/>
                <w:sz w:val="16"/>
              </w:rPr>
              <w:t>Named role, target date, dependencies and status.</w:t>
            </w:r>
          </w:p>
        </w:tc>
      </w:tr>
      <w:tr>
        <w:tc>
          <w:tcPr>
            <w:tcW w:type="dxa" w:w="2160"/>
            <w:vAlign w:val="center"/>
            <w:shd w:fill="EEF5F6"/>
          </w:tcPr>
          <w:p>
            <w:pPr>
              <w:spacing w:after="20"/>
            </w:pPr>
            <w:r/>
            <w:r>
              <w:rPr>
                <w:rFonts w:ascii="Aptos" w:hAnsi="Aptos"/>
                <w:b w:val="0"/>
                <w:sz w:val="16"/>
              </w:rPr>
              <w:t>Validation</w:t>
            </w:r>
          </w:p>
        </w:tc>
        <w:tc>
          <w:tcPr>
            <w:tcW w:type="dxa" w:w="7704"/>
            <w:vAlign w:val="center"/>
            <w:shd w:fill="EEF5F6"/>
          </w:tcPr>
          <w:p>
            <w:pPr>
              <w:spacing w:after="20"/>
            </w:pPr>
            <w:r/>
            <w:r>
              <w:rPr>
                <w:rFonts w:ascii="Aptos" w:hAnsi="Aptos"/>
                <w:b w:val="0"/>
                <w:sz w:val="16"/>
              </w:rPr>
              <w:t>Evidence required to retest and closure approver.</w:t>
            </w:r>
          </w:p>
        </w:tc>
      </w:tr>
    </w:tbl>
    <w:p>
      <w:pPr>
        <w:spacing w:after="20"/>
      </w:pPr>
    </w:p>
    <w:p>
      <w:pPr>
        <w:pStyle w:val="Heading1"/>
      </w:pPr>
      <w:r>
        <w:t>7. Illustrative Evidence Register and Worked Examples</w:t>
      </w:r>
    </w:p>
    <w:p>
      <w:r>
        <w:t>The rows below demonstrate the expected evidence quality and analysis format. They are illustrative examples for planning only and must not be reported as actual findings unless confirmed during the audit.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152"/>
            <w:vAlign w:val="center"/>
            <w:shd w:fill="12304A"/>
          </w:tcPr>
          <w:p>
            <w:pPr>
              <w:spacing w:after="20"/>
            </w:pPr>
            <w:r/>
            <w:r>
              <w:rPr>
                <w:rFonts w:ascii="Aptos" w:hAnsi="Aptos"/>
                <w:b/>
                <w:color w:val="FFFFFF"/>
                <w:sz w:val="17"/>
              </w:rPr>
              <w:t>Evidence ID</w:t>
            </w:r>
          </w:p>
        </w:tc>
        <w:tc>
          <w:tcPr>
            <w:tcW w:type="dxa" w:w="2592"/>
            <w:vAlign w:val="center"/>
            <w:shd w:fill="12304A"/>
          </w:tcPr>
          <w:p>
            <w:pPr>
              <w:spacing w:after="20"/>
            </w:pPr>
            <w:r/>
            <w:r>
              <w:rPr>
                <w:rFonts w:ascii="Aptos" w:hAnsi="Aptos"/>
                <w:b/>
                <w:color w:val="FFFFFF"/>
                <w:sz w:val="17"/>
              </w:rPr>
              <w:t>Example evidence</w:t>
            </w:r>
          </w:p>
        </w:tc>
        <w:tc>
          <w:tcPr>
            <w:tcW w:type="dxa" w:w="2376"/>
            <w:vAlign w:val="center"/>
            <w:shd w:fill="12304A"/>
          </w:tcPr>
          <w:p>
            <w:pPr>
              <w:spacing w:after="20"/>
            </w:pPr>
            <w:r/>
            <w:r>
              <w:rPr>
                <w:rFonts w:ascii="Aptos" w:hAnsi="Aptos"/>
                <w:b/>
                <w:color w:val="FFFFFF"/>
                <w:sz w:val="17"/>
              </w:rPr>
              <w:t>Sample / result</w:t>
            </w:r>
          </w:p>
        </w:tc>
        <w:tc>
          <w:tcPr>
            <w:tcW w:type="dxa" w:w="3744"/>
            <w:vAlign w:val="center"/>
            <w:shd w:fill="12304A"/>
          </w:tcPr>
          <w:p>
            <w:pPr>
              <w:spacing w:after="20"/>
            </w:pPr>
            <w:r/>
            <w:r>
              <w:rPr>
                <w:rFonts w:ascii="Aptos" w:hAnsi="Aptos"/>
                <w:b/>
                <w:color w:val="FFFFFF"/>
                <w:sz w:val="17"/>
              </w:rPr>
              <w:t>How it supports a conclusion</w:t>
            </w:r>
          </w:p>
        </w:tc>
      </w:tr>
      <w:tr>
        <w:tc>
          <w:tcPr>
            <w:tcW w:type="dxa" w:w="1152"/>
            <w:vAlign w:val="center"/>
          </w:tcPr>
          <w:p>
            <w:pPr>
              <w:spacing w:after="20"/>
            </w:pPr>
            <w:r/>
            <w:r>
              <w:rPr>
                <w:rFonts w:ascii="Aptos" w:hAnsi="Aptos"/>
                <w:b w:val="0"/>
                <w:sz w:val="16"/>
              </w:rPr>
              <w:t>IAM-01</w:t>
            </w:r>
          </w:p>
        </w:tc>
        <w:tc>
          <w:tcPr>
            <w:tcW w:type="dxa" w:w="2592"/>
            <w:vAlign w:val="center"/>
          </w:tcPr>
          <w:p>
            <w:pPr>
              <w:spacing w:after="20"/>
            </w:pPr>
            <w:r/>
            <w:r>
              <w:rPr>
                <w:rFonts w:ascii="Aptos" w:hAnsi="Aptos"/>
                <w:b w:val="0"/>
                <w:sz w:val="16"/>
              </w:rPr>
              <w:t>MFA policy export and admin-role list</w:t>
            </w:r>
          </w:p>
        </w:tc>
        <w:tc>
          <w:tcPr>
            <w:tcW w:type="dxa" w:w="2376"/>
            <w:vAlign w:val="center"/>
          </w:tcPr>
          <w:p>
            <w:pPr>
              <w:spacing w:after="20"/>
            </w:pPr>
            <w:r/>
            <w:r>
              <w:rPr>
                <w:rFonts w:ascii="Aptos" w:hAnsi="Aptos"/>
                <w:b w:val="0"/>
                <w:sz w:val="16"/>
              </w:rPr>
              <w:t>10 admin roles reviewed; 1 exception shown</w:t>
            </w:r>
          </w:p>
        </w:tc>
        <w:tc>
          <w:tcPr>
            <w:tcW w:type="dxa" w:w="3744"/>
            <w:vAlign w:val="center"/>
          </w:tcPr>
          <w:p>
            <w:pPr>
              <w:spacing w:after="20"/>
            </w:pPr>
            <w:r/>
            <w:r>
              <w:rPr>
                <w:rFonts w:ascii="Aptos" w:hAnsi="Aptos"/>
                <w:b w:val="0"/>
                <w:sz w:val="16"/>
              </w:rPr>
              <w:t>Verify exception owner, approval, expiry and compensating control before rating.</w:t>
            </w:r>
          </w:p>
        </w:tc>
      </w:tr>
      <w:tr>
        <w:tc>
          <w:tcPr>
            <w:tcW w:type="dxa" w:w="1152"/>
            <w:vAlign w:val="center"/>
            <w:shd w:fill="EEF5F6"/>
          </w:tcPr>
          <w:p>
            <w:pPr>
              <w:spacing w:after="20"/>
            </w:pPr>
            <w:r/>
            <w:r>
              <w:rPr>
                <w:rFonts w:ascii="Aptos" w:hAnsi="Aptos"/>
                <w:b w:val="0"/>
                <w:sz w:val="16"/>
              </w:rPr>
              <w:t>PAT-02</w:t>
            </w:r>
          </w:p>
        </w:tc>
        <w:tc>
          <w:tcPr>
            <w:tcW w:type="dxa" w:w="2592"/>
            <w:vAlign w:val="center"/>
            <w:shd w:fill="EEF5F6"/>
          </w:tcPr>
          <w:p>
            <w:pPr>
              <w:spacing w:after="20"/>
            </w:pPr>
            <w:r/>
            <w:r>
              <w:rPr>
                <w:rFonts w:ascii="Aptos" w:hAnsi="Aptos"/>
                <w:b w:val="0"/>
                <w:sz w:val="16"/>
              </w:rPr>
              <w:t>Patch dashboard and ticket records</w:t>
            </w:r>
          </w:p>
        </w:tc>
        <w:tc>
          <w:tcPr>
            <w:tcW w:type="dxa" w:w="2376"/>
            <w:vAlign w:val="center"/>
            <w:shd w:fill="EEF5F6"/>
          </w:tcPr>
          <w:p>
            <w:pPr>
              <w:spacing w:after="20"/>
            </w:pPr>
            <w:r/>
            <w:r>
              <w:rPr>
                <w:rFonts w:ascii="Aptos" w:hAnsi="Aptos"/>
                <w:b w:val="0"/>
                <w:sz w:val="16"/>
              </w:rPr>
              <w:t>5 high-risk open items sampled; 2 overdue against assumed SLA</w:t>
            </w:r>
          </w:p>
        </w:tc>
        <w:tc>
          <w:tcPr>
            <w:tcW w:type="dxa" w:w="3744"/>
            <w:vAlign w:val="center"/>
            <w:shd w:fill="EEF5F6"/>
          </w:tcPr>
          <w:p>
            <w:pPr>
              <w:spacing w:after="20"/>
            </w:pPr>
            <w:r/>
            <w:r>
              <w:rPr>
                <w:rFonts w:ascii="Aptos" w:hAnsi="Aptos"/>
                <w:b w:val="0"/>
                <w:sz w:val="16"/>
              </w:rPr>
              <w:t>Trace each overdue item to owner, exposure, change window and escalation.</w:t>
            </w:r>
          </w:p>
        </w:tc>
      </w:tr>
      <w:tr>
        <w:tc>
          <w:tcPr>
            <w:tcW w:type="dxa" w:w="1152"/>
            <w:vAlign w:val="center"/>
          </w:tcPr>
          <w:p>
            <w:pPr>
              <w:spacing w:after="20"/>
            </w:pPr>
            <w:r/>
            <w:r>
              <w:rPr>
                <w:rFonts w:ascii="Aptos" w:hAnsi="Aptos"/>
                <w:b w:val="0"/>
                <w:sz w:val="16"/>
              </w:rPr>
              <w:t>BAK-01</w:t>
            </w:r>
          </w:p>
        </w:tc>
        <w:tc>
          <w:tcPr>
            <w:tcW w:type="dxa" w:w="2592"/>
            <w:vAlign w:val="center"/>
          </w:tcPr>
          <w:p>
            <w:pPr>
              <w:spacing w:after="20"/>
            </w:pPr>
            <w:r/>
            <w:r>
              <w:rPr>
                <w:rFonts w:ascii="Aptos" w:hAnsi="Aptos"/>
                <w:b w:val="0"/>
                <w:sz w:val="16"/>
              </w:rPr>
              <w:t>30-day backup job report and restore-test record</w:t>
            </w:r>
          </w:p>
        </w:tc>
        <w:tc>
          <w:tcPr>
            <w:tcW w:type="dxa" w:w="2376"/>
            <w:vAlign w:val="center"/>
          </w:tcPr>
          <w:p>
            <w:pPr>
              <w:spacing w:after="20"/>
            </w:pPr>
            <w:r/>
            <w:r>
              <w:rPr>
                <w:rFonts w:ascii="Aptos" w:hAnsi="Aptos"/>
                <w:b w:val="0"/>
                <w:sz w:val="16"/>
              </w:rPr>
              <w:t>2 failed jobs in sample; no closure ticket attached</w:t>
            </w:r>
          </w:p>
        </w:tc>
        <w:tc>
          <w:tcPr>
            <w:tcW w:type="dxa" w:w="3744"/>
            <w:vAlign w:val="center"/>
          </w:tcPr>
          <w:p>
            <w:pPr>
              <w:spacing w:after="20"/>
            </w:pPr>
            <w:r/>
            <w:r>
              <w:rPr>
                <w:rFonts w:ascii="Aptos" w:hAnsi="Aptos"/>
                <w:b w:val="0"/>
                <w:sz w:val="16"/>
              </w:rPr>
              <w:t>Confirm whether failures affected critical data and whether a successful recovery test exists.</w:t>
            </w:r>
          </w:p>
        </w:tc>
      </w:tr>
      <w:tr>
        <w:tc>
          <w:tcPr>
            <w:tcW w:type="dxa" w:w="1152"/>
            <w:vAlign w:val="center"/>
            <w:shd w:fill="EEF5F6"/>
          </w:tcPr>
          <w:p>
            <w:pPr>
              <w:spacing w:after="20"/>
            </w:pPr>
            <w:r/>
            <w:r>
              <w:rPr>
                <w:rFonts w:ascii="Aptos" w:hAnsi="Aptos"/>
                <w:b w:val="0"/>
                <w:sz w:val="16"/>
              </w:rPr>
              <w:t>NET-03</w:t>
            </w:r>
          </w:p>
        </w:tc>
        <w:tc>
          <w:tcPr>
            <w:tcW w:type="dxa" w:w="2592"/>
            <w:vAlign w:val="center"/>
            <w:shd w:fill="EEF5F6"/>
          </w:tcPr>
          <w:p>
            <w:pPr>
              <w:spacing w:after="20"/>
            </w:pPr>
            <w:r/>
            <w:r>
              <w:rPr>
                <w:rFonts w:ascii="Aptos" w:hAnsi="Aptos"/>
                <w:b w:val="0"/>
                <w:sz w:val="16"/>
              </w:rPr>
              <w:t>Firewall rule export and change tickets</w:t>
            </w:r>
          </w:p>
        </w:tc>
        <w:tc>
          <w:tcPr>
            <w:tcW w:type="dxa" w:w="2376"/>
            <w:vAlign w:val="center"/>
            <w:shd w:fill="EEF5F6"/>
          </w:tcPr>
          <w:p>
            <w:pPr>
              <w:spacing w:after="20"/>
            </w:pPr>
            <w:r/>
            <w:r>
              <w:rPr>
                <w:rFonts w:ascii="Aptos" w:hAnsi="Aptos"/>
                <w:b w:val="0"/>
                <w:sz w:val="16"/>
              </w:rPr>
              <w:t>10 rules sampled; 2 lacked current owner documentation</w:t>
            </w:r>
          </w:p>
        </w:tc>
        <w:tc>
          <w:tcPr>
            <w:tcW w:type="dxa" w:w="3744"/>
            <w:vAlign w:val="center"/>
            <w:shd w:fill="EEF5F6"/>
          </w:tcPr>
          <w:p>
            <w:pPr>
              <w:spacing w:after="20"/>
            </w:pPr>
            <w:r/>
            <w:r>
              <w:rPr>
                <w:rFonts w:ascii="Aptos" w:hAnsi="Aptos"/>
                <w:b w:val="0"/>
                <w:sz w:val="16"/>
              </w:rPr>
              <w:t>Check whether rules are still needed; recommend owner confirmation or removal through change control.</w:t>
            </w:r>
          </w:p>
        </w:tc>
      </w:tr>
      <w:tr>
        <w:tc>
          <w:tcPr>
            <w:tcW w:type="dxa" w:w="1152"/>
            <w:vAlign w:val="center"/>
          </w:tcPr>
          <w:p>
            <w:pPr>
              <w:spacing w:after="20"/>
            </w:pPr>
            <w:r/>
            <w:r>
              <w:rPr>
                <w:rFonts w:ascii="Aptos" w:hAnsi="Aptos"/>
                <w:b w:val="0"/>
                <w:sz w:val="16"/>
              </w:rPr>
              <w:t>IR-01</w:t>
            </w:r>
          </w:p>
        </w:tc>
        <w:tc>
          <w:tcPr>
            <w:tcW w:type="dxa" w:w="2592"/>
            <w:vAlign w:val="center"/>
          </w:tcPr>
          <w:p>
            <w:pPr>
              <w:spacing w:after="20"/>
            </w:pPr>
            <w:r/>
            <w:r>
              <w:rPr>
                <w:rFonts w:ascii="Aptos" w:hAnsi="Aptos"/>
                <w:b w:val="0"/>
                <w:sz w:val="16"/>
              </w:rPr>
              <w:t>Incident plan and tabletop notes</w:t>
            </w:r>
          </w:p>
        </w:tc>
        <w:tc>
          <w:tcPr>
            <w:tcW w:type="dxa" w:w="2376"/>
            <w:vAlign w:val="center"/>
          </w:tcPr>
          <w:p>
            <w:pPr>
              <w:spacing w:after="20"/>
            </w:pPr>
            <w:r/>
            <w:r>
              <w:rPr>
                <w:rFonts w:ascii="Aptos" w:hAnsi="Aptos"/>
                <w:b w:val="0"/>
                <w:sz w:val="16"/>
              </w:rPr>
              <w:t>Contact list last reviewed 11 months ago</w:t>
            </w:r>
          </w:p>
        </w:tc>
        <w:tc>
          <w:tcPr>
            <w:tcW w:type="dxa" w:w="3744"/>
            <w:vAlign w:val="center"/>
          </w:tcPr>
          <w:p>
            <w:pPr>
              <w:spacing w:after="20"/>
            </w:pPr>
            <w:r/>
            <w:r>
              <w:rPr>
                <w:rFonts w:ascii="Aptos" w:hAnsi="Aptos"/>
                <w:b w:val="0"/>
                <w:sz w:val="16"/>
              </w:rPr>
              <w:t>Confirm contact accuracy and whether a scheduled review requirement exists.</w:t>
            </w:r>
          </w:p>
        </w:tc>
      </w:tr>
    </w:tbl>
    <w:p>
      <w:pPr>
        <w:spacing w:after="20"/>
      </w:pPr>
    </w:p>
    <w:p>
      <w:pPr>
        <w:pStyle w:val="Heading2"/>
      </w:pPr>
      <w:r>
        <w:t>Worked risk example (illustrative)</w:t>
      </w:r>
    </w:p>
    <w:p>
      <w:r>
        <w:t>Example observation: two of five sampled high-risk patch tickets are past the organization’s approved due date and have no documented risk acceptance. Likelihood = 4 (the exposed systems may be targeted and the gap remains open); impact = 4 (a successful exploit could disrupt a customer-facing service or expose business data). Score = 4 × 4 = 16, rated High under the proposed scale. Recommendation: the IT lead should validate exposure, apply an approved mitigation or patch through change control, record any exception with an expiry date, and attach verification evidence to the ticket. The auditor should retest the two tickets and confirm closure with the system owner. This is a worked example only, not a claim that Northstar has these vulnerabilities.</w:t>
      </w:r>
    </w:p>
    <w:p>
      <w:pPr>
        <w:pStyle w:val="Heading1"/>
      </w:pPr>
      <w:r>
        <w:t>8. Schedule and 32-Hour Work Plan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656"/>
            <w:vAlign w:val="center"/>
            <w:shd w:fill="12304A"/>
          </w:tcPr>
          <w:p>
            <w:pPr>
              <w:spacing w:after="20"/>
            </w:pPr>
            <w:r/>
            <w:r>
              <w:rPr>
                <w:rFonts w:ascii="Aptos" w:hAnsi="Aptos"/>
                <w:b/>
                <w:color w:val="FFFFFF"/>
                <w:sz w:val="17"/>
              </w:rPr>
              <w:t>Week / stage</w:t>
            </w:r>
          </w:p>
        </w:tc>
        <w:tc>
          <w:tcPr>
            <w:tcW w:type="dxa" w:w="3600"/>
            <w:vAlign w:val="center"/>
            <w:shd w:fill="12304A"/>
          </w:tcPr>
          <w:p>
            <w:pPr>
              <w:spacing w:after="20"/>
            </w:pPr>
            <w:r/>
            <w:r>
              <w:rPr>
                <w:rFonts w:ascii="Aptos" w:hAnsi="Aptos"/>
                <w:b/>
                <w:color w:val="FFFFFF"/>
                <w:sz w:val="17"/>
              </w:rPr>
              <w:t>Work activities</w:t>
            </w:r>
          </w:p>
        </w:tc>
        <w:tc>
          <w:tcPr>
            <w:tcW w:type="dxa" w:w="792"/>
            <w:vAlign w:val="center"/>
            <w:shd w:fill="12304A"/>
          </w:tcPr>
          <w:p>
            <w:pPr>
              <w:spacing w:after="20"/>
            </w:pPr>
            <w:r/>
            <w:r>
              <w:rPr>
                <w:rFonts w:ascii="Aptos" w:hAnsi="Aptos"/>
                <w:b/>
                <w:color w:val="FFFFFF"/>
                <w:sz w:val="17"/>
              </w:rPr>
              <w:t>Hours</w:t>
            </w:r>
          </w:p>
        </w:tc>
        <w:tc>
          <w:tcPr>
            <w:tcW w:type="dxa" w:w="2016"/>
            <w:vAlign w:val="center"/>
            <w:shd w:fill="12304A"/>
          </w:tcPr>
          <w:p>
            <w:pPr>
              <w:spacing w:after="20"/>
            </w:pPr>
            <w:r/>
            <w:r>
              <w:rPr>
                <w:rFonts w:ascii="Aptos" w:hAnsi="Aptos"/>
                <w:b/>
                <w:color w:val="FFFFFF"/>
                <w:sz w:val="17"/>
              </w:rPr>
              <w:t>Owner / checkpoint</w:t>
            </w:r>
          </w:p>
        </w:tc>
        <w:tc>
          <w:tcPr>
            <w:tcW w:type="dxa" w:w="1800"/>
            <w:vAlign w:val="center"/>
            <w:shd w:fill="12304A"/>
          </w:tcPr>
          <w:p>
            <w:pPr>
              <w:spacing w:after="20"/>
            </w:pPr>
            <w:r/>
            <w:r>
              <w:rPr>
                <w:rFonts w:ascii="Aptos" w:hAnsi="Aptos"/>
                <w:b/>
                <w:color w:val="FFFFFF"/>
                <w:sz w:val="17"/>
              </w:rPr>
              <w:t>Deliverable</w:t>
            </w:r>
          </w:p>
        </w:tc>
      </w:tr>
      <w:tr>
        <w:tc>
          <w:tcPr>
            <w:tcW w:type="dxa" w:w="1656"/>
            <w:vAlign w:val="center"/>
          </w:tcPr>
          <w:p>
            <w:pPr>
              <w:spacing w:after="20"/>
            </w:pPr>
            <w:r/>
            <w:r>
              <w:rPr>
                <w:rFonts w:ascii="Aptos" w:hAnsi="Aptos"/>
                <w:b w:val="0"/>
                <w:sz w:val="16"/>
              </w:rPr>
              <w:t>Week 1: Initiation</w:t>
            </w:r>
          </w:p>
        </w:tc>
        <w:tc>
          <w:tcPr>
            <w:tcW w:type="dxa" w:w="3600"/>
            <w:vAlign w:val="center"/>
          </w:tcPr>
          <w:p>
            <w:pPr>
              <w:spacing w:after="20"/>
            </w:pPr>
            <w:r/>
            <w:r>
              <w:rPr>
                <w:rFonts w:ascii="Aptos" w:hAnsi="Aptos"/>
                <w:b w:val="0"/>
                <w:sz w:val="16"/>
              </w:rPr>
              <w:t>Kick-off; scope and authorization; asset/owner list; risk workshop; evidence request.</w:t>
            </w:r>
          </w:p>
        </w:tc>
        <w:tc>
          <w:tcPr>
            <w:tcW w:type="dxa" w:w="792"/>
            <w:vAlign w:val="center"/>
          </w:tcPr>
          <w:p>
            <w:pPr>
              <w:spacing w:after="20"/>
            </w:pPr>
            <w:r/>
            <w:r>
              <w:rPr>
                <w:rFonts w:ascii="Aptos" w:hAnsi="Aptos"/>
                <w:b w:val="0"/>
                <w:sz w:val="16"/>
              </w:rPr>
              <w:t>6</w:t>
            </w:r>
          </w:p>
        </w:tc>
        <w:tc>
          <w:tcPr>
            <w:tcW w:type="dxa" w:w="2016"/>
            <w:vAlign w:val="center"/>
          </w:tcPr>
          <w:p>
            <w:pPr>
              <w:spacing w:after="20"/>
            </w:pPr>
            <w:r/>
            <w:r>
              <w:rPr>
                <w:rFonts w:ascii="Aptos" w:hAnsi="Aptos"/>
                <w:b w:val="0"/>
                <w:sz w:val="16"/>
              </w:rPr>
              <w:t>Audit lead + IT lead; scope approved before testing.</w:t>
            </w:r>
          </w:p>
        </w:tc>
        <w:tc>
          <w:tcPr>
            <w:tcW w:type="dxa" w:w="1800"/>
            <w:vAlign w:val="center"/>
          </w:tcPr>
          <w:p>
            <w:pPr>
              <w:spacing w:after="20"/>
            </w:pPr>
            <w:r/>
            <w:r>
              <w:rPr>
                <w:rFonts w:ascii="Aptos" w:hAnsi="Aptos"/>
                <w:b w:val="0"/>
                <w:sz w:val="16"/>
              </w:rPr>
              <w:t>Scope, RACI/contact list, evidence request.</w:t>
            </w:r>
          </w:p>
        </w:tc>
      </w:tr>
      <w:tr>
        <w:tc>
          <w:tcPr>
            <w:tcW w:type="dxa" w:w="1656"/>
            <w:vAlign w:val="center"/>
            <w:shd w:fill="EEF5F6"/>
          </w:tcPr>
          <w:p>
            <w:pPr>
              <w:spacing w:after="20"/>
            </w:pPr>
            <w:r/>
            <w:r>
              <w:rPr>
                <w:rFonts w:ascii="Aptos" w:hAnsi="Aptos"/>
                <w:b w:val="0"/>
                <w:sz w:val="16"/>
              </w:rPr>
              <w:t>Week 2: Evidence review</w:t>
            </w:r>
          </w:p>
        </w:tc>
        <w:tc>
          <w:tcPr>
            <w:tcW w:type="dxa" w:w="3600"/>
            <w:vAlign w:val="center"/>
            <w:shd w:fill="EEF5F6"/>
          </w:tcPr>
          <w:p>
            <w:pPr>
              <w:spacing w:after="20"/>
            </w:pPr>
            <w:r/>
            <w:r>
              <w:rPr>
                <w:rFonts w:ascii="Aptos" w:hAnsi="Aptos"/>
                <w:b w:val="0"/>
                <w:sz w:val="16"/>
              </w:rPr>
              <w:t>Review policies, diagrams, inventories, identity and endpoint configurations; build evidence register.</w:t>
            </w:r>
          </w:p>
        </w:tc>
        <w:tc>
          <w:tcPr>
            <w:tcW w:type="dxa" w:w="792"/>
            <w:vAlign w:val="center"/>
            <w:shd w:fill="EEF5F6"/>
          </w:tcPr>
          <w:p>
            <w:pPr>
              <w:spacing w:after="20"/>
            </w:pPr>
            <w:r/>
            <w:r>
              <w:rPr>
                <w:rFonts w:ascii="Aptos" w:hAnsi="Aptos"/>
                <w:b w:val="0"/>
                <w:sz w:val="16"/>
              </w:rPr>
              <w:t>8</w:t>
            </w:r>
          </w:p>
        </w:tc>
        <w:tc>
          <w:tcPr>
            <w:tcW w:type="dxa" w:w="2016"/>
            <w:vAlign w:val="center"/>
            <w:shd w:fill="EEF5F6"/>
          </w:tcPr>
          <w:p>
            <w:pPr>
              <w:spacing w:after="20"/>
            </w:pPr>
            <w:r/>
            <w:r>
              <w:rPr>
                <w:rFonts w:ascii="Aptos" w:hAnsi="Aptos"/>
                <w:b w:val="0"/>
                <w:sz w:val="16"/>
              </w:rPr>
              <w:t>Audit lead; daily issue log.</w:t>
            </w:r>
          </w:p>
        </w:tc>
        <w:tc>
          <w:tcPr>
            <w:tcW w:type="dxa" w:w="1800"/>
            <w:vAlign w:val="center"/>
            <w:shd w:fill="EEF5F6"/>
          </w:tcPr>
          <w:p>
            <w:pPr>
              <w:spacing w:after="20"/>
            </w:pPr>
            <w:r/>
            <w:r>
              <w:rPr>
                <w:rFonts w:ascii="Aptos" w:hAnsi="Aptos"/>
                <w:b w:val="0"/>
                <w:sz w:val="16"/>
              </w:rPr>
              <w:t>Evidence register and initial control map.</w:t>
            </w:r>
          </w:p>
        </w:tc>
      </w:tr>
      <w:tr>
        <w:tc>
          <w:tcPr>
            <w:tcW w:type="dxa" w:w="1656"/>
            <w:vAlign w:val="center"/>
          </w:tcPr>
          <w:p>
            <w:pPr>
              <w:spacing w:after="20"/>
            </w:pPr>
            <w:r/>
            <w:r>
              <w:rPr>
                <w:rFonts w:ascii="Aptos" w:hAnsi="Aptos"/>
                <w:b w:val="0"/>
                <w:sz w:val="16"/>
              </w:rPr>
              <w:t>Week 3: Control testing</w:t>
            </w:r>
          </w:p>
        </w:tc>
        <w:tc>
          <w:tcPr>
            <w:tcW w:type="dxa" w:w="3600"/>
            <w:vAlign w:val="center"/>
          </w:tcPr>
          <w:p>
            <w:pPr>
              <w:spacing w:after="20"/>
            </w:pPr>
            <w:r/>
            <w:r>
              <w:rPr>
                <w:rFonts w:ascii="Aptos" w:hAnsi="Aptos"/>
                <w:b w:val="0"/>
                <w:sz w:val="16"/>
              </w:rPr>
              <w:t>IAM sample; endpoint sample; patch tickets; firewall rules; backup records; logging and interviews.</w:t>
            </w:r>
          </w:p>
        </w:tc>
        <w:tc>
          <w:tcPr>
            <w:tcW w:type="dxa" w:w="792"/>
            <w:vAlign w:val="center"/>
          </w:tcPr>
          <w:p>
            <w:pPr>
              <w:spacing w:after="20"/>
            </w:pPr>
            <w:r/>
            <w:r>
              <w:rPr>
                <w:rFonts w:ascii="Aptos" w:hAnsi="Aptos"/>
                <w:b w:val="0"/>
                <w:sz w:val="16"/>
              </w:rPr>
              <w:t>10</w:t>
            </w:r>
          </w:p>
        </w:tc>
        <w:tc>
          <w:tcPr>
            <w:tcW w:type="dxa" w:w="2016"/>
            <w:vAlign w:val="center"/>
          </w:tcPr>
          <w:p>
            <w:pPr>
              <w:spacing w:after="20"/>
            </w:pPr>
            <w:r/>
            <w:r>
              <w:rPr>
                <w:rFonts w:ascii="Aptos" w:hAnsi="Aptos"/>
                <w:b w:val="0"/>
                <w:sz w:val="16"/>
              </w:rPr>
              <w:t>Control owners available; no production disruption.</w:t>
            </w:r>
          </w:p>
        </w:tc>
        <w:tc>
          <w:tcPr>
            <w:tcW w:type="dxa" w:w="1800"/>
            <w:vAlign w:val="center"/>
          </w:tcPr>
          <w:p>
            <w:pPr>
              <w:spacing w:after="20"/>
            </w:pPr>
            <w:r/>
            <w:r>
              <w:rPr>
                <w:rFonts w:ascii="Aptos" w:hAnsi="Aptos"/>
                <w:b w:val="0"/>
                <w:sz w:val="16"/>
              </w:rPr>
              <w:t>Completed test sheets and validated observations.</w:t>
            </w:r>
          </w:p>
        </w:tc>
      </w:tr>
      <w:tr>
        <w:tc>
          <w:tcPr>
            <w:tcW w:type="dxa" w:w="1656"/>
            <w:vAlign w:val="center"/>
            <w:shd w:fill="EEF5F6"/>
          </w:tcPr>
          <w:p>
            <w:pPr>
              <w:spacing w:after="20"/>
            </w:pPr>
            <w:r/>
            <w:r>
              <w:rPr>
                <w:rFonts w:ascii="Aptos" w:hAnsi="Aptos"/>
                <w:b w:val="0"/>
                <w:sz w:val="16"/>
              </w:rPr>
              <w:t>Week 4: Analysis/report</w:t>
            </w:r>
          </w:p>
        </w:tc>
        <w:tc>
          <w:tcPr>
            <w:tcW w:type="dxa" w:w="3600"/>
            <w:vAlign w:val="center"/>
            <w:shd w:fill="EEF5F6"/>
          </w:tcPr>
          <w:p>
            <w:pPr>
              <w:spacing w:after="20"/>
            </w:pPr>
            <w:r/>
            <w:r>
              <w:rPr>
                <w:rFonts w:ascii="Aptos" w:hAnsi="Aptos"/>
                <w:b w:val="0"/>
                <w:sz w:val="16"/>
              </w:rPr>
              <w:t>Risk scoring; fact-check meeting; remediation workshop; draft and final report; management briefing.</w:t>
            </w:r>
          </w:p>
        </w:tc>
        <w:tc>
          <w:tcPr>
            <w:tcW w:type="dxa" w:w="792"/>
            <w:vAlign w:val="center"/>
            <w:shd w:fill="EEF5F6"/>
          </w:tcPr>
          <w:p>
            <w:pPr>
              <w:spacing w:after="20"/>
            </w:pPr>
            <w:r/>
            <w:r>
              <w:rPr>
                <w:rFonts w:ascii="Aptos" w:hAnsi="Aptos"/>
                <w:b w:val="0"/>
                <w:sz w:val="16"/>
              </w:rPr>
              <w:t>6</w:t>
            </w:r>
          </w:p>
        </w:tc>
        <w:tc>
          <w:tcPr>
            <w:tcW w:type="dxa" w:w="2016"/>
            <w:vAlign w:val="center"/>
            <w:shd w:fill="EEF5F6"/>
          </w:tcPr>
          <w:p>
            <w:pPr>
              <w:spacing w:after="20"/>
            </w:pPr>
            <w:r/>
            <w:r>
              <w:rPr>
                <w:rFonts w:ascii="Aptos" w:hAnsi="Aptos"/>
                <w:b w:val="0"/>
                <w:sz w:val="16"/>
              </w:rPr>
              <w:t>Sponsor approves risk owners and dates.</w:t>
            </w:r>
          </w:p>
        </w:tc>
        <w:tc>
          <w:tcPr>
            <w:tcW w:type="dxa" w:w="1800"/>
            <w:vAlign w:val="center"/>
            <w:shd w:fill="EEF5F6"/>
          </w:tcPr>
          <w:p>
            <w:pPr>
              <w:spacing w:after="20"/>
            </w:pPr>
            <w:r/>
            <w:r>
              <w:rPr>
                <w:rFonts w:ascii="Aptos" w:hAnsi="Aptos"/>
                <w:b w:val="0"/>
                <w:sz w:val="16"/>
              </w:rPr>
              <w:t>Final report, prioritized tracker, briefing.</w:t>
            </w:r>
          </w:p>
        </w:tc>
      </w:tr>
      <w:tr>
        <w:tc>
          <w:tcPr>
            <w:tcW w:type="dxa" w:w="1656"/>
            <w:vAlign w:val="center"/>
          </w:tcPr>
          <w:p>
            <w:pPr>
              <w:spacing w:after="20"/>
            </w:pPr>
            <w:r/>
            <w:r>
              <w:rPr>
                <w:rFonts w:ascii="Aptos" w:hAnsi="Aptos"/>
                <w:b w:val="0"/>
                <w:sz w:val="16"/>
              </w:rPr>
              <w:t>Follow-up planning</w:t>
            </w:r>
          </w:p>
        </w:tc>
        <w:tc>
          <w:tcPr>
            <w:tcW w:type="dxa" w:w="3600"/>
            <w:vAlign w:val="center"/>
          </w:tcPr>
          <w:p>
            <w:pPr>
              <w:spacing w:after="20"/>
            </w:pPr>
            <w:r/>
            <w:r>
              <w:rPr>
                <w:rFonts w:ascii="Aptos" w:hAnsi="Aptos"/>
                <w:b w:val="0"/>
                <w:sz w:val="16"/>
              </w:rPr>
              <w:t>Prepare retest criteria and schedule a 30-day progress check.</w:t>
            </w:r>
          </w:p>
        </w:tc>
        <w:tc>
          <w:tcPr>
            <w:tcW w:type="dxa" w:w="792"/>
            <w:vAlign w:val="center"/>
          </w:tcPr>
          <w:p>
            <w:pPr>
              <w:spacing w:after="20"/>
            </w:pPr>
            <w:r/>
            <w:r>
              <w:rPr>
                <w:rFonts w:ascii="Aptos" w:hAnsi="Aptos"/>
                <w:b w:val="0"/>
                <w:sz w:val="16"/>
              </w:rPr>
              <w:t>2</w:t>
            </w:r>
          </w:p>
        </w:tc>
        <w:tc>
          <w:tcPr>
            <w:tcW w:type="dxa" w:w="2016"/>
            <w:vAlign w:val="center"/>
          </w:tcPr>
          <w:p>
            <w:pPr>
              <w:spacing w:after="20"/>
            </w:pPr>
            <w:r/>
            <w:r>
              <w:rPr>
                <w:rFonts w:ascii="Aptos" w:hAnsi="Aptos"/>
                <w:b w:val="0"/>
                <w:sz w:val="16"/>
              </w:rPr>
              <w:t>IT lead owns remediation; auditor verifies.</w:t>
            </w:r>
          </w:p>
        </w:tc>
        <w:tc>
          <w:tcPr>
            <w:tcW w:type="dxa" w:w="1800"/>
            <w:vAlign w:val="center"/>
          </w:tcPr>
          <w:p>
            <w:pPr>
              <w:spacing w:after="20"/>
            </w:pPr>
            <w:r/>
            <w:r>
              <w:rPr>
                <w:rFonts w:ascii="Aptos" w:hAnsi="Aptos"/>
                <w:b w:val="0"/>
                <w:sz w:val="16"/>
              </w:rPr>
              <w:t>Follow-up calendar and closure criteria.</w:t>
            </w:r>
          </w:p>
        </w:tc>
      </w:tr>
      <w:tr>
        <w:tc>
          <w:tcPr>
            <w:tcW w:type="dxa" w:w="1656"/>
            <w:vAlign w:val="center"/>
            <w:shd w:fill="EEF5F6"/>
          </w:tcPr>
          <w:p>
            <w:pPr>
              <w:spacing w:after="20"/>
            </w:pPr>
            <w:r/>
            <w:r>
              <w:rPr>
                <w:rFonts w:ascii="Aptos" w:hAnsi="Aptos"/>
                <w:b w:val="0"/>
                <w:sz w:val="16"/>
              </w:rPr>
              <w:t>TOTAL</w:t>
            </w:r>
          </w:p>
        </w:tc>
        <w:tc>
          <w:tcPr>
            <w:tcW w:type="dxa" w:w="3600"/>
            <w:vAlign w:val="center"/>
            <w:shd w:fill="EEF5F6"/>
          </w:tcPr>
          <w:p>
            <w:pPr>
              <w:spacing w:after="20"/>
            </w:pPr>
            <w:r/>
            <w:r>
              <w:rPr>
                <w:rFonts w:ascii="Aptos" w:hAnsi="Aptos"/>
                <w:b w:val="0"/>
                <w:sz w:val="16"/>
              </w:rPr>
              <w:t>Planned effort; excludes remediation work performed by system owners.</w:t>
            </w:r>
          </w:p>
        </w:tc>
        <w:tc>
          <w:tcPr>
            <w:tcW w:type="dxa" w:w="792"/>
            <w:vAlign w:val="center"/>
            <w:shd w:fill="EEF5F6"/>
          </w:tcPr>
          <w:p>
            <w:pPr>
              <w:spacing w:after="20"/>
            </w:pPr>
            <w:r/>
            <w:r>
              <w:rPr>
                <w:rFonts w:ascii="Aptos" w:hAnsi="Aptos"/>
                <w:b w:val="0"/>
                <w:sz w:val="16"/>
              </w:rPr>
              <w:t>32</w:t>
            </w:r>
          </w:p>
        </w:tc>
        <w:tc>
          <w:tcPr>
            <w:tcW w:type="dxa" w:w="2016"/>
            <w:vAlign w:val="center"/>
            <w:shd w:fill="EEF5F6"/>
          </w:tcPr>
          <w:p>
            <w:pPr>
              <w:spacing w:after="20"/>
            </w:pPr>
            <w:r/>
            <w:r>
              <w:rPr>
                <w:rFonts w:ascii="Aptos" w:hAnsi="Aptos"/>
                <w:b w:val="0"/>
                <w:sz w:val="16"/>
              </w:rPr>
              <w:t>Within the stated 30–35 hour task estimate.</w:t>
            </w:r>
          </w:p>
        </w:tc>
        <w:tc>
          <w:tcPr>
            <w:tcW w:type="dxa" w:w="1800"/>
            <w:vAlign w:val="center"/>
            <w:shd w:fill="EEF5F6"/>
          </w:tcPr>
          <w:p>
            <w:pPr>
              <w:spacing w:after="20"/>
            </w:pPr>
            <w:r/>
            <w:r>
              <w:rPr>
                <w:rFonts w:ascii="Aptos" w:hAnsi="Aptos"/>
                <w:b w:val="0"/>
                <w:sz w:val="16"/>
              </w:rPr>
              <w:t>All planned deliverables.</w:t>
            </w:r>
          </w:p>
        </w:tc>
      </w:tr>
    </w:tbl>
    <w:p>
      <w:pPr>
        <w:spacing w:after="20"/>
      </w:pPr>
    </w:p>
    <w:p>
      <w:r>
        <w:t>Schedule dependencies: the sponsor approves scope and access before testing; IT provides requested exports within three business days; control owners attend short interviews; and any production-impacting validation is separately approved. If evidence is delayed, record the limitation and revise the schedule rather than inferring that a control passed.</w:t>
      </w:r>
    </w:p>
    <w:p>
      <w:pPr>
        <w:pStyle w:val="Heading1"/>
      </w:pPr>
      <w:r>
        <w:t>9. Illustrative Budget and Resource Plan</w:t>
      </w:r>
    </w:p>
    <w:p>
      <w:r>
        <w:t>The following is a transparent planning estimate in Indian rupees, not a vendor quote. It assumes a blended internal audit rate of ₹1,000 per hour and excludes taxes, software procurement and remediation.</w:t>
      </w:r>
    </w:p>
    <w:tbl>
      <w:tblPr>
        <w:tblStyle w:val="TableGrid"/>
        <w:tblW w:type="auto" w:w="0"/>
        <w:jc w:val="center"/>
        <w:tblLook w:firstColumn="1" w:firstRow="1" w:lastColumn="0" w:lastRow="0" w:noHBand="0" w:noVBand="1" w:val="04A0"/>
      </w:tblPr>
      <w:tblGrid>
        <w:gridCol w:w="3331"/>
        <w:gridCol w:w="3331"/>
        <w:gridCol w:w="3331"/>
      </w:tblGrid>
      <w:tr>
        <w:tc>
          <w:tcPr>
            <w:tcW w:type="dxa" w:w="3168"/>
            <w:vAlign w:val="center"/>
            <w:shd w:fill="12304A"/>
          </w:tcPr>
          <w:p>
            <w:pPr>
              <w:spacing w:after="20"/>
            </w:pPr>
            <w:r/>
            <w:r>
              <w:rPr>
                <w:rFonts w:ascii="Aptos" w:hAnsi="Aptos"/>
                <w:b/>
                <w:color w:val="FFFFFF"/>
                <w:sz w:val="17"/>
              </w:rPr>
              <w:t>Resource / cost item</w:t>
            </w:r>
          </w:p>
        </w:tc>
        <w:tc>
          <w:tcPr>
            <w:tcW w:type="dxa" w:w="3888"/>
            <w:vAlign w:val="center"/>
            <w:shd w:fill="12304A"/>
          </w:tcPr>
          <w:p>
            <w:pPr>
              <w:spacing w:after="20"/>
            </w:pPr>
            <w:r/>
            <w:r>
              <w:rPr>
                <w:rFonts w:ascii="Aptos" w:hAnsi="Aptos"/>
                <w:b/>
                <w:color w:val="FFFFFF"/>
                <w:sz w:val="17"/>
              </w:rPr>
              <w:t>Calculation</w:t>
            </w:r>
          </w:p>
        </w:tc>
        <w:tc>
          <w:tcPr>
            <w:tcW w:type="dxa" w:w="2592"/>
            <w:vAlign w:val="center"/>
            <w:shd w:fill="12304A"/>
          </w:tcPr>
          <w:p>
            <w:pPr>
              <w:spacing w:after="20"/>
            </w:pPr>
            <w:r/>
            <w:r>
              <w:rPr>
                <w:rFonts w:ascii="Aptos" w:hAnsi="Aptos"/>
                <w:b/>
                <w:color w:val="FFFFFF"/>
                <w:sz w:val="17"/>
              </w:rPr>
              <w:t>Estimated cost</w:t>
            </w:r>
          </w:p>
        </w:tc>
      </w:tr>
      <w:tr>
        <w:tc>
          <w:tcPr>
            <w:tcW w:type="dxa" w:w="3168"/>
            <w:vAlign w:val="center"/>
          </w:tcPr>
          <w:p>
            <w:pPr>
              <w:spacing w:after="20"/>
            </w:pPr>
            <w:r/>
            <w:r>
              <w:rPr>
                <w:rFonts w:ascii="Aptos" w:hAnsi="Aptos"/>
                <w:b w:val="0"/>
                <w:sz w:val="16"/>
              </w:rPr>
              <w:t>Audit lead / analyst</w:t>
            </w:r>
          </w:p>
        </w:tc>
        <w:tc>
          <w:tcPr>
            <w:tcW w:type="dxa" w:w="3888"/>
            <w:vAlign w:val="center"/>
          </w:tcPr>
          <w:p>
            <w:pPr>
              <w:spacing w:after="20"/>
            </w:pPr>
            <w:r/>
            <w:r>
              <w:rPr>
                <w:rFonts w:ascii="Aptos" w:hAnsi="Aptos"/>
                <w:b w:val="0"/>
                <w:sz w:val="16"/>
              </w:rPr>
              <w:t>32 hours × ₹1,000/hour</w:t>
            </w:r>
          </w:p>
        </w:tc>
        <w:tc>
          <w:tcPr>
            <w:tcW w:type="dxa" w:w="2592"/>
            <w:vAlign w:val="center"/>
          </w:tcPr>
          <w:p>
            <w:pPr>
              <w:spacing w:after="20"/>
            </w:pPr>
            <w:r/>
            <w:r>
              <w:rPr>
                <w:rFonts w:ascii="Aptos" w:hAnsi="Aptos"/>
                <w:b w:val="0"/>
                <w:sz w:val="16"/>
              </w:rPr>
              <w:t>₹32,000</w:t>
            </w:r>
          </w:p>
        </w:tc>
      </w:tr>
      <w:tr>
        <w:tc>
          <w:tcPr>
            <w:tcW w:type="dxa" w:w="3168"/>
            <w:vAlign w:val="center"/>
            <w:shd w:fill="EEF5F6"/>
          </w:tcPr>
          <w:p>
            <w:pPr>
              <w:spacing w:after="20"/>
            </w:pPr>
            <w:r/>
            <w:r>
              <w:rPr>
                <w:rFonts w:ascii="Aptos" w:hAnsi="Aptos"/>
                <w:b w:val="0"/>
                <w:sz w:val="16"/>
              </w:rPr>
              <w:t>IT and control-owner time</w:t>
            </w:r>
          </w:p>
        </w:tc>
        <w:tc>
          <w:tcPr>
            <w:tcW w:type="dxa" w:w="3888"/>
            <w:vAlign w:val="center"/>
            <w:shd w:fill="EEF5F6"/>
          </w:tcPr>
          <w:p>
            <w:pPr>
              <w:spacing w:after="20"/>
            </w:pPr>
            <w:r/>
            <w:r>
              <w:rPr>
                <w:rFonts w:ascii="Aptos" w:hAnsi="Aptos"/>
                <w:b w:val="0"/>
                <w:sz w:val="16"/>
              </w:rPr>
              <w:t>6 hours × ₹700/hour</w:t>
            </w:r>
          </w:p>
        </w:tc>
        <w:tc>
          <w:tcPr>
            <w:tcW w:type="dxa" w:w="2592"/>
            <w:vAlign w:val="center"/>
            <w:shd w:fill="EEF5F6"/>
          </w:tcPr>
          <w:p>
            <w:pPr>
              <w:spacing w:after="20"/>
            </w:pPr>
            <w:r/>
            <w:r>
              <w:rPr>
                <w:rFonts w:ascii="Aptos" w:hAnsi="Aptos"/>
                <w:b w:val="0"/>
                <w:sz w:val="16"/>
              </w:rPr>
              <w:t>₹4,200</w:t>
            </w:r>
          </w:p>
        </w:tc>
      </w:tr>
      <w:tr>
        <w:tc>
          <w:tcPr>
            <w:tcW w:type="dxa" w:w="3168"/>
            <w:vAlign w:val="center"/>
          </w:tcPr>
          <w:p>
            <w:pPr>
              <w:spacing w:after="20"/>
            </w:pPr>
            <w:r/>
            <w:r>
              <w:rPr>
                <w:rFonts w:ascii="Aptos" w:hAnsi="Aptos"/>
                <w:b w:val="0"/>
                <w:sz w:val="16"/>
              </w:rPr>
              <w:t>Existing tools</w:t>
            </w:r>
          </w:p>
        </w:tc>
        <w:tc>
          <w:tcPr>
            <w:tcW w:type="dxa" w:w="3888"/>
            <w:vAlign w:val="center"/>
          </w:tcPr>
          <w:p>
            <w:pPr>
              <w:spacing w:after="20"/>
            </w:pPr>
            <w:r/>
            <w:r>
              <w:rPr>
                <w:rFonts w:ascii="Aptos" w:hAnsi="Aptos"/>
                <w:b w:val="0"/>
                <w:sz w:val="16"/>
              </w:rPr>
              <w:t>Use approved inventory, endpoint, cloud and ticketing tools</w:t>
            </w:r>
          </w:p>
        </w:tc>
        <w:tc>
          <w:tcPr>
            <w:tcW w:type="dxa" w:w="2592"/>
            <w:vAlign w:val="center"/>
          </w:tcPr>
          <w:p>
            <w:pPr>
              <w:spacing w:after="20"/>
            </w:pPr>
            <w:r/>
            <w:r>
              <w:rPr>
                <w:rFonts w:ascii="Aptos" w:hAnsi="Aptos"/>
                <w:b w:val="0"/>
                <w:sz w:val="16"/>
              </w:rPr>
              <w:t>₹0 incremental</w:t>
            </w:r>
          </w:p>
        </w:tc>
      </w:tr>
      <w:tr>
        <w:tc>
          <w:tcPr>
            <w:tcW w:type="dxa" w:w="3168"/>
            <w:vAlign w:val="center"/>
            <w:shd w:fill="EEF5F6"/>
          </w:tcPr>
          <w:p>
            <w:pPr>
              <w:spacing w:after="20"/>
            </w:pPr>
            <w:r/>
            <w:r>
              <w:rPr>
                <w:rFonts w:ascii="Aptos" w:hAnsi="Aptos"/>
                <w:b w:val="0"/>
                <w:sz w:val="16"/>
              </w:rPr>
              <w:t>Contingency</w:t>
            </w:r>
          </w:p>
        </w:tc>
        <w:tc>
          <w:tcPr>
            <w:tcW w:type="dxa" w:w="3888"/>
            <w:vAlign w:val="center"/>
            <w:shd w:fill="EEF5F6"/>
          </w:tcPr>
          <w:p>
            <w:pPr>
              <w:spacing w:after="20"/>
            </w:pPr>
            <w:r/>
            <w:r>
              <w:rPr>
                <w:rFonts w:ascii="Aptos" w:hAnsi="Aptos"/>
                <w:b w:val="0"/>
                <w:sz w:val="16"/>
              </w:rPr>
              <w:t>10% of labor subtotal (₹36,200)</w:t>
            </w:r>
          </w:p>
        </w:tc>
        <w:tc>
          <w:tcPr>
            <w:tcW w:type="dxa" w:w="2592"/>
            <w:vAlign w:val="center"/>
            <w:shd w:fill="EEF5F6"/>
          </w:tcPr>
          <w:p>
            <w:pPr>
              <w:spacing w:after="20"/>
            </w:pPr>
            <w:r/>
            <w:r>
              <w:rPr>
                <w:rFonts w:ascii="Aptos" w:hAnsi="Aptos"/>
                <w:b w:val="0"/>
                <w:sz w:val="16"/>
              </w:rPr>
              <w:t>₹3,620</w:t>
            </w:r>
          </w:p>
        </w:tc>
      </w:tr>
      <w:tr>
        <w:tc>
          <w:tcPr>
            <w:tcW w:type="dxa" w:w="3168"/>
            <w:vAlign w:val="center"/>
          </w:tcPr>
          <w:p>
            <w:pPr>
              <w:spacing w:after="20"/>
            </w:pPr>
            <w:r/>
            <w:r>
              <w:rPr>
                <w:rFonts w:ascii="Aptos" w:hAnsi="Aptos"/>
                <w:b w:val="0"/>
                <w:sz w:val="16"/>
              </w:rPr>
              <w:t>TOTAL ESTIMATE</w:t>
            </w:r>
          </w:p>
        </w:tc>
        <w:tc>
          <w:tcPr>
            <w:tcW w:type="dxa" w:w="3888"/>
            <w:vAlign w:val="center"/>
          </w:tcPr>
          <w:p>
            <w:pPr>
              <w:spacing w:after="20"/>
            </w:pPr>
            <w:r/>
            <w:r>
              <w:rPr>
                <w:rFonts w:ascii="Aptos" w:hAnsi="Aptos"/>
                <w:b w:val="0"/>
                <w:sz w:val="16"/>
              </w:rPr>
              <w:t>Labor subtotal + contingency</w:t>
            </w:r>
          </w:p>
        </w:tc>
        <w:tc>
          <w:tcPr>
            <w:tcW w:type="dxa" w:w="2592"/>
            <w:vAlign w:val="center"/>
          </w:tcPr>
          <w:p>
            <w:pPr>
              <w:spacing w:after="20"/>
            </w:pPr>
            <w:r/>
            <w:r>
              <w:rPr>
                <w:rFonts w:ascii="Aptos" w:hAnsi="Aptos"/>
                <w:b w:val="0"/>
                <w:sz w:val="16"/>
              </w:rPr>
              <w:t>₹39,820</w:t>
            </w:r>
          </w:p>
        </w:tc>
      </w:tr>
    </w:tbl>
    <w:p>
      <w:pPr>
        <w:spacing w:after="20"/>
      </w:pPr>
    </w:p>
    <w:p>
      <w:r>
        <w:t>Budget controls: obtain manager approval before incurring any external expense; reuse existing licensed tools; do not purchase scanning tools for this plan without review; and log actual hours against each phase. If specialist testing is required, scope and price it separately.</w:t>
      </w:r>
    </w:p>
    <w:p>
      <w:pPr>
        <w:pStyle w:val="Heading1"/>
      </w:pPr>
      <w:r>
        <w:t>10. Roles, Responsibilities and Governance</w:t>
      </w:r>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12304A"/>
          </w:tcPr>
          <w:p>
            <w:pPr>
              <w:spacing w:after="20"/>
            </w:pPr>
            <w:r/>
            <w:r>
              <w:rPr>
                <w:rFonts w:ascii="Aptos" w:hAnsi="Aptos"/>
                <w:b/>
                <w:color w:val="FFFFFF"/>
                <w:sz w:val="17"/>
              </w:rPr>
              <w:t>Role</w:t>
            </w:r>
          </w:p>
        </w:tc>
        <w:tc>
          <w:tcPr>
            <w:tcW w:type="dxa" w:w="7488"/>
            <w:vAlign w:val="center"/>
            <w:shd w:fill="12304A"/>
          </w:tcPr>
          <w:p>
            <w:pPr>
              <w:spacing w:after="20"/>
            </w:pPr>
            <w:r/>
            <w:r>
              <w:rPr>
                <w:rFonts w:ascii="Aptos" w:hAnsi="Aptos"/>
                <w:b/>
                <w:color w:val="FFFFFF"/>
                <w:sz w:val="17"/>
              </w:rPr>
              <w:t>Responsibility</w:t>
            </w:r>
          </w:p>
        </w:tc>
      </w:tr>
      <w:tr>
        <w:tc>
          <w:tcPr>
            <w:tcW w:type="dxa" w:w="2376"/>
            <w:vAlign w:val="center"/>
          </w:tcPr>
          <w:p>
            <w:pPr>
              <w:spacing w:after="20"/>
            </w:pPr>
            <w:r/>
            <w:r>
              <w:rPr>
                <w:rFonts w:ascii="Aptos" w:hAnsi="Aptos"/>
                <w:b w:val="0"/>
                <w:sz w:val="16"/>
              </w:rPr>
              <w:t>Executive sponsor</w:t>
            </w:r>
          </w:p>
        </w:tc>
        <w:tc>
          <w:tcPr>
            <w:tcW w:type="dxa" w:w="7488"/>
            <w:vAlign w:val="center"/>
          </w:tcPr>
          <w:p>
            <w:pPr>
              <w:spacing w:after="20"/>
            </w:pPr>
            <w:r/>
            <w:r>
              <w:rPr>
                <w:rFonts w:ascii="Aptos" w:hAnsi="Aptos"/>
                <w:b w:val="0"/>
                <w:sz w:val="16"/>
              </w:rPr>
              <w:t>Approves scope, risk appetite, access and final report; resolves overdue high-risk actions.</w:t>
            </w:r>
          </w:p>
        </w:tc>
      </w:tr>
      <w:tr>
        <w:tc>
          <w:tcPr>
            <w:tcW w:type="dxa" w:w="2376"/>
            <w:vAlign w:val="center"/>
            <w:shd w:fill="EEF5F6"/>
          </w:tcPr>
          <w:p>
            <w:pPr>
              <w:spacing w:after="20"/>
            </w:pPr>
            <w:r/>
            <w:r>
              <w:rPr>
                <w:rFonts w:ascii="Aptos" w:hAnsi="Aptos"/>
                <w:b w:val="0"/>
                <w:sz w:val="16"/>
              </w:rPr>
              <w:t>Audit lead / analyst</w:t>
            </w:r>
          </w:p>
        </w:tc>
        <w:tc>
          <w:tcPr>
            <w:tcW w:type="dxa" w:w="7488"/>
            <w:vAlign w:val="center"/>
            <w:shd w:fill="EEF5F6"/>
          </w:tcPr>
          <w:p>
            <w:pPr>
              <w:spacing w:after="20"/>
            </w:pPr>
            <w:r/>
            <w:r>
              <w:rPr>
                <w:rFonts w:ascii="Aptos" w:hAnsi="Aptos"/>
                <w:b w:val="0"/>
                <w:sz w:val="16"/>
              </w:rPr>
              <w:t>Maintains independence, evidence log, test sheets, risk ratings and report; protects evidence.</w:t>
            </w:r>
          </w:p>
        </w:tc>
      </w:tr>
      <w:tr>
        <w:tc>
          <w:tcPr>
            <w:tcW w:type="dxa" w:w="2376"/>
            <w:vAlign w:val="center"/>
          </w:tcPr>
          <w:p>
            <w:pPr>
              <w:spacing w:after="20"/>
            </w:pPr>
            <w:r/>
            <w:r>
              <w:rPr>
                <w:rFonts w:ascii="Aptos" w:hAnsi="Aptos"/>
                <w:b w:val="0"/>
                <w:sz w:val="16"/>
              </w:rPr>
              <w:t>IT lead</w:t>
            </w:r>
          </w:p>
        </w:tc>
        <w:tc>
          <w:tcPr>
            <w:tcW w:type="dxa" w:w="7488"/>
            <w:vAlign w:val="center"/>
          </w:tcPr>
          <w:p>
            <w:pPr>
              <w:spacing w:after="20"/>
            </w:pPr>
            <w:r/>
            <w:r>
              <w:rPr>
                <w:rFonts w:ascii="Aptos" w:hAnsi="Aptos"/>
                <w:b w:val="0"/>
                <w:sz w:val="16"/>
              </w:rPr>
              <w:t>Coordinates access, identifies asset owners, approves safe testing windows and tracks remediation.</w:t>
            </w:r>
          </w:p>
        </w:tc>
      </w:tr>
      <w:tr>
        <w:tc>
          <w:tcPr>
            <w:tcW w:type="dxa" w:w="2376"/>
            <w:vAlign w:val="center"/>
            <w:shd w:fill="EEF5F6"/>
          </w:tcPr>
          <w:p>
            <w:pPr>
              <w:spacing w:after="20"/>
            </w:pPr>
            <w:r/>
            <w:r>
              <w:rPr>
                <w:rFonts w:ascii="Aptos" w:hAnsi="Aptos"/>
                <w:b w:val="0"/>
                <w:sz w:val="16"/>
              </w:rPr>
              <w:t>System / data owners</w:t>
            </w:r>
          </w:p>
        </w:tc>
        <w:tc>
          <w:tcPr>
            <w:tcW w:type="dxa" w:w="7488"/>
            <w:vAlign w:val="center"/>
            <w:shd w:fill="EEF5F6"/>
          </w:tcPr>
          <w:p>
            <w:pPr>
              <w:spacing w:after="20"/>
            </w:pPr>
            <w:r/>
            <w:r>
              <w:rPr>
                <w:rFonts w:ascii="Aptos" w:hAnsi="Aptos"/>
                <w:b w:val="0"/>
                <w:sz w:val="16"/>
              </w:rPr>
              <w:t>Explain business purpose, validate factual accuracy, own corrective actions and supply closure evidence.</w:t>
            </w:r>
          </w:p>
        </w:tc>
      </w:tr>
      <w:tr>
        <w:tc>
          <w:tcPr>
            <w:tcW w:type="dxa" w:w="2376"/>
            <w:vAlign w:val="center"/>
          </w:tcPr>
          <w:p>
            <w:pPr>
              <w:spacing w:after="20"/>
            </w:pPr>
            <w:r/>
            <w:r>
              <w:rPr>
                <w:rFonts w:ascii="Aptos" w:hAnsi="Aptos"/>
                <w:b w:val="0"/>
                <w:sz w:val="16"/>
              </w:rPr>
              <w:t>HR representative</w:t>
            </w:r>
          </w:p>
        </w:tc>
        <w:tc>
          <w:tcPr>
            <w:tcW w:type="dxa" w:w="7488"/>
            <w:vAlign w:val="center"/>
          </w:tcPr>
          <w:p>
            <w:pPr>
              <w:spacing w:after="20"/>
            </w:pPr>
            <w:r/>
            <w:r>
              <w:rPr>
                <w:rFonts w:ascii="Aptos" w:hAnsi="Aptos"/>
                <w:b w:val="0"/>
                <w:sz w:val="16"/>
              </w:rPr>
              <w:t>Provides minimum necessary joiner/leaver confirmation for sampled records under approved access.</w:t>
            </w:r>
          </w:p>
        </w:tc>
      </w:tr>
      <w:tr>
        <w:tc>
          <w:tcPr>
            <w:tcW w:type="dxa" w:w="2376"/>
            <w:vAlign w:val="center"/>
            <w:shd w:fill="EEF5F6"/>
          </w:tcPr>
          <w:p>
            <w:pPr>
              <w:spacing w:after="20"/>
            </w:pPr>
            <w:r/>
            <w:r>
              <w:rPr>
                <w:rFonts w:ascii="Aptos" w:hAnsi="Aptos"/>
                <w:b w:val="0"/>
                <w:sz w:val="16"/>
              </w:rPr>
              <w:t>Management</w:t>
            </w:r>
          </w:p>
        </w:tc>
        <w:tc>
          <w:tcPr>
            <w:tcW w:type="dxa" w:w="7488"/>
            <w:vAlign w:val="center"/>
            <w:shd w:fill="EEF5F6"/>
          </w:tcPr>
          <w:p>
            <w:pPr>
              <w:spacing w:after="20"/>
            </w:pPr>
            <w:r/>
            <w:r>
              <w:rPr>
                <w:rFonts w:ascii="Aptos" w:hAnsi="Aptos"/>
                <w:b w:val="0"/>
                <w:sz w:val="16"/>
              </w:rPr>
              <w:t>Accepts residual risk explicitly when remediation is deferred; assigns resources and due dates.</w:t>
            </w:r>
          </w:p>
        </w:tc>
      </w:tr>
    </w:tbl>
    <w:p>
      <w:pPr>
        <w:spacing w:after="20"/>
      </w:pPr>
    </w:p>
    <w:p>
      <w:pPr>
        <w:pStyle w:val="Heading2"/>
      </w:pPr>
      <w:r>
        <w:t>Reporting and escalation</w:t>
      </w:r>
    </w:p>
    <w:p>
      <w:r>
        <w:t>Provide a short weekly status update covering completed work, blocked evidence requests, emerging high-risk concerns and next steps. Immediately escalate a suspected active compromise, exposed credentials, or a critical control failure to the sponsor and IT lead using the approved incident channel. The audit team should not independently investigate a live incident beyond preserving the minimum facts needed for safe handover.</w:t>
      </w:r>
    </w:p>
    <w:p>
      <w:pPr>
        <w:pStyle w:val="Heading1"/>
      </w:pPr>
      <w:r>
        <w:t>11. Remediation and Follow-up</w:t>
      </w:r>
    </w:p>
    <w:p>
      <w:pPr>
        <w:pStyle w:val="ListNumber"/>
        <w:spacing w:after="40"/>
      </w:pPr>
      <w:r>
        <w:t>Within five business days of report delivery, each finding owner confirms the proposed action, due date, and any dependency.</w:t>
      </w:r>
    </w:p>
    <w:p>
      <w:pPr>
        <w:pStyle w:val="ListNumber"/>
        <w:spacing w:after="40"/>
      </w:pPr>
      <w:r>
        <w:t>High and Critical findings receive weekly tracking until mitigated or formally accepted by authorized management.</w:t>
      </w:r>
    </w:p>
    <w:p>
      <w:pPr>
        <w:pStyle w:val="ListNumber"/>
        <w:spacing w:after="40"/>
      </w:pPr>
      <w:r>
        <w:t>Closure requires evidence, not a verbal statement: for example, a new configuration export, successful patch verification, disabled-account record, or successful restore-test log.</w:t>
      </w:r>
    </w:p>
    <w:p>
      <w:pPr>
        <w:pStyle w:val="ListNumber"/>
        <w:spacing w:after="40"/>
      </w:pPr>
      <w:r>
        <w:t>The auditor retests the control using the same or an appropriately expanded sample and records pass, partial pass, or still open.</w:t>
      </w:r>
    </w:p>
    <w:p>
      <w:pPr>
        <w:pStyle w:val="ListNumber"/>
        <w:spacing w:after="40"/>
      </w:pPr>
      <w:r>
        <w:t>Any accepted risk must include business rationale, compensating controls, approver, expiry/review date and a plan to reconsider the decision.</w:t>
      </w:r>
    </w:p>
    <w:p>
      <w:pPr>
        <w:pStyle w:val="Heading1"/>
      </w:pPr>
      <w:r>
        <w:t>12. Limitations, Ethics and Quality Assurance</w:t>
      </w:r>
    </w:p>
    <w:p>
      <w:r>
        <w:t>An audit is a time-bounded sample and cannot guarantee that every weakness has been found. Conclusions depend on the completeness and accuracy of the asset inventory, access provided, evidence availability, sample selection and cooperation of control owners. A missing record is reported as an evidence gap—not automatically as proof that the control never operated. The report must distinguish verified facts, interview statements, assumptions and illustrative examples. All work must remain within written authorization, applicable privacy requirements and organizational policy.</w:t>
      </w:r>
    </w:p>
    <w:p>
      <w:pPr>
        <w:pStyle w:val="Heading2"/>
      </w:pPr>
      <w:r>
        <w:t>Quality checklist before issuing the report</w:t>
      </w:r>
    </w:p>
    <w:p>
      <w:pPr>
        <w:pStyle w:val="ListBullet"/>
        <w:spacing w:after="40"/>
      </w:pPr>
      <w:r>
        <w:t>Scope and exclusions match the signed authorization.</w:t>
      </w:r>
    </w:p>
    <w:p>
      <w:pPr>
        <w:pStyle w:val="ListBullet"/>
        <w:spacing w:after="40"/>
      </w:pPr>
      <w:r>
        <w:t>Each material finding has a traceable evidence ID, sample description, criteria, risk rationale and accountable owner.</w:t>
      </w:r>
    </w:p>
    <w:p>
      <w:pPr>
        <w:pStyle w:val="ListBullet"/>
        <w:spacing w:after="40"/>
      </w:pPr>
      <w:r>
        <w:t>Schedule, hours and budget totals have been checked.</w:t>
      </w:r>
    </w:p>
    <w:p>
      <w:pPr>
        <w:pStyle w:val="ListBullet"/>
        <w:spacing w:after="40"/>
      </w:pPr>
      <w:r>
        <w:t>Recommendations specify an action, responsible role, target date and validation evidence.</w:t>
      </w:r>
    </w:p>
    <w:p>
      <w:pPr>
        <w:pStyle w:val="ListBullet"/>
        <w:spacing w:after="40"/>
      </w:pPr>
      <w:r>
        <w:t>Factual responses from owners are considered without allowing owners to suppress supported findings.</w:t>
      </w:r>
    </w:p>
    <w:p>
      <w:pPr>
        <w:pStyle w:val="ListBullet"/>
        <w:spacing w:after="40"/>
      </w:pPr>
      <w:r>
        <w:t>Sensitive information is minimized and redacted; final report access is restricted.</w:t>
      </w:r>
    </w:p>
    <w:p>
      <w:pPr>
        <w:pStyle w:val="ListBullet"/>
        <w:spacing w:after="40"/>
      </w:pPr>
      <w:r>
        <w:t>Management has reviewed residual risks and accepted action dates.</w:t>
      </w:r>
    </w:p>
    <w:p>
      <w:pPr>
        <w:pStyle w:val="Heading1"/>
      </w:pPr>
      <w:r>
        <w:t>13. Conclusion</w:t>
      </w:r>
    </w:p>
    <w:p>
      <w:r>
        <w:t>This plan provides Northstar Services with a practical, evidence-led approach to reviewing its most important cybersecurity controls. Its main strengths are a defined scope, safe testing boundaries, explicit sampling, an evidence register, a repeatable risk-rating method, a 32-hour schedule, transparent budget assumptions, named responsibilities and measurable follow-up. The audit should result in a prioritized remediation tracker rather than a list of general security suggestions. Once the first cycle is complete, management should review progress monthly and repeat the risk assessment at least annually or after major changes to systems, suppliers or business operations.</w:t>
      </w:r>
    </w:p>
    <w:p>
      <w:pPr>
        <w:pStyle w:val="Heading1"/>
      </w:pPr>
      <w:r>
        <w:t>Appendix A — Evidence Request Checklist</w:t>
      </w:r>
    </w:p>
    <w:tbl>
      <w:tblPr>
        <w:tblStyle w:val="TableGrid"/>
        <w:tblW w:type="auto" w:w="0"/>
        <w:jc w:val="center"/>
        <w:tblLook w:firstColumn="1" w:firstRow="1" w:lastColumn="0" w:lastRow="0" w:noHBand="0" w:noVBand="1" w:val="04A0"/>
      </w:tblPr>
      <w:tblGrid>
        <w:gridCol w:w="3331"/>
        <w:gridCol w:w="3331"/>
        <w:gridCol w:w="3331"/>
      </w:tblGrid>
      <w:tr>
        <w:tc>
          <w:tcPr>
            <w:tcW w:type="dxa" w:w="5040"/>
            <w:vAlign w:val="center"/>
            <w:shd w:fill="12304A"/>
          </w:tcPr>
          <w:p>
            <w:pPr>
              <w:spacing w:after="20"/>
            </w:pPr>
            <w:r/>
            <w:r>
              <w:rPr>
                <w:rFonts w:ascii="Aptos" w:hAnsi="Aptos"/>
                <w:b/>
                <w:color w:val="FFFFFF"/>
                <w:sz w:val="17"/>
              </w:rPr>
              <w:t>Requested item</w:t>
            </w:r>
          </w:p>
        </w:tc>
        <w:tc>
          <w:tcPr>
            <w:tcW w:type="dxa" w:w="2376"/>
            <w:vAlign w:val="center"/>
            <w:shd w:fill="12304A"/>
          </w:tcPr>
          <w:p>
            <w:pPr>
              <w:spacing w:after="20"/>
            </w:pPr>
            <w:r/>
            <w:r>
              <w:rPr>
                <w:rFonts w:ascii="Aptos" w:hAnsi="Aptos"/>
                <w:b/>
                <w:color w:val="FFFFFF"/>
                <w:sz w:val="17"/>
              </w:rPr>
              <w:t>Owner</w:t>
            </w:r>
          </w:p>
        </w:tc>
        <w:tc>
          <w:tcPr>
            <w:tcW w:type="dxa" w:w="2736"/>
            <w:vAlign w:val="center"/>
            <w:shd w:fill="12304A"/>
          </w:tcPr>
          <w:p>
            <w:pPr>
              <w:spacing w:after="20"/>
            </w:pPr>
            <w:r/>
            <w:r>
              <w:rPr>
                <w:rFonts w:ascii="Aptos" w:hAnsi="Aptos"/>
                <w:b/>
                <w:color w:val="FFFFFF"/>
                <w:sz w:val="17"/>
              </w:rPr>
              <w:t>Status / notes</w:t>
            </w:r>
          </w:p>
        </w:tc>
      </w:tr>
      <w:tr>
        <w:tc>
          <w:tcPr>
            <w:tcW w:type="dxa" w:w="5040"/>
            <w:vAlign w:val="center"/>
          </w:tcPr>
          <w:p>
            <w:pPr>
              <w:spacing w:after="20"/>
            </w:pPr>
            <w:r/>
            <w:r>
              <w:rPr>
                <w:rFonts w:ascii="Aptos" w:hAnsi="Aptos"/>
                <w:b w:val="0"/>
                <w:sz w:val="16"/>
              </w:rPr>
              <w:t>Current asset inventory and system owners</w:t>
            </w:r>
          </w:p>
        </w:tc>
        <w:tc>
          <w:tcPr>
            <w:tcW w:type="dxa" w:w="2376"/>
            <w:vAlign w:val="center"/>
          </w:tcPr>
          <w:p>
            <w:pPr>
              <w:spacing w:after="20"/>
            </w:pPr>
            <w:r/>
            <w:r>
              <w:rPr>
                <w:rFonts w:ascii="Aptos" w:hAnsi="Aptos"/>
                <w:b w:val="0"/>
                <w:sz w:val="16"/>
              </w:rPr>
              <w:t>IT lead</w:t>
            </w:r>
          </w:p>
        </w:tc>
        <w:tc>
          <w:tcPr>
            <w:tcW w:type="dxa" w:w="2736"/>
            <w:vAlign w:val="center"/>
          </w:tcPr>
          <w:p>
            <w:pPr>
              <w:spacing w:after="20"/>
            </w:pPr>
            <w:r/>
            <w:r>
              <w:rPr>
                <w:rFonts w:ascii="Aptos" w:hAnsi="Aptos"/>
                <w:b w:val="0"/>
                <w:sz w:val="16"/>
              </w:rPr>
              <w:t>Pending at planning stage</w:t>
            </w:r>
          </w:p>
        </w:tc>
      </w:tr>
      <w:tr>
        <w:tc>
          <w:tcPr>
            <w:tcW w:type="dxa" w:w="5040"/>
            <w:vAlign w:val="center"/>
            <w:shd w:fill="EEF5F6"/>
          </w:tcPr>
          <w:p>
            <w:pPr>
              <w:spacing w:after="20"/>
            </w:pPr>
            <w:r/>
            <w:r>
              <w:rPr>
                <w:rFonts w:ascii="Aptos" w:hAnsi="Aptos"/>
                <w:b w:val="0"/>
                <w:sz w:val="16"/>
              </w:rPr>
              <w:t>Identity user list, privileged-role list, MFA settings</w:t>
            </w:r>
          </w:p>
        </w:tc>
        <w:tc>
          <w:tcPr>
            <w:tcW w:type="dxa" w:w="2376"/>
            <w:vAlign w:val="center"/>
            <w:shd w:fill="EEF5F6"/>
          </w:tcPr>
          <w:p>
            <w:pPr>
              <w:spacing w:after="20"/>
            </w:pPr>
            <w:r/>
            <w:r>
              <w:rPr>
                <w:rFonts w:ascii="Aptos" w:hAnsi="Aptos"/>
                <w:b w:val="0"/>
                <w:sz w:val="16"/>
              </w:rPr>
              <w:t>Identity administrator</w:t>
            </w:r>
          </w:p>
        </w:tc>
        <w:tc>
          <w:tcPr>
            <w:tcW w:type="dxa" w:w="2736"/>
            <w:vAlign w:val="center"/>
            <w:shd w:fill="EEF5F6"/>
          </w:tcPr>
          <w:p>
            <w:pPr>
              <w:spacing w:after="20"/>
            </w:pPr>
            <w:r/>
            <w:r>
              <w:rPr>
                <w:rFonts w:ascii="Aptos" w:hAnsi="Aptos"/>
                <w:b w:val="0"/>
                <w:sz w:val="16"/>
              </w:rPr>
              <w:t>Pending at planning stage</w:t>
            </w:r>
          </w:p>
        </w:tc>
      </w:tr>
      <w:tr>
        <w:tc>
          <w:tcPr>
            <w:tcW w:type="dxa" w:w="5040"/>
            <w:vAlign w:val="center"/>
          </w:tcPr>
          <w:p>
            <w:pPr>
              <w:spacing w:after="20"/>
            </w:pPr>
            <w:r/>
            <w:r>
              <w:rPr>
                <w:rFonts w:ascii="Aptos" w:hAnsi="Aptos"/>
                <w:b w:val="0"/>
                <w:sz w:val="16"/>
              </w:rPr>
              <w:t>Endpoint inventory, protection status and encryption report</w:t>
            </w:r>
          </w:p>
        </w:tc>
        <w:tc>
          <w:tcPr>
            <w:tcW w:type="dxa" w:w="2376"/>
            <w:vAlign w:val="center"/>
          </w:tcPr>
          <w:p>
            <w:pPr>
              <w:spacing w:after="20"/>
            </w:pPr>
            <w:r/>
            <w:r>
              <w:rPr>
                <w:rFonts w:ascii="Aptos" w:hAnsi="Aptos"/>
                <w:b w:val="0"/>
                <w:sz w:val="16"/>
              </w:rPr>
              <w:t>Endpoint administrator</w:t>
            </w:r>
          </w:p>
        </w:tc>
        <w:tc>
          <w:tcPr>
            <w:tcW w:type="dxa" w:w="2736"/>
            <w:vAlign w:val="center"/>
          </w:tcPr>
          <w:p>
            <w:pPr>
              <w:spacing w:after="20"/>
            </w:pPr>
            <w:r/>
            <w:r>
              <w:rPr>
                <w:rFonts w:ascii="Aptos" w:hAnsi="Aptos"/>
                <w:b w:val="0"/>
                <w:sz w:val="16"/>
              </w:rPr>
              <w:t>Pending at planning stage</w:t>
            </w:r>
          </w:p>
        </w:tc>
      </w:tr>
      <w:tr>
        <w:tc>
          <w:tcPr>
            <w:tcW w:type="dxa" w:w="5040"/>
            <w:vAlign w:val="center"/>
            <w:shd w:fill="EEF5F6"/>
          </w:tcPr>
          <w:p>
            <w:pPr>
              <w:spacing w:after="20"/>
            </w:pPr>
            <w:r/>
            <w:r>
              <w:rPr>
                <w:rFonts w:ascii="Aptos" w:hAnsi="Aptos"/>
                <w:b w:val="0"/>
                <w:sz w:val="16"/>
              </w:rPr>
              <w:t>Vulnerability dashboard, patch policy and selected tickets</w:t>
            </w:r>
          </w:p>
        </w:tc>
        <w:tc>
          <w:tcPr>
            <w:tcW w:type="dxa" w:w="2376"/>
            <w:vAlign w:val="center"/>
            <w:shd w:fill="EEF5F6"/>
          </w:tcPr>
          <w:p>
            <w:pPr>
              <w:spacing w:after="20"/>
            </w:pPr>
            <w:r/>
            <w:r>
              <w:rPr>
                <w:rFonts w:ascii="Aptos" w:hAnsi="Aptos"/>
                <w:b w:val="0"/>
                <w:sz w:val="16"/>
              </w:rPr>
              <w:t>IT/security</w:t>
            </w:r>
          </w:p>
        </w:tc>
        <w:tc>
          <w:tcPr>
            <w:tcW w:type="dxa" w:w="2736"/>
            <w:vAlign w:val="center"/>
            <w:shd w:fill="EEF5F6"/>
          </w:tcPr>
          <w:p>
            <w:pPr>
              <w:spacing w:after="20"/>
            </w:pPr>
            <w:r/>
            <w:r>
              <w:rPr>
                <w:rFonts w:ascii="Aptos" w:hAnsi="Aptos"/>
                <w:b w:val="0"/>
                <w:sz w:val="16"/>
              </w:rPr>
              <w:t>Pending at planning stage</w:t>
            </w:r>
          </w:p>
        </w:tc>
      </w:tr>
      <w:tr>
        <w:tc>
          <w:tcPr>
            <w:tcW w:type="dxa" w:w="5040"/>
            <w:vAlign w:val="center"/>
          </w:tcPr>
          <w:p>
            <w:pPr>
              <w:spacing w:after="20"/>
            </w:pPr>
            <w:r/>
            <w:r>
              <w:rPr>
                <w:rFonts w:ascii="Aptos" w:hAnsi="Aptos"/>
                <w:b w:val="0"/>
                <w:sz w:val="16"/>
              </w:rPr>
              <w:t>Network diagram, firewall rules and change records</w:t>
            </w:r>
          </w:p>
        </w:tc>
        <w:tc>
          <w:tcPr>
            <w:tcW w:type="dxa" w:w="2376"/>
            <w:vAlign w:val="center"/>
          </w:tcPr>
          <w:p>
            <w:pPr>
              <w:spacing w:after="20"/>
            </w:pPr>
            <w:r/>
            <w:r>
              <w:rPr>
                <w:rFonts w:ascii="Aptos" w:hAnsi="Aptos"/>
                <w:b w:val="0"/>
                <w:sz w:val="16"/>
              </w:rPr>
              <w:t>Network administrator</w:t>
            </w:r>
          </w:p>
        </w:tc>
        <w:tc>
          <w:tcPr>
            <w:tcW w:type="dxa" w:w="2736"/>
            <w:vAlign w:val="center"/>
          </w:tcPr>
          <w:p>
            <w:pPr>
              <w:spacing w:after="20"/>
            </w:pPr>
            <w:r/>
            <w:r>
              <w:rPr>
                <w:rFonts w:ascii="Aptos" w:hAnsi="Aptos"/>
                <w:b w:val="0"/>
                <w:sz w:val="16"/>
              </w:rPr>
              <w:t>Pending at planning stage</w:t>
            </w:r>
          </w:p>
        </w:tc>
      </w:tr>
      <w:tr>
        <w:tc>
          <w:tcPr>
            <w:tcW w:type="dxa" w:w="5040"/>
            <w:vAlign w:val="center"/>
            <w:shd w:fill="EEF5F6"/>
          </w:tcPr>
          <w:p>
            <w:pPr>
              <w:spacing w:after="20"/>
            </w:pPr>
            <w:r/>
            <w:r>
              <w:rPr>
                <w:rFonts w:ascii="Aptos" w:hAnsi="Aptos"/>
                <w:b w:val="0"/>
                <w:sz w:val="16"/>
              </w:rPr>
              <w:t>Backup coverage, job logs, retention and restore-test record</w:t>
            </w:r>
          </w:p>
        </w:tc>
        <w:tc>
          <w:tcPr>
            <w:tcW w:type="dxa" w:w="2376"/>
            <w:vAlign w:val="center"/>
            <w:shd w:fill="EEF5F6"/>
          </w:tcPr>
          <w:p>
            <w:pPr>
              <w:spacing w:after="20"/>
            </w:pPr>
            <w:r/>
            <w:r>
              <w:rPr>
                <w:rFonts w:ascii="Aptos" w:hAnsi="Aptos"/>
                <w:b w:val="0"/>
                <w:sz w:val="16"/>
              </w:rPr>
              <w:t>Backup owner</w:t>
            </w:r>
          </w:p>
        </w:tc>
        <w:tc>
          <w:tcPr>
            <w:tcW w:type="dxa" w:w="2736"/>
            <w:vAlign w:val="center"/>
            <w:shd w:fill="EEF5F6"/>
          </w:tcPr>
          <w:p>
            <w:pPr>
              <w:spacing w:after="20"/>
            </w:pPr>
            <w:r/>
            <w:r>
              <w:rPr>
                <w:rFonts w:ascii="Aptos" w:hAnsi="Aptos"/>
                <w:b w:val="0"/>
                <w:sz w:val="16"/>
              </w:rPr>
              <w:t>Pending at planning stage</w:t>
            </w:r>
          </w:p>
        </w:tc>
      </w:tr>
      <w:tr>
        <w:tc>
          <w:tcPr>
            <w:tcW w:type="dxa" w:w="5040"/>
            <w:vAlign w:val="center"/>
          </w:tcPr>
          <w:p>
            <w:pPr>
              <w:spacing w:after="20"/>
            </w:pPr>
            <w:r/>
            <w:r>
              <w:rPr>
                <w:rFonts w:ascii="Aptos" w:hAnsi="Aptos"/>
                <w:b w:val="0"/>
                <w:sz w:val="16"/>
              </w:rPr>
              <w:t>Logging sources, alert samples and incident-response plan</w:t>
            </w:r>
          </w:p>
        </w:tc>
        <w:tc>
          <w:tcPr>
            <w:tcW w:type="dxa" w:w="2376"/>
            <w:vAlign w:val="center"/>
          </w:tcPr>
          <w:p>
            <w:pPr>
              <w:spacing w:after="20"/>
            </w:pPr>
            <w:r/>
            <w:r>
              <w:rPr>
                <w:rFonts w:ascii="Aptos" w:hAnsi="Aptos"/>
                <w:b w:val="0"/>
                <w:sz w:val="16"/>
              </w:rPr>
              <w:t>Security/IT lead</w:t>
            </w:r>
          </w:p>
        </w:tc>
        <w:tc>
          <w:tcPr>
            <w:tcW w:type="dxa" w:w="2736"/>
            <w:vAlign w:val="center"/>
          </w:tcPr>
          <w:p>
            <w:pPr>
              <w:spacing w:after="20"/>
            </w:pPr>
            <w:r/>
            <w:r>
              <w:rPr>
                <w:rFonts w:ascii="Aptos" w:hAnsi="Aptos"/>
                <w:b w:val="0"/>
                <w:sz w:val="16"/>
              </w:rPr>
              <w:t>Pending at planning stage</w:t>
            </w:r>
          </w:p>
        </w:tc>
      </w:tr>
      <w:tr>
        <w:tc>
          <w:tcPr>
            <w:tcW w:type="dxa" w:w="5040"/>
            <w:vAlign w:val="center"/>
            <w:shd w:fill="EEF5F6"/>
          </w:tcPr>
          <w:p>
            <w:pPr>
              <w:spacing w:after="20"/>
            </w:pPr>
            <w:r/>
            <w:r>
              <w:rPr>
                <w:rFonts w:ascii="Aptos" w:hAnsi="Aptos"/>
                <w:b w:val="0"/>
                <w:sz w:val="16"/>
              </w:rPr>
              <w:t>Security training completion and reporting procedure</w:t>
            </w:r>
          </w:p>
        </w:tc>
        <w:tc>
          <w:tcPr>
            <w:tcW w:type="dxa" w:w="2376"/>
            <w:vAlign w:val="center"/>
            <w:shd w:fill="EEF5F6"/>
          </w:tcPr>
          <w:p>
            <w:pPr>
              <w:spacing w:after="20"/>
            </w:pPr>
            <w:r/>
            <w:r>
              <w:rPr>
                <w:rFonts w:ascii="Aptos" w:hAnsi="Aptos"/>
                <w:b w:val="0"/>
                <w:sz w:val="16"/>
              </w:rPr>
              <w:t>HR / IT</w:t>
            </w:r>
          </w:p>
        </w:tc>
        <w:tc>
          <w:tcPr>
            <w:tcW w:type="dxa" w:w="2736"/>
            <w:vAlign w:val="center"/>
            <w:shd w:fill="EEF5F6"/>
          </w:tcPr>
          <w:p>
            <w:pPr>
              <w:spacing w:after="20"/>
            </w:pPr>
            <w:r/>
            <w:r>
              <w:rPr>
                <w:rFonts w:ascii="Aptos" w:hAnsi="Aptos"/>
                <w:b w:val="0"/>
                <w:sz w:val="16"/>
              </w:rPr>
              <w:t>Pending at planning stage</w:t>
            </w:r>
          </w:p>
        </w:tc>
      </w:tr>
      <w:tr>
        <w:tc>
          <w:tcPr>
            <w:tcW w:type="dxa" w:w="5040"/>
            <w:vAlign w:val="center"/>
          </w:tcPr>
          <w:p>
            <w:pPr>
              <w:spacing w:after="20"/>
            </w:pPr>
            <w:r/>
            <w:r>
              <w:rPr>
                <w:rFonts w:ascii="Aptos" w:hAnsi="Aptos"/>
                <w:b w:val="0"/>
                <w:sz w:val="16"/>
              </w:rPr>
              <w:t>Relevant policies, exceptions and previous audit actions</w:t>
            </w:r>
          </w:p>
        </w:tc>
        <w:tc>
          <w:tcPr>
            <w:tcW w:type="dxa" w:w="2376"/>
            <w:vAlign w:val="center"/>
          </w:tcPr>
          <w:p>
            <w:pPr>
              <w:spacing w:after="20"/>
            </w:pPr>
            <w:r/>
            <w:r>
              <w:rPr>
                <w:rFonts w:ascii="Aptos" w:hAnsi="Aptos"/>
                <w:b w:val="0"/>
                <w:sz w:val="16"/>
              </w:rPr>
              <w:t>Control owners</w:t>
            </w:r>
          </w:p>
        </w:tc>
        <w:tc>
          <w:tcPr>
            <w:tcW w:type="dxa" w:w="2736"/>
            <w:vAlign w:val="center"/>
          </w:tcPr>
          <w:p>
            <w:pPr>
              <w:spacing w:after="20"/>
            </w:pPr>
            <w:r/>
            <w:r>
              <w:rPr>
                <w:rFonts w:ascii="Aptos" w:hAnsi="Aptos"/>
                <w:b w:val="0"/>
                <w:sz w:val="16"/>
              </w:rPr>
              <w:t>Pending at planning stage</w:t>
            </w:r>
          </w:p>
        </w:tc>
      </w:tr>
    </w:tbl>
    <w:p>
      <w:pPr>
        <w:spacing w:after="20"/>
      </w:pPr>
    </w:p>
    <w:p>
      <w:pPr>
        <w:pStyle w:val="Heading1"/>
      </w:pPr>
      <w:r>
        <w:t>Appendix B — Sample Remediation Tracker</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440"/>
            <w:vAlign w:val="center"/>
            <w:shd w:fill="12304A"/>
          </w:tcPr>
          <w:p>
            <w:pPr>
              <w:spacing w:after="20"/>
            </w:pPr>
            <w:r/>
            <w:r>
              <w:rPr>
                <w:rFonts w:ascii="Aptos" w:hAnsi="Aptos"/>
                <w:b/>
                <w:color w:val="FFFFFF"/>
                <w:sz w:val="17"/>
              </w:rPr>
              <w:t>Finding ID</w:t>
            </w:r>
          </w:p>
        </w:tc>
        <w:tc>
          <w:tcPr>
            <w:tcW w:type="dxa" w:w="1512"/>
            <w:vAlign w:val="center"/>
            <w:shd w:fill="12304A"/>
          </w:tcPr>
          <w:p>
            <w:pPr>
              <w:spacing w:after="20"/>
            </w:pPr>
            <w:r/>
            <w:r>
              <w:rPr>
                <w:rFonts w:ascii="Aptos" w:hAnsi="Aptos"/>
                <w:b/>
                <w:color w:val="FFFFFF"/>
                <w:sz w:val="17"/>
              </w:rPr>
              <w:t>Priority</w:t>
            </w:r>
          </w:p>
        </w:tc>
        <w:tc>
          <w:tcPr>
            <w:tcW w:type="dxa" w:w="3744"/>
            <w:vAlign w:val="center"/>
            <w:shd w:fill="12304A"/>
          </w:tcPr>
          <w:p>
            <w:pPr>
              <w:spacing w:after="20"/>
            </w:pPr>
            <w:r/>
            <w:r>
              <w:rPr>
                <w:rFonts w:ascii="Aptos" w:hAnsi="Aptos"/>
                <w:b/>
                <w:color w:val="FFFFFF"/>
                <w:sz w:val="17"/>
              </w:rPr>
              <w:t>Action / success measure</w:t>
            </w:r>
          </w:p>
        </w:tc>
        <w:tc>
          <w:tcPr>
            <w:tcW w:type="dxa" w:w="1440"/>
            <w:vAlign w:val="center"/>
            <w:shd w:fill="12304A"/>
          </w:tcPr>
          <w:p>
            <w:pPr>
              <w:spacing w:after="20"/>
            </w:pPr>
            <w:r/>
            <w:r>
              <w:rPr>
                <w:rFonts w:ascii="Aptos" w:hAnsi="Aptos"/>
                <w:b/>
                <w:color w:val="FFFFFF"/>
                <w:sz w:val="17"/>
              </w:rPr>
              <w:t>Owner</w:t>
            </w:r>
          </w:p>
        </w:tc>
        <w:tc>
          <w:tcPr>
            <w:tcW w:type="dxa" w:w="1080"/>
            <w:vAlign w:val="center"/>
            <w:shd w:fill="12304A"/>
          </w:tcPr>
          <w:p>
            <w:pPr>
              <w:spacing w:after="20"/>
            </w:pPr>
            <w:r/>
            <w:r>
              <w:rPr>
                <w:rFonts w:ascii="Aptos" w:hAnsi="Aptos"/>
                <w:b/>
                <w:color w:val="FFFFFF"/>
                <w:sz w:val="17"/>
              </w:rPr>
              <w:t>Target</w:t>
            </w:r>
          </w:p>
        </w:tc>
        <w:tc>
          <w:tcPr>
            <w:tcW w:type="dxa" w:w="1152"/>
            <w:vAlign w:val="center"/>
            <w:shd w:fill="12304A"/>
          </w:tcPr>
          <w:p>
            <w:pPr>
              <w:spacing w:after="20"/>
            </w:pPr>
            <w:r/>
            <w:r>
              <w:rPr>
                <w:rFonts w:ascii="Aptos" w:hAnsi="Aptos"/>
                <w:b/>
                <w:color w:val="FFFFFF"/>
                <w:sz w:val="17"/>
              </w:rPr>
              <w:t>Status</w:t>
            </w:r>
          </w:p>
        </w:tc>
      </w:tr>
      <w:tr>
        <w:tc>
          <w:tcPr>
            <w:tcW w:type="dxa" w:w="1440"/>
            <w:vAlign w:val="center"/>
          </w:tcPr>
          <w:p>
            <w:pPr>
              <w:spacing w:after="20"/>
            </w:pPr>
            <w:r/>
            <w:r>
              <w:rPr>
                <w:rFonts w:ascii="Aptos" w:hAnsi="Aptos"/>
                <w:b w:val="0"/>
                <w:sz w:val="16"/>
              </w:rPr>
              <w:t>Example IAM-01</w:t>
            </w:r>
          </w:p>
        </w:tc>
        <w:tc>
          <w:tcPr>
            <w:tcW w:type="dxa" w:w="1512"/>
            <w:vAlign w:val="center"/>
          </w:tcPr>
          <w:p>
            <w:pPr>
              <w:spacing w:after="20"/>
            </w:pPr>
            <w:r/>
            <w:r>
              <w:rPr>
                <w:rFonts w:ascii="Aptos" w:hAnsi="Aptos"/>
                <w:b w:val="0"/>
                <w:sz w:val="16"/>
              </w:rPr>
              <w:t>High (if verified)</w:t>
            </w:r>
          </w:p>
        </w:tc>
        <w:tc>
          <w:tcPr>
            <w:tcW w:type="dxa" w:w="3744"/>
            <w:vAlign w:val="center"/>
          </w:tcPr>
          <w:p>
            <w:pPr>
              <w:spacing w:after="20"/>
            </w:pPr>
            <w:r/>
            <w:r>
              <w:rPr>
                <w:rFonts w:ascii="Aptos" w:hAnsi="Aptos"/>
                <w:b w:val="0"/>
                <w:sz w:val="16"/>
              </w:rPr>
              <w:t>Enforce MFA for remaining privileged account; export confirms coverage.</w:t>
            </w:r>
          </w:p>
        </w:tc>
        <w:tc>
          <w:tcPr>
            <w:tcW w:type="dxa" w:w="1440"/>
            <w:vAlign w:val="center"/>
          </w:tcPr>
          <w:p>
            <w:pPr>
              <w:spacing w:after="20"/>
            </w:pPr>
            <w:r/>
            <w:r>
              <w:rPr>
                <w:rFonts w:ascii="Aptos" w:hAnsi="Aptos"/>
                <w:b w:val="0"/>
                <w:sz w:val="16"/>
              </w:rPr>
              <w:t>Identity admin</w:t>
            </w:r>
          </w:p>
        </w:tc>
        <w:tc>
          <w:tcPr>
            <w:tcW w:type="dxa" w:w="1080"/>
            <w:vAlign w:val="center"/>
          </w:tcPr>
          <w:p>
            <w:pPr>
              <w:spacing w:after="20"/>
            </w:pPr>
            <w:r/>
            <w:r>
              <w:rPr>
                <w:rFonts w:ascii="Aptos" w:hAnsi="Aptos"/>
                <w:b w:val="0"/>
                <w:sz w:val="16"/>
              </w:rPr>
              <w:t>30 days</w:t>
            </w:r>
          </w:p>
        </w:tc>
        <w:tc>
          <w:tcPr>
            <w:tcW w:type="dxa" w:w="1152"/>
            <w:vAlign w:val="center"/>
          </w:tcPr>
          <w:p>
            <w:pPr>
              <w:spacing w:after="20"/>
            </w:pPr>
            <w:r/>
            <w:r>
              <w:rPr>
                <w:rFonts w:ascii="Aptos" w:hAnsi="Aptos"/>
                <w:b w:val="0"/>
                <w:sz w:val="16"/>
              </w:rPr>
              <w:t>Illustrative</w:t>
            </w:r>
          </w:p>
        </w:tc>
      </w:tr>
      <w:tr>
        <w:tc>
          <w:tcPr>
            <w:tcW w:type="dxa" w:w="1440"/>
            <w:vAlign w:val="center"/>
            <w:shd w:fill="EEF5F6"/>
          </w:tcPr>
          <w:p>
            <w:pPr>
              <w:spacing w:after="20"/>
            </w:pPr>
            <w:r/>
            <w:r>
              <w:rPr>
                <w:rFonts w:ascii="Aptos" w:hAnsi="Aptos"/>
                <w:b w:val="0"/>
                <w:sz w:val="16"/>
              </w:rPr>
              <w:t>Example PAT-02</w:t>
            </w:r>
          </w:p>
        </w:tc>
        <w:tc>
          <w:tcPr>
            <w:tcW w:type="dxa" w:w="1512"/>
            <w:vAlign w:val="center"/>
            <w:shd w:fill="EEF5F6"/>
          </w:tcPr>
          <w:p>
            <w:pPr>
              <w:spacing w:after="20"/>
            </w:pPr>
            <w:r/>
            <w:r>
              <w:rPr>
                <w:rFonts w:ascii="Aptos" w:hAnsi="Aptos"/>
                <w:b w:val="0"/>
                <w:sz w:val="16"/>
              </w:rPr>
              <w:t>High (if verified)</w:t>
            </w:r>
          </w:p>
        </w:tc>
        <w:tc>
          <w:tcPr>
            <w:tcW w:type="dxa" w:w="3744"/>
            <w:vAlign w:val="center"/>
            <w:shd w:fill="EEF5F6"/>
          </w:tcPr>
          <w:p>
            <w:pPr>
              <w:spacing w:after="20"/>
            </w:pPr>
            <w:r/>
            <w:r>
              <w:rPr>
                <w:rFonts w:ascii="Aptos" w:hAnsi="Aptos"/>
                <w:b w:val="0"/>
                <w:sz w:val="16"/>
              </w:rPr>
              <w:t>Patch or mitigate overdue items; attach validation and ticket evidence.</w:t>
            </w:r>
          </w:p>
        </w:tc>
        <w:tc>
          <w:tcPr>
            <w:tcW w:type="dxa" w:w="1440"/>
            <w:vAlign w:val="center"/>
            <w:shd w:fill="EEF5F6"/>
          </w:tcPr>
          <w:p>
            <w:pPr>
              <w:spacing w:after="20"/>
            </w:pPr>
            <w:r/>
            <w:r>
              <w:rPr>
                <w:rFonts w:ascii="Aptos" w:hAnsi="Aptos"/>
                <w:b w:val="0"/>
                <w:sz w:val="16"/>
              </w:rPr>
              <w:t>IT lead</w:t>
            </w:r>
          </w:p>
        </w:tc>
        <w:tc>
          <w:tcPr>
            <w:tcW w:type="dxa" w:w="1080"/>
            <w:vAlign w:val="center"/>
            <w:shd w:fill="EEF5F6"/>
          </w:tcPr>
          <w:p>
            <w:pPr>
              <w:spacing w:after="20"/>
            </w:pPr>
            <w:r/>
            <w:r>
              <w:rPr>
                <w:rFonts w:ascii="Aptos" w:hAnsi="Aptos"/>
                <w:b w:val="0"/>
                <w:sz w:val="16"/>
              </w:rPr>
              <w:t>30 days</w:t>
            </w:r>
          </w:p>
        </w:tc>
        <w:tc>
          <w:tcPr>
            <w:tcW w:type="dxa" w:w="1152"/>
            <w:vAlign w:val="center"/>
            <w:shd w:fill="EEF5F6"/>
          </w:tcPr>
          <w:p>
            <w:pPr>
              <w:spacing w:after="20"/>
            </w:pPr>
            <w:r/>
            <w:r>
              <w:rPr>
                <w:rFonts w:ascii="Aptos" w:hAnsi="Aptos"/>
                <w:b w:val="0"/>
                <w:sz w:val="16"/>
              </w:rPr>
              <w:t>Illustrative</w:t>
            </w:r>
          </w:p>
        </w:tc>
      </w:tr>
      <w:tr>
        <w:tc>
          <w:tcPr>
            <w:tcW w:type="dxa" w:w="1440"/>
            <w:vAlign w:val="center"/>
          </w:tcPr>
          <w:p>
            <w:pPr>
              <w:spacing w:after="20"/>
            </w:pPr>
            <w:r/>
            <w:r>
              <w:rPr>
                <w:rFonts w:ascii="Aptos" w:hAnsi="Aptos"/>
                <w:b w:val="0"/>
                <w:sz w:val="16"/>
              </w:rPr>
              <w:t>Example BAK-01</w:t>
            </w:r>
          </w:p>
        </w:tc>
        <w:tc>
          <w:tcPr>
            <w:tcW w:type="dxa" w:w="1512"/>
            <w:vAlign w:val="center"/>
          </w:tcPr>
          <w:p>
            <w:pPr>
              <w:spacing w:after="20"/>
            </w:pPr>
            <w:r/>
            <w:r>
              <w:rPr>
                <w:rFonts w:ascii="Aptos" w:hAnsi="Aptos"/>
                <w:b w:val="0"/>
                <w:sz w:val="16"/>
              </w:rPr>
              <w:t>Medium/High after impact review</w:t>
            </w:r>
          </w:p>
        </w:tc>
        <w:tc>
          <w:tcPr>
            <w:tcW w:type="dxa" w:w="3744"/>
            <w:vAlign w:val="center"/>
          </w:tcPr>
          <w:p>
            <w:pPr>
              <w:spacing w:after="20"/>
            </w:pPr>
            <w:r/>
            <w:r>
              <w:rPr>
                <w:rFonts w:ascii="Aptos" w:hAnsi="Aptos"/>
                <w:b w:val="0"/>
                <w:sz w:val="16"/>
              </w:rPr>
              <w:t>Resolve failed jobs and complete documented restore test.</w:t>
            </w:r>
          </w:p>
        </w:tc>
        <w:tc>
          <w:tcPr>
            <w:tcW w:type="dxa" w:w="1440"/>
            <w:vAlign w:val="center"/>
          </w:tcPr>
          <w:p>
            <w:pPr>
              <w:spacing w:after="20"/>
            </w:pPr>
            <w:r/>
            <w:r>
              <w:rPr>
                <w:rFonts w:ascii="Aptos" w:hAnsi="Aptos"/>
                <w:b w:val="0"/>
                <w:sz w:val="16"/>
              </w:rPr>
              <w:t>Backup owner</w:t>
            </w:r>
          </w:p>
        </w:tc>
        <w:tc>
          <w:tcPr>
            <w:tcW w:type="dxa" w:w="1080"/>
            <w:vAlign w:val="center"/>
          </w:tcPr>
          <w:p>
            <w:pPr>
              <w:spacing w:after="20"/>
            </w:pPr>
            <w:r/>
            <w:r>
              <w:rPr>
                <w:rFonts w:ascii="Aptos" w:hAnsi="Aptos"/>
                <w:b w:val="0"/>
                <w:sz w:val="16"/>
              </w:rPr>
              <w:t>30–60 days</w:t>
            </w:r>
          </w:p>
        </w:tc>
        <w:tc>
          <w:tcPr>
            <w:tcW w:type="dxa" w:w="1152"/>
            <w:vAlign w:val="center"/>
          </w:tcPr>
          <w:p>
            <w:pPr>
              <w:spacing w:after="20"/>
            </w:pPr>
            <w:r/>
            <w:r>
              <w:rPr>
                <w:rFonts w:ascii="Aptos" w:hAnsi="Aptos"/>
                <w:b w:val="0"/>
                <w:sz w:val="16"/>
              </w:rPr>
              <w:t>Illustrative</w:t>
            </w:r>
          </w:p>
        </w:tc>
      </w:tr>
    </w:tbl>
    <w:p>
      <w:pPr>
        <w:spacing w:after="20"/>
      </w:pPr>
    </w:p>
    <w:p/>
    <w:p>
      <w:pPr>
        <w:jc w:val="center"/>
      </w:pPr>
      <w:r>
        <w:rPr>
          <w:b/>
          <w:color w:val="007F86"/>
          <w:sz w:val="20"/>
        </w:rPr>
        <w:t>END OF REPORT</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Prepared by Kashish Sharma  •  Hypothetical organization and illustrative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7F86"/>
        <w:sz w:val="16"/>
      </w:rPr>
      <w:t>CYBERSECURITY AUDIT PLAN  |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7F8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D765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