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007F86"/>
          <w:sz w:val="24"/>
        </w:rPr>
        <w:t>WEEK 3 TASK</w:t>
      </w:r>
    </w:p>
    <w:p>
      <w:pPr>
        <w:pStyle w:val="Title"/>
        <w:jc w:val="center"/>
      </w:pPr>
      <w:r>
        <w:t>Integrating JavaScript for</w:t>
        <w:br/>
        <w:t>Interactive User Experience</w:t>
      </w:r>
    </w:p>
    <w:p>
      <w:pPr>
        <w:jc w:val="center"/>
      </w:pPr>
      <w:r>
        <w:rPr>
          <w:sz w:val="28"/>
        </w:rPr>
        <w:t>InternConnect — Internship Portal Demo</w:t>
      </w:r>
    </w:p>
    <w:tbl>
      <w:tblPr>
        <w:tblStyle w:val="TableGrid"/>
        <w:tblW w:type="auto" w:w="0"/>
        <w:tblLook w:firstColumn="1" w:firstRow="1" w:lastColumn="0" w:lastRow="0" w:noHBand="0" w:noVBand="1" w:val="04A0"/>
      </w:tblPr>
      <w:tblGrid>
        <w:gridCol w:w="4968"/>
        <w:gridCol w:w="4968"/>
      </w:tblGrid>
      <w:tr>
        <w:tc>
          <w:tcPr>
            <w:tcW w:type="dxa" w:w="4968"/>
            <w:shd w:fill="15314B"/>
          </w:tcPr>
          <w:p>
            <w:r>
              <w:rPr>
                <w:b/>
                <w:color w:val="FFFFFF"/>
                <w:sz w:val="18"/>
              </w:rPr>
              <w:t>REPORT DETAILS</w:t>
            </w:r>
          </w:p>
        </w:tc>
        <w:tc>
          <w:tcPr>
            <w:tcW w:type="dxa" w:w="4968"/>
            <w:shd w:fill="15314B"/>
          </w:tcPr>
          <w:p>
            <w:r>
              <w:rPr>
                <w:b/>
                <w:color w:val="FFFFFF"/>
                <w:sz w:val="18"/>
              </w:rPr>
              <w:t>INFORMATION</w:t>
            </w:r>
          </w:p>
        </w:tc>
      </w:tr>
      <w:tr>
        <w:tc>
          <w:tcPr>
            <w:tcW w:type="dxa" w:w="4968"/>
          </w:tcPr>
          <w:p>
            <w:pPr>
              <w:spacing w:after="40"/>
            </w:pPr>
            <w:r>
              <w:rPr>
                <w:sz w:val="18"/>
              </w:rPr>
              <w:t>Student</w:t>
            </w:r>
          </w:p>
        </w:tc>
        <w:tc>
          <w:tcPr>
            <w:tcW w:type="dxa" w:w="4968"/>
          </w:tcPr>
          <w:p>
            <w:pPr>
              <w:spacing w:after="40"/>
            </w:pPr>
            <w:r>
              <w:rPr>
                <w:sz w:val="18"/>
              </w:rPr>
              <w:t>Kashish Sharma</w:t>
            </w:r>
          </w:p>
        </w:tc>
      </w:tr>
      <w:tr>
        <w:tc>
          <w:tcPr>
            <w:tcW w:type="dxa" w:w="4968"/>
            <w:shd w:fill="EEF5F6"/>
          </w:tcPr>
          <w:p>
            <w:pPr>
              <w:spacing w:after="40"/>
            </w:pPr>
            <w:r>
              <w:rPr>
                <w:sz w:val="18"/>
              </w:rPr>
              <w:t>Task</w:t>
            </w:r>
          </w:p>
        </w:tc>
        <w:tc>
          <w:tcPr>
            <w:tcW w:type="dxa" w:w="4968"/>
            <w:shd w:fill="EEF5F6"/>
          </w:tcPr>
          <w:p>
            <w:pPr>
              <w:spacing w:after="40"/>
            </w:pPr>
            <w:r>
              <w:rPr>
                <w:sz w:val="18"/>
              </w:rPr>
              <w:t>Week 3: Integrating JavaScript for Interactive User Experience</w:t>
            </w:r>
          </w:p>
        </w:tc>
      </w:tr>
      <w:tr>
        <w:tc>
          <w:tcPr>
            <w:tcW w:type="dxa" w:w="4968"/>
          </w:tcPr>
          <w:p>
            <w:pPr>
              <w:spacing w:after="40"/>
            </w:pPr>
            <w:r>
              <w:rPr>
                <w:sz w:val="18"/>
              </w:rPr>
              <w:t>Technologies</w:t>
            </w:r>
          </w:p>
        </w:tc>
        <w:tc>
          <w:tcPr>
            <w:tcW w:type="dxa" w:w="4968"/>
          </w:tcPr>
          <w:p>
            <w:pPr>
              <w:spacing w:after="40"/>
            </w:pPr>
            <w:r>
              <w:rPr>
                <w:sz w:val="18"/>
              </w:rPr>
              <w:t>HTML5, CSS3, JavaScript</w:t>
            </w:r>
          </w:p>
        </w:tc>
      </w:tr>
      <w:tr>
        <w:tc>
          <w:tcPr>
            <w:tcW w:type="dxa" w:w="4968"/>
            <w:shd w:fill="EEF5F6"/>
          </w:tcPr>
          <w:p>
            <w:pPr>
              <w:spacing w:after="40"/>
            </w:pPr>
            <w:r>
              <w:rPr>
                <w:sz w:val="18"/>
              </w:rPr>
              <w:t>Tool</w:t>
            </w:r>
          </w:p>
        </w:tc>
        <w:tc>
          <w:tcPr>
            <w:tcW w:type="dxa" w:w="4968"/>
            <w:shd w:fill="EEF5F6"/>
          </w:tcPr>
          <w:p>
            <w:pPr>
              <w:spacing w:after="40"/>
            </w:pPr>
            <w:r>
              <w:rPr>
                <w:sz w:val="18"/>
              </w:rPr>
              <w:t>Visual Studio Code</w:t>
            </w:r>
          </w:p>
        </w:tc>
      </w:tr>
      <w:tr>
        <w:tc>
          <w:tcPr>
            <w:tcW w:type="dxa" w:w="4968"/>
          </w:tcPr>
          <w:p>
            <w:pPr>
              <w:spacing w:after="40"/>
            </w:pPr>
            <w:r>
              <w:rPr>
                <w:sz w:val="18"/>
              </w:rPr>
              <w:t>Project</w:t>
            </w:r>
          </w:p>
        </w:tc>
        <w:tc>
          <w:tcPr>
            <w:tcW w:type="dxa" w:w="4968"/>
          </w:tcPr>
          <w:p>
            <w:pPr>
              <w:spacing w:after="40"/>
            </w:pPr>
            <w:r>
              <w:rPr>
                <w:sz w:val="18"/>
              </w:rPr>
              <w:t>Responsive internship portal demo</w:t>
            </w:r>
          </w:p>
        </w:tc>
      </w:tr>
      <w:tr>
        <w:tc>
          <w:tcPr>
            <w:tcW w:type="dxa" w:w="4968"/>
            <w:shd w:fill="EEF5F6"/>
          </w:tcPr>
          <w:p>
            <w:pPr>
              <w:spacing w:after="40"/>
            </w:pPr>
            <w:r>
              <w:rPr>
                <w:sz w:val="18"/>
              </w:rPr>
              <w:t>Version</w:t>
            </w:r>
          </w:p>
        </w:tc>
        <w:tc>
          <w:tcPr>
            <w:tcW w:type="dxa" w:w="4968"/>
            <w:shd w:fill="EEF5F6"/>
          </w:tcPr>
          <w:p>
            <w:pPr>
              <w:spacing w:after="40"/>
            </w:pPr>
            <w:r>
              <w:rPr>
                <w:sz w:val="18"/>
              </w:rPr>
              <w:t>1.0 | 24 October 2026</w:t>
            </w:r>
          </w:p>
        </w:tc>
      </w:tr>
    </w:tbl>
    <w:p/>
    <w:p>
      <w:pPr>
        <w:jc w:val="center"/>
      </w:pPr>
      <w:r>
        <w:rPr>
          <w:b/>
          <w:color w:val="D76532"/>
        </w:rPr>
        <w:t>PROJECT NOTE</w:t>
      </w:r>
    </w:p>
    <w:p>
      <w:pPr>
        <w:jc w:val="center"/>
      </w:pPr>
      <w:r>
        <w:t>This is a front-end learning demo. Apply buttons and the contact form demonstrate browser-side interactions only; no real applications or messages are sent.</w:t>
      </w:r>
    </w:p>
    <w:p>
      <w:r>
        <w:br w:type="page"/>
      </w:r>
    </w:p>
    <w:p>
      <w:pPr>
        <w:pStyle w:val="Heading1"/>
      </w:pPr>
      <w:r>
        <w:t>1. Objective</w:t>
      </w:r>
    </w:p>
    <w:p>
      <w:r>
        <w:t>The objective of this task is to improve a static webpage by adding interactive features with plain JavaScript. The InternConnect demo provides sample internship listings and common user-interface interactions. HTML defines the structure, CSS controls visual design and responsive behavior, and JavaScript responds to user actions and updates the Document Object Model (DOM).</w:t>
      </w:r>
    </w:p>
    <w:p>
      <w:pPr>
        <w:pStyle w:val="Heading1"/>
      </w:pPr>
      <w:r>
        <w:t>2. Project Structure</w:t>
      </w:r>
    </w:p>
    <w:tbl>
      <w:tblPr>
        <w:tblStyle w:val="TableGrid"/>
        <w:tblW w:type="auto" w:w="0"/>
        <w:tblLook w:firstColumn="1" w:firstRow="1" w:lastColumn="0" w:lastRow="0" w:noHBand="0" w:noVBand="1" w:val="04A0"/>
      </w:tblPr>
      <w:tblGrid>
        <w:gridCol w:w="4968"/>
        <w:gridCol w:w="4968"/>
      </w:tblGrid>
      <w:tr>
        <w:tc>
          <w:tcPr>
            <w:tcW w:type="dxa" w:w="4968"/>
            <w:shd w:fill="15314B"/>
          </w:tcPr>
          <w:p>
            <w:r>
              <w:rPr>
                <w:b/>
                <w:color w:val="FFFFFF"/>
                <w:sz w:val="18"/>
              </w:rPr>
              <w:t>File</w:t>
            </w:r>
          </w:p>
        </w:tc>
        <w:tc>
          <w:tcPr>
            <w:tcW w:type="dxa" w:w="4968"/>
            <w:shd w:fill="15314B"/>
          </w:tcPr>
          <w:p>
            <w:r>
              <w:rPr>
                <w:b/>
                <w:color w:val="FFFFFF"/>
                <w:sz w:val="18"/>
              </w:rPr>
              <w:t>Purpose</w:t>
            </w:r>
          </w:p>
        </w:tc>
      </w:tr>
      <w:tr>
        <w:tc>
          <w:tcPr>
            <w:tcW w:type="dxa" w:w="4968"/>
          </w:tcPr>
          <w:p>
            <w:pPr>
              <w:spacing w:after="40"/>
            </w:pPr>
            <w:r>
              <w:rPr>
                <w:sz w:val="18"/>
              </w:rPr>
              <w:t>index.html</w:t>
            </w:r>
          </w:p>
        </w:tc>
        <w:tc>
          <w:tcPr>
            <w:tcW w:type="dxa" w:w="4968"/>
          </w:tcPr>
          <w:p>
            <w:pPr>
              <w:spacing w:after="40"/>
            </w:pPr>
            <w:r>
              <w:rPr>
                <w:sz w:val="18"/>
              </w:rPr>
              <w:t>Semantic webpage sections, navigation, internship cards and contact form.</w:t>
            </w:r>
          </w:p>
        </w:tc>
      </w:tr>
      <w:tr>
        <w:tc>
          <w:tcPr>
            <w:tcW w:type="dxa" w:w="4968"/>
            <w:shd w:fill="EEF5F6"/>
          </w:tcPr>
          <w:p>
            <w:pPr>
              <w:spacing w:after="40"/>
            </w:pPr>
            <w:r>
              <w:rPr>
                <w:sz w:val="18"/>
              </w:rPr>
              <w:t>styles.css</w:t>
            </w:r>
          </w:p>
        </w:tc>
        <w:tc>
          <w:tcPr>
            <w:tcW w:type="dxa" w:w="4968"/>
            <w:shd w:fill="EEF5F6"/>
          </w:tcPr>
          <w:p>
            <w:pPr>
              <w:spacing w:after="40"/>
            </w:pPr>
            <w:r>
              <w:rPr>
                <w:sz w:val="18"/>
              </w:rPr>
              <w:t>Colors, spacing, cards, focus styles, dark-theme variables and responsive media queries.</w:t>
            </w:r>
          </w:p>
        </w:tc>
      </w:tr>
      <w:tr>
        <w:tc>
          <w:tcPr>
            <w:tcW w:type="dxa" w:w="4968"/>
          </w:tcPr>
          <w:p>
            <w:pPr>
              <w:spacing w:after="40"/>
            </w:pPr>
            <w:r>
              <w:rPr>
                <w:sz w:val="18"/>
              </w:rPr>
              <w:t>script.js</w:t>
            </w:r>
          </w:p>
        </w:tc>
        <w:tc>
          <w:tcPr>
            <w:tcW w:type="dxa" w:w="4968"/>
          </w:tcPr>
          <w:p>
            <w:pPr>
              <w:spacing w:after="40"/>
            </w:pPr>
            <w:r>
              <w:rPr>
                <w:sz w:val="18"/>
              </w:rPr>
              <w:t>Event listeners, live filtering, theme switching, demo apply confirmation and form validation.</w:t>
            </w:r>
          </w:p>
        </w:tc>
      </w:tr>
      <w:tr>
        <w:tc>
          <w:tcPr>
            <w:tcW w:type="dxa" w:w="4968"/>
            <w:shd w:fill="EEF5F6"/>
          </w:tcPr>
          <w:p>
            <w:pPr>
              <w:spacing w:after="40"/>
            </w:pPr>
            <w:r>
              <w:rPr>
                <w:sz w:val="18"/>
              </w:rPr>
              <w:t>README.md</w:t>
            </w:r>
          </w:p>
        </w:tc>
        <w:tc>
          <w:tcPr>
            <w:tcW w:type="dxa" w:w="4968"/>
            <w:shd w:fill="EEF5F6"/>
          </w:tcPr>
          <w:p>
            <w:pPr>
              <w:spacing w:after="40"/>
            </w:pPr>
            <w:r>
              <w:rPr>
                <w:sz w:val="18"/>
              </w:rPr>
              <w:t>Instructions for opening and testing the project in Visual Studio Code.</w:t>
            </w:r>
          </w:p>
        </w:tc>
      </w:tr>
    </w:tbl>
    <w:p/>
    <w:p>
      <w:pPr>
        <w:pStyle w:val="Heading1"/>
      </w:pPr>
      <w:r>
        <w:t>3. Interactive Features</w:t>
      </w:r>
    </w:p>
    <w:p>
      <w:pPr>
        <w:pStyle w:val="ListBullet"/>
        <w:spacing w:after="60"/>
      </w:pPr>
      <w:r>
        <w:t>Responsive navigation menu opens and closes on small screens and updates its expanded state.</w:t>
      </w:r>
    </w:p>
    <w:p>
      <w:pPr>
        <w:pStyle w:val="ListBullet"/>
        <w:spacing w:after="60"/>
      </w:pPr>
      <w:r>
        <w:t>Dark/light mode changes the page theme and saves the selected preference in browser localStorage.</w:t>
      </w:r>
    </w:p>
    <w:p>
      <w:pPr>
        <w:pStyle w:val="ListBullet"/>
        <w:spacing w:after="60"/>
      </w:pPr>
      <w:r>
        <w:t>Live search filters internship cards by role title and keywords.</w:t>
      </w:r>
    </w:p>
    <w:p>
      <w:pPr>
        <w:pStyle w:val="ListBullet"/>
        <w:spacing w:after="60"/>
      </w:pPr>
      <w:r>
        <w:t>Category dropdown filters Development, Design and Data roles; both filters work together.</w:t>
      </w:r>
    </w:p>
    <w:p>
      <w:pPr>
        <w:pStyle w:val="ListBullet"/>
        <w:spacing w:after="60"/>
      </w:pPr>
      <w:r>
        <w:t>Result count updates automatically and an empty-state message appears when no role matches.</w:t>
      </w:r>
    </w:p>
    <w:p>
      <w:pPr>
        <w:pStyle w:val="ListBullet"/>
        <w:spacing w:after="60"/>
      </w:pPr>
      <w:r>
        <w:t>Apply now buttons change to Selected and show a confirmation toast. This is a demo action only.</w:t>
      </w:r>
    </w:p>
    <w:p>
      <w:pPr>
        <w:pStyle w:val="ListBullet"/>
        <w:spacing w:after="60"/>
      </w:pPr>
      <w:r>
        <w:t>Contact form validates name length, email format and message length, then shows field-level feedback.</w:t>
      </w:r>
    </w:p>
    <w:p>
      <w:pPr>
        <w:pStyle w:val="ListBullet"/>
        <w:spacing w:after="60"/>
      </w:pPr>
      <w:r>
        <w:t>The footer year is inserted dynamically from the browser date.</w:t>
      </w:r>
    </w:p>
    <w:p>
      <w:pPr>
        <w:pStyle w:val="Heading1"/>
      </w:pPr>
      <w:r>
        <w:t>4. Implementation Method</w:t>
      </w:r>
    </w:p>
    <w:p>
      <w:r>
        <w:t>The page was divided into a header, hero section, opportunity cards, how-it-works section and contact form. Each interactive element has an ID or class that JavaScript can select. Event listeners respond to menu clicks, theme changes, typing, category changes, apply-button clicks and form submission. A single filtering function evaluates both the search term and selected category before updating card visibility and the result count. The form submit handler prevents a page reload, checks the fields and displays useful messages. CSS media queries adapt the navigation and card grid to narrow screens.</w:t>
      </w:r>
    </w:p>
    <w:p>
      <w:r>
        <w:t>The JavaScript file is included with the defer attribute so the browser can parse the HTML before executing the script. The theme preference is saved locally in the browser. A production website would need a secure backend, server-side validation, privacy protections and real APIs before processing applications or contact messages.</w:t>
      </w:r>
    </w:p>
    <w:p>
      <w:pPr>
        <w:pStyle w:val="Heading1"/>
      </w:pPr>
      <w:r>
        <w:t>5. Testing Plan and Expected Results</w:t>
      </w:r>
    </w:p>
    <w:tbl>
      <w:tblPr>
        <w:tblStyle w:val="TableGrid"/>
        <w:tblW w:type="auto" w:w="0"/>
        <w:tblLook w:firstColumn="1" w:firstRow="1" w:lastColumn="0" w:lastRow="0" w:noHBand="0" w:noVBand="1" w:val="04A0"/>
      </w:tblPr>
      <w:tblGrid>
        <w:gridCol w:w="3312"/>
        <w:gridCol w:w="3312"/>
        <w:gridCol w:w="3312"/>
      </w:tblGrid>
      <w:tr>
        <w:tc>
          <w:tcPr>
            <w:tcW w:type="dxa" w:w="3312"/>
            <w:shd w:fill="15314B"/>
          </w:tcPr>
          <w:p>
            <w:r>
              <w:rPr>
                <w:b/>
                <w:color w:val="FFFFFF"/>
                <w:sz w:val="18"/>
              </w:rPr>
              <w:t>Test</w:t>
            </w:r>
          </w:p>
        </w:tc>
        <w:tc>
          <w:tcPr>
            <w:tcW w:type="dxa" w:w="3312"/>
            <w:shd w:fill="15314B"/>
          </w:tcPr>
          <w:p>
            <w:r>
              <w:rPr>
                <w:b/>
                <w:color w:val="FFFFFF"/>
                <w:sz w:val="18"/>
              </w:rPr>
              <w:t>Action</w:t>
            </w:r>
          </w:p>
        </w:tc>
        <w:tc>
          <w:tcPr>
            <w:tcW w:type="dxa" w:w="3312"/>
            <w:shd w:fill="15314B"/>
          </w:tcPr>
          <w:p>
            <w:r>
              <w:rPr>
                <w:b/>
                <w:color w:val="FFFFFF"/>
                <w:sz w:val="18"/>
              </w:rPr>
              <w:t>Expected result</w:t>
            </w:r>
          </w:p>
        </w:tc>
      </w:tr>
      <w:tr>
        <w:tc>
          <w:tcPr>
            <w:tcW w:type="dxa" w:w="3312"/>
          </w:tcPr>
          <w:p>
            <w:pPr>
              <w:spacing w:after="40"/>
            </w:pPr>
            <w:r>
              <w:rPr>
                <w:sz w:val="18"/>
              </w:rPr>
              <w:t>Navigation</w:t>
            </w:r>
          </w:p>
        </w:tc>
        <w:tc>
          <w:tcPr>
            <w:tcW w:type="dxa" w:w="3312"/>
          </w:tcPr>
          <w:p>
            <w:pPr>
              <w:spacing w:after="40"/>
            </w:pPr>
            <w:r>
              <w:rPr>
                <w:sz w:val="18"/>
              </w:rPr>
              <w:t>Click menu on mobile width</w:t>
            </w:r>
          </w:p>
        </w:tc>
        <w:tc>
          <w:tcPr>
            <w:tcW w:type="dxa" w:w="3312"/>
          </w:tcPr>
          <w:p>
            <w:pPr>
              <w:spacing w:after="40"/>
            </w:pPr>
            <w:r>
              <w:rPr>
                <w:sz w:val="18"/>
              </w:rPr>
              <w:t>Menu opens/closes and state updates.</w:t>
            </w:r>
          </w:p>
        </w:tc>
      </w:tr>
      <w:tr>
        <w:tc>
          <w:tcPr>
            <w:tcW w:type="dxa" w:w="3312"/>
            <w:shd w:fill="EEF5F6"/>
          </w:tcPr>
          <w:p>
            <w:pPr>
              <w:spacing w:after="40"/>
            </w:pPr>
            <w:r>
              <w:rPr>
                <w:sz w:val="18"/>
              </w:rPr>
              <w:t>Theme</w:t>
            </w:r>
          </w:p>
        </w:tc>
        <w:tc>
          <w:tcPr>
            <w:tcW w:type="dxa" w:w="3312"/>
            <w:shd w:fill="EEF5F6"/>
          </w:tcPr>
          <w:p>
            <w:pPr>
              <w:spacing w:after="40"/>
            </w:pPr>
            <w:r>
              <w:rPr>
                <w:sz w:val="18"/>
              </w:rPr>
              <w:t>Click Dark mode / Light mode</w:t>
            </w:r>
          </w:p>
        </w:tc>
        <w:tc>
          <w:tcPr>
            <w:tcW w:type="dxa" w:w="3312"/>
            <w:shd w:fill="EEF5F6"/>
          </w:tcPr>
          <w:p>
            <w:pPr>
              <w:spacing w:after="40"/>
            </w:pPr>
            <w:r>
              <w:rPr>
                <w:sz w:val="18"/>
              </w:rPr>
              <w:t>Colors change; preference remains after refresh.</w:t>
            </w:r>
          </w:p>
        </w:tc>
      </w:tr>
      <w:tr>
        <w:tc>
          <w:tcPr>
            <w:tcW w:type="dxa" w:w="3312"/>
          </w:tcPr>
          <w:p>
            <w:pPr>
              <w:spacing w:after="40"/>
            </w:pPr>
            <w:r>
              <w:rPr>
                <w:sz w:val="18"/>
              </w:rPr>
              <w:t>Search</w:t>
            </w:r>
          </w:p>
        </w:tc>
        <w:tc>
          <w:tcPr>
            <w:tcW w:type="dxa" w:w="3312"/>
          </w:tcPr>
          <w:p>
            <w:pPr>
              <w:spacing w:after="40"/>
            </w:pPr>
            <w:r>
              <w:rPr>
                <w:sz w:val="18"/>
              </w:rPr>
              <w:t>Search for JavaScript</w:t>
            </w:r>
          </w:p>
        </w:tc>
        <w:tc>
          <w:tcPr>
            <w:tcW w:type="dxa" w:w="3312"/>
          </w:tcPr>
          <w:p>
            <w:pPr>
              <w:spacing w:after="40"/>
            </w:pPr>
            <w:r>
              <w:rPr>
                <w:sz w:val="18"/>
              </w:rPr>
              <w:t>Frontend Web Intern remains visible.</w:t>
            </w:r>
          </w:p>
        </w:tc>
      </w:tr>
      <w:tr>
        <w:tc>
          <w:tcPr>
            <w:tcW w:type="dxa" w:w="3312"/>
            <w:shd w:fill="EEF5F6"/>
          </w:tcPr>
          <w:p>
            <w:pPr>
              <w:spacing w:after="40"/>
            </w:pPr>
            <w:r>
              <w:rPr>
                <w:sz w:val="18"/>
              </w:rPr>
              <w:t>Category</w:t>
            </w:r>
          </w:p>
        </w:tc>
        <w:tc>
          <w:tcPr>
            <w:tcW w:type="dxa" w:w="3312"/>
            <w:shd w:fill="EEF5F6"/>
          </w:tcPr>
          <w:p>
            <w:pPr>
              <w:spacing w:after="40"/>
            </w:pPr>
            <w:r>
              <w:rPr>
                <w:sz w:val="18"/>
              </w:rPr>
              <w:t>Choose Data</w:t>
            </w:r>
          </w:p>
        </w:tc>
        <w:tc>
          <w:tcPr>
            <w:tcW w:type="dxa" w:w="3312"/>
            <w:shd w:fill="EEF5F6"/>
          </w:tcPr>
          <w:p>
            <w:pPr>
              <w:spacing w:after="40"/>
            </w:pPr>
            <w:r>
              <w:rPr>
                <w:sz w:val="18"/>
              </w:rPr>
              <w:t>Only Data Analyst Intern appears unless search narrows further.</w:t>
            </w:r>
          </w:p>
        </w:tc>
      </w:tr>
      <w:tr>
        <w:tc>
          <w:tcPr>
            <w:tcW w:type="dxa" w:w="3312"/>
          </w:tcPr>
          <w:p>
            <w:pPr>
              <w:spacing w:after="40"/>
            </w:pPr>
            <w:r>
              <w:rPr>
                <w:sz w:val="18"/>
              </w:rPr>
              <w:t>No matches</w:t>
            </w:r>
          </w:p>
        </w:tc>
        <w:tc>
          <w:tcPr>
            <w:tcW w:type="dxa" w:w="3312"/>
          </w:tcPr>
          <w:p>
            <w:pPr>
              <w:spacing w:after="40"/>
            </w:pPr>
            <w:r>
              <w:rPr>
                <w:sz w:val="18"/>
              </w:rPr>
              <w:t>Search a nonexistent word</w:t>
            </w:r>
          </w:p>
        </w:tc>
        <w:tc>
          <w:tcPr>
            <w:tcW w:type="dxa" w:w="3312"/>
          </w:tcPr>
          <w:p>
            <w:pPr>
              <w:spacing w:after="40"/>
            </w:pPr>
            <w:r>
              <w:rPr>
                <w:sz w:val="18"/>
              </w:rPr>
              <w:t>Count is zero and empty message appears.</w:t>
            </w:r>
          </w:p>
        </w:tc>
      </w:tr>
      <w:tr>
        <w:tc>
          <w:tcPr>
            <w:tcW w:type="dxa" w:w="3312"/>
            <w:shd w:fill="EEF5F6"/>
          </w:tcPr>
          <w:p>
            <w:pPr>
              <w:spacing w:after="40"/>
            </w:pPr>
            <w:r>
              <w:rPr>
                <w:sz w:val="18"/>
              </w:rPr>
              <w:t>Apply</w:t>
            </w:r>
          </w:p>
        </w:tc>
        <w:tc>
          <w:tcPr>
            <w:tcW w:type="dxa" w:w="3312"/>
            <w:shd w:fill="EEF5F6"/>
          </w:tcPr>
          <w:p>
            <w:pPr>
              <w:spacing w:after="40"/>
            </w:pPr>
            <w:r>
              <w:rPr>
                <w:sz w:val="18"/>
              </w:rPr>
              <w:t>Click Apply now</w:t>
            </w:r>
          </w:p>
        </w:tc>
        <w:tc>
          <w:tcPr>
            <w:tcW w:type="dxa" w:w="3312"/>
            <w:shd w:fill="EEF5F6"/>
          </w:tcPr>
          <w:p>
            <w:pPr>
              <w:spacing w:after="40"/>
            </w:pPr>
            <w:r>
              <w:rPr>
                <w:sz w:val="18"/>
              </w:rPr>
              <w:t>Button changes to Selected and demo toast appears.</w:t>
            </w:r>
          </w:p>
        </w:tc>
      </w:tr>
      <w:tr>
        <w:tc>
          <w:tcPr>
            <w:tcW w:type="dxa" w:w="3312"/>
          </w:tcPr>
          <w:p>
            <w:pPr>
              <w:spacing w:after="40"/>
            </w:pPr>
            <w:r>
              <w:rPr>
                <w:sz w:val="18"/>
              </w:rPr>
              <w:t>Invalid form</w:t>
            </w:r>
          </w:p>
        </w:tc>
        <w:tc>
          <w:tcPr>
            <w:tcW w:type="dxa" w:w="3312"/>
          </w:tcPr>
          <w:p>
            <w:pPr>
              <w:spacing w:after="40"/>
            </w:pPr>
            <w:r>
              <w:rPr>
                <w:sz w:val="18"/>
              </w:rPr>
              <w:t>Submit blank or invalid fields</w:t>
            </w:r>
          </w:p>
        </w:tc>
        <w:tc>
          <w:tcPr>
            <w:tcW w:type="dxa" w:w="3312"/>
          </w:tcPr>
          <w:p>
            <w:pPr>
              <w:spacing w:after="40"/>
            </w:pPr>
            <w:r>
              <w:rPr>
                <w:sz w:val="18"/>
              </w:rPr>
              <w:t>Field-specific validation messages appear.</w:t>
            </w:r>
          </w:p>
        </w:tc>
      </w:tr>
      <w:tr>
        <w:tc>
          <w:tcPr>
            <w:tcW w:type="dxa" w:w="3312"/>
            <w:shd w:fill="EEF5F6"/>
          </w:tcPr>
          <w:p>
            <w:pPr>
              <w:spacing w:after="40"/>
            </w:pPr>
            <w:r>
              <w:rPr>
                <w:sz w:val="18"/>
              </w:rPr>
              <w:t>Valid form</w:t>
            </w:r>
          </w:p>
        </w:tc>
        <w:tc>
          <w:tcPr>
            <w:tcW w:type="dxa" w:w="3312"/>
            <w:shd w:fill="EEF5F6"/>
          </w:tcPr>
          <w:p>
            <w:pPr>
              <w:spacing w:after="40"/>
            </w:pPr>
            <w:r>
              <w:rPr>
                <w:sz w:val="18"/>
              </w:rPr>
              <w:t>Enter valid name, email and message</w:t>
            </w:r>
          </w:p>
        </w:tc>
        <w:tc>
          <w:tcPr>
            <w:tcW w:type="dxa" w:w="3312"/>
            <w:shd w:fill="EEF5F6"/>
          </w:tcPr>
          <w:p>
            <w:pPr>
              <w:spacing w:after="40"/>
            </w:pPr>
            <w:r>
              <w:rPr>
                <w:sz w:val="18"/>
              </w:rPr>
              <w:t>Success message appears; no data is transmitted.</w:t>
            </w:r>
          </w:p>
        </w:tc>
      </w:tr>
    </w:tbl>
    <w:p/>
    <w:p>
      <w:pPr>
        <w:pStyle w:val="Heading1"/>
      </w:pPr>
      <w:r>
        <w:t>6. Challenges and Solutions</w:t>
      </w:r>
    </w:p>
    <w:tbl>
      <w:tblPr>
        <w:tblStyle w:val="TableGrid"/>
        <w:tblW w:type="auto" w:w="0"/>
        <w:tblLook w:firstColumn="1" w:firstRow="1" w:lastColumn="0" w:lastRow="0" w:noHBand="0" w:noVBand="1" w:val="04A0"/>
      </w:tblPr>
      <w:tblGrid>
        <w:gridCol w:w="4968"/>
        <w:gridCol w:w="4968"/>
      </w:tblGrid>
      <w:tr>
        <w:tc>
          <w:tcPr>
            <w:tcW w:type="dxa" w:w="4968"/>
            <w:shd w:fill="15314B"/>
          </w:tcPr>
          <w:p>
            <w:r>
              <w:rPr>
                <w:b/>
                <w:color w:val="FFFFFF"/>
                <w:sz w:val="18"/>
              </w:rPr>
              <w:t>Challenge</w:t>
            </w:r>
          </w:p>
        </w:tc>
        <w:tc>
          <w:tcPr>
            <w:tcW w:type="dxa" w:w="4968"/>
            <w:shd w:fill="15314B"/>
          </w:tcPr>
          <w:p>
            <w:r>
              <w:rPr>
                <w:b/>
                <w:color w:val="FFFFFF"/>
                <w:sz w:val="18"/>
              </w:rPr>
              <w:t>Solution</w:t>
            </w:r>
          </w:p>
        </w:tc>
      </w:tr>
      <w:tr>
        <w:tc>
          <w:tcPr>
            <w:tcW w:type="dxa" w:w="4968"/>
          </w:tcPr>
          <w:p>
            <w:pPr>
              <w:spacing w:after="40"/>
            </w:pPr>
            <w:r>
              <w:rPr>
                <w:sz w:val="18"/>
              </w:rPr>
              <w:t>Combining search and category filtering</w:t>
            </w:r>
          </w:p>
        </w:tc>
        <w:tc>
          <w:tcPr>
            <w:tcW w:type="dxa" w:w="4968"/>
          </w:tcPr>
          <w:p>
            <w:pPr>
              <w:spacing w:after="40"/>
            </w:pPr>
            <w:r>
              <w:rPr>
                <w:sz w:val="18"/>
              </w:rPr>
              <w:t>One function checks both conditions each time either control changes.</w:t>
            </w:r>
          </w:p>
        </w:tc>
      </w:tr>
      <w:tr>
        <w:tc>
          <w:tcPr>
            <w:tcW w:type="dxa" w:w="4968"/>
            <w:shd w:fill="EEF5F6"/>
          </w:tcPr>
          <w:p>
            <w:pPr>
              <w:spacing w:after="40"/>
            </w:pPr>
            <w:r>
              <w:rPr>
                <w:sz w:val="18"/>
              </w:rPr>
              <w:t>Giving clear action feedback</w:t>
            </w:r>
          </w:p>
        </w:tc>
        <w:tc>
          <w:tcPr>
            <w:tcW w:type="dxa" w:w="4968"/>
            <w:shd w:fill="EEF5F6"/>
          </w:tcPr>
          <w:p>
            <w:pPr>
              <w:spacing w:after="40"/>
            </w:pPr>
            <w:r>
              <w:rPr>
                <w:sz w:val="18"/>
              </w:rPr>
              <w:t>A reusable toast message appears briefly and then hides.</w:t>
            </w:r>
          </w:p>
        </w:tc>
      </w:tr>
      <w:tr>
        <w:tc>
          <w:tcPr>
            <w:tcW w:type="dxa" w:w="4968"/>
          </w:tcPr>
          <w:p>
            <w:pPr>
              <w:spacing w:after="40"/>
            </w:pPr>
            <w:r>
              <w:rPr>
                <w:sz w:val="18"/>
              </w:rPr>
              <w:t>Supporting mobile screens</w:t>
            </w:r>
          </w:p>
        </w:tc>
        <w:tc>
          <w:tcPr>
            <w:tcW w:type="dxa" w:w="4968"/>
          </w:tcPr>
          <w:p>
            <w:pPr>
              <w:spacing w:after="40"/>
            </w:pPr>
            <w:r>
              <w:rPr>
                <w:sz w:val="18"/>
              </w:rPr>
              <w:t>CSS media queries stack content and provide a toggleable menu.</w:t>
            </w:r>
          </w:p>
        </w:tc>
      </w:tr>
      <w:tr>
        <w:tc>
          <w:tcPr>
            <w:tcW w:type="dxa" w:w="4968"/>
            <w:shd w:fill="EEF5F6"/>
          </w:tcPr>
          <w:p>
            <w:pPr>
              <w:spacing w:after="40"/>
            </w:pPr>
            <w:r>
              <w:rPr>
                <w:sz w:val="18"/>
              </w:rPr>
              <w:t>Clear form feedback</w:t>
            </w:r>
          </w:p>
        </w:tc>
        <w:tc>
          <w:tcPr>
            <w:tcW w:type="dxa" w:w="4968"/>
            <w:shd w:fill="EEF5F6"/>
          </w:tcPr>
          <w:p>
            <w:pPr>
              <w:spacing w:after="40"/>
            </w:pPr>
            <w:r>
              <w:rPr>
                <w:sz w:val="18"/>
              </w:rPr>
              <w:t>Separate error elements show which input needs correction.</w:t>
            </w:r>
          </w:p>
        </w:tc>
      </w:tr>
      <w:tr>
        <w:tc>
          <w:tcPr>
            <w:tcW w:type="dxa" w:w="4968"/>
          </w:tcPr>
          <w:p>
            <w:pPr>
              <w:spacing w:after="40"/>
            </w:pPr>
            <w:r>
              <w:rPr>
                <w:sz w:val="18"/>
              </w:rPr>
              <w:t>Avoiding misleading submission claims</w:t>
            </w:r>
          </w:p>
        </w:tc>
        <w:tc>
          <w:tcPr>
            <w:tcW w:type="dxa" w:w="4968"/>
          </w:tcPr>
          <w:p>
            <w:pPr>
              <w:spacing w:after="40"/>
            </w:pPr>
            <w:r>
              <w:rPr>
                <w:sz w:val="18"/>
              </w:rPr>
              <w:t>Messages clearly state that actions are demo-only.</w:t>
            </w:r>
          </w:p>
        </w:tc>
      </w:tr>
    </w:tbl>
    <w:p/>
    <w:p>
      <w:pPr>
        <w:pStyle w:val="Heading1"/>
      </w:pPr>
      <w:r>
        <w:t>7. Steps to Run in Visual Studio Code</w:t>
      </w:r>
    </w:p>
    <w:p>
      <w:pPr>
        <w:pStyle w:val="ListBullet"/>
        <w:spacing w:after="60"/>
      </w:pPr>
      <w:r>
        <w:t>Download and extract the project ZIP to your Desktop.</w:t>
      </w:r>
    </w:p>
    <w:p>
      <w:pPr>
        <w:pStyle w:val="ListBullet"/>
        <w:spacing w:after="60"/>
      </w:pPr>
      <w:r>
        <w:t>Open Visual Studio Code.</w:t>
      </w:r>
    </w:p>
    <w:p>
      <w:pPr>
        <w:pStyle w:val="ListBullet"/>
        <w:spacing w:after="60"/>
      </w:pPr>
      <w:r>
        <w:t>Click File → Open Folder and select the extracted Week_3_JavaScript_Interactive_Webpage folder.</w:t>
      </w:r>
    </w:p>
    <w:p>
      <w:pPr>
        <w:pStyle w:val="ListBullet"/>
        <w:spacing w:after="60"/>
      </w:pPr>
      <w:r>
        <w:t>In the Explorer panel on the left, confirm index.html, styles.css, script.js and README.md are visible.</w:t>
      </w:r>
    </w:p>
    <w:p>
      <w:pPr>
        <w:pStyle w:val="ListBullet"/>
        <w:spacing w:after="60"/>
      </w:pPr>
      <w:r>
        <w:t>Open index.html. If Live Server is installed, right-click it and choose Open with Live Server. Otherwise, open index.html in Chrome.</w:t>
      </w:r>
    </w:p>
    <w:p>
      <w:pPr>
        <w:pStyle w:val="ListBullet"/>
        <w:spacing w:after="60"/>
      </w:pPr>
      <w:r>
        <w:t>Test search, category filter, theme toggle, Apply now buttons and contact form.</w:t>
      </w:r>
    </w:p>
    <w:p>
      <w:pPr>
        <w:pStyle w:val="ListBullet"/>
        <w:spacing w:after="60"/>
      </w:pPr>
      <w:r>
        <w:t>Save code with Ctrl+S and refresh the browser with Ctrl+R after changes.</w:t>
      </w:r>
    </w:p>
    <w:p>
      <w:pPr>
        <w:pStyle w:val="Heading1"/>
      </w:pPr>
      <w:r>
        <w:t>8. Limitations and Future Improvements</w:t>
      </w:r>
    </w:p>
    <w:p>
      <w:r>
        <w:t>This is a static front-end project. It has no database, authentication, real internship data or server-side form processing. Future improvements could include loading roles from an API, secure user accounts, real application submission, stronger accessibility testing and automated browser tests. Real user information must not be collected until secure server-side validation and privacy controls are implemented.</w:t>
      </w:r>
    </w:p>
    <w:p>
      <w:pPr>
        <w:pStyle w:val="Heading1"/>
      </w:pPr>
      <w:r>
        <w:t>9. Conclusion</w:t>
      </w:r>
    </w:p>
    <w:p>
      <w:r>
        <w:t>The project demonstrates how JavaScript event handling and DOM manipulation can make a static webpage more useful. Search, category filtering, theme switching, responsive navigation, application-button feedback and form validation have been integrated with HTML and CSS. The interface is designed to remain understandable on desktop and mobile screens, and the README provides practical instructions for testing the project in Visual Studio Code.</w:t>
      </w:r>
    </w:p>
    <w:p>
      <w:pPr>
        <w:pStyle w:val="Heading1"/>
      </w:pPr>
      <w:r>
        <w:t>Submission Checklist</w:t>
      </w:r>
    </w:p>
    <w:p>
      <w:pPr>
        <w:pStyle w:val="ListBullet"/>
        <w:spacing w:after="60"/>
      </w:pPr>
      <w:r>
        <w:t>Word report ready to upload.</w:t>
      </w:r>
    </w:p>
    <w:p>
      <w:pPr>
        <w:pStyle w:val="ListBullet"/>
        <w:spacing w:after="60"/>
      </w:pPr>
      <w:r>
        <w:t>Project folder contains index.html, styles.css, script.js and README.md.</w:t>
      </w:r>
    </w:p>
    <w:p>
      <w:pPr>
        <w:pStyle w:val="ListBullet"/>
        <w:spacing w:after="60"/>
      </w:pPr>
      <w:r>
        <w:t>Open the folder in Visual Studio Code and test the webpage in a browser.</w:t>
      </w:r>
    </w:p>
    <w:p>
      <w:pPr>
        <w:pStyle w:val="ListBullet"/>
        <w:spacing w:after="60"/>
      </w:pPr>
      <w:r>
        <w:t>Copy the GitHub repository URL into the internship portal if required.</w:t>
      </w:r>
    </w:p>
    <w:p>
      <w:pPr>
        <w:pStyle w:val="ListBullet"/>
        <w:spacing w:after="60"/>
      </w:pPr>
      <w:r>
        <w:t>Enter a report description of at least 200 words in the portal.</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Prepared by Kashish Sharma | Frontend Web Development Internship</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007F86"/>
        <w:sz w:val="16"/>
      </w:rPr>
      <w:t>WEEK 3 • JAVASCRIPT INTERACTIVE USER EXPERIENCE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5314B"/>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7F8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5314B"/>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