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Branch Manager SOP</w:t>
      </w:r>
    </w:p>
    <w:p>
      <w:pPr>
        <w:pStyle w:val="Heading1"/>
      </w:pPr>
      <w:r>
        <w:t>Core Responsibilities</w:t>
      </w:r>
    </w:p>
    <w:p>
      <w:r>
        <w:t>Branch Managers must know the branch performance-review cycle and reporting structure.</w:t>
      </w:r>
    </w:p>
    <w:p>
      <w:pPr>
        <w:pStyle w:val="Heading1"/>
      </w:pPr>
      <w:r>
        <w:t>Standard Operating Procedure</w:t>
      </w:r>
    </w:p>
    <w:p>
      <w:r>
        <w:t>Branch Managers must complete the staff-scheduling and approval workflow training within Week 1.</w:t>
      </w:r>
    </w:p>
    <w:p>
      <w:pPr>
        <w:pStyle w:val="Heading1"/>
      </w:pPr>
      <w:r>
        <w:t>Escalation and Exceptions</w:t>
      </w:r>
    </w:p>
    <w:p>
      <w:r>
        <w:t>Branch Managers must demonstrate the refund-approval exception process: refunds above $200 require regional-office sign-off.</w:t>
      </w:r>
    </w:p>
    <w:p>
      <w:pPr>
        <w:pStyle w:val="Heading1"/>
      </w:pPr>
      <w:r>
        <w:t>Compliance and Approval Limits</w:t>
      </w:r>
    </w:p>
    <w:p>
      <w:r>
        <w:t>Branch Managers must acknowledge their authority limits for discount, refund, and expense approvals across departments.</w:t>
      </w:r>
    </w:p>
    <w:p>
      <w:pPr>
        <w:pStyle w:val="Heading1"/>
      </w:pPr>
      <w:r>
        <w:t>Tools and Systems</w:t>
      </w:r>
    </w:p>
    <w:p>
      <w:r>
        <w:t>Branch Managers must know how to use the branch operations dashboard.</w:t>
      </w:r>
    </w:p>
    <w:p>
      <w:pPr>
        <w:pStyle w:val="Heading1"/>
      </w:pPr>
      <w:r>
        <w:t>Advanced Scenarios</w:t>
      </w:r>
    </w:p>
    <w:p>
      <w:r>
        <w:t>Branch Managers may optionally review advanced multi-department conflict resolution scenarios.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