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Compliance Requirements</w:t>
      </w:r>
    </w:p>
    <w:p>
      <w:pPr>
        <w:pStyle w:val="Heading1"/>
      </w:pPr>
      <w:r>
        <w:t>Mandatory Compliance Training</w:t>
      </w:r>
    </w:p>
    <w:p>
      <w:r>
        <w:t>All employees must know their department's mandatory compliance training requirements and complete them within their first 30 days.</w:t>
      </w:r>
    </w:p>
    <w:p>
      <w:pPr>
        <w:pStyle w:val="Heading1"/>
      </w:pPr>
      <w:r>
        <w:t>Regulatory Reporting</w:t>
      </w:r>
    </w:p>
    <w:p>
      <w:r>
        <w:t>Any suspected regulatory violation must be reported through the compliance hotline.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