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Data Privacy Policy</w:t>
      </w:r>
    </w:p>
    <w:p>
      <w:pPr>
        <w:pStyle w:val="Heading1"/>
      </w:pPr>
      <w:r>
        <w:t>Customer Data Handling</w:t>
      </w:r>
    </w:p>
    <w:p>
      <w:r>
        <w:t>Employees must know that customer personal data may only be accessed for legitimate business purposes and must never be exported to personal devices.</w:t>
      </w:r>
    </w:p>
    <w:p>
      <w:pPr>
        <w:pStyle w:val="Heading1"/>
      </w:pPr>
      <w:r>
        <w:t>Data Retention</w:t>
      </w:r>
    </w:p>
    <w:p>
      <w:r>
        <w:t>Customer data must be retained for a maximum of 5 years unless a legal hold applies.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