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HR Policy (v2.0)</w:t>
      </w:r>
    </w:p>
    <w:p>
      <w:pPr>
        <w:pStyle w:val="Heading1"/>
      </w:pPr>
      <w:r>
        <w:t>Leave Policy</w:t>
      </w:r>
    </w:p>
    <w:p>
      <w:r>
        <w:t>All employees must acknowledge the leave policy within their first week of joining. This is a mandatory requirement for every role.</w:t>
      </w:r>
    </w:p>
    <w:p>
      <w:pPr>
        <w:pStyle w:val="Heading1"/>
      </w:pPr>
      <w:r>
        <w:t>Code of Conduct</w:t>
      </w:r>
    </w:p>
    <w:p>
      <w:r>
        <w:t>Every employee must complete the Code of Conduct training module and demonstrate understanding via a quiz before Day 1 activities are marked complete.</w:t>
      </w:r>
    </w:p>
    <w:p>
      <w:pPr>
        <w:pStyle w:val="Heading1"/>
      </w:pPr>
      <w:r>
        <w:t>Information Security Basics</w:t>
      </w:r>
    </w:p>
    <w:p>
      <w:r>
        <w:t>All employees must know the company's password policy: minimum 12 characters, rotated every 90 days. Employees must acknowledge that company devices may not be used for unauthorized data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