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Information Security Policy</w:t>
      </w:r>
    </w:p>
    <w:p>
      <w:pPr>
        <w:pStyle w:val="Heading1"/>
      </w:pPr>
      <w:r>
        <w:t>Password Policy</w:t>
      </w:r>
    </w:p>
    <w:p>
      <w:r>
        <w:t>All employees must know the company's password policy: minimum 12 characters, rotated every 90 days, and must not be reused across the last 5 passwords.</w:t>
      </w:r>
    </w:p>
    <w:p>
      <w:pPr>
        <w:pStyle w:val="Heading1"/>
      </w:pPr>
      <w:r>
        <w:t>Device Usage</w:t>
      </w:r>
    </w:p>
    <w:p>
      <w:r>
        <w:t>Company devices must not be used for unauthorized personal data storage. Lost or stolen devices must be reported to IT within 2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