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Leave Policy (v2.0)</w:t>
      </w:r>
    </w:p>
    <w:p>
      <w:pPr>
        <w:pStyle w:val="Heading1"/>
      </w:pPr>
      <w:r>
        <w:t>Leave Entitlement</w:t>
      </w:r>
    </w:p>
    <w:p>
      <w:r>
        <w:t>Employees are entitled to 21 paid leave days per year, accrued monthly, effective this version. This supersedes the 18-day entitlement in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