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 Retail Co - Marketing Executive SOP</w:t>
      </w:r>
    </w:p>
    <w:p>
      <w:pPr>
        <w:pStyle w:val="Heading1"/>
      </w:pPr>
      <w:r>
        <w:t>Core Responsibilities</w:t>
      </w:r>
    </w:p>
    <w:p>
      <w:r>
        <w:t>Marketing Executives must know the brand-guidelines document before publishing any external content.</w:t>
      </w:r>
    </w:p>
    <w:p>
      <w:pPr>
        <w:pStyle w:val="Heading1"/>
      </w:pPr>
      <w:r>
        <w:t>Standard Operating Procedure</w:t>
      </w:r>
    </w:p>
    <w:p>
      <w:r>
        <w:t>Marketing Executives must complete the campaign-approval workflow training within Week 1.</w:t>
      </w:r>
    </w:p>
    <w:p>
      <w:pPr>
        <w:pStyle w:val="Heading1"/>
      </w:pPr>
      <w:r>
        <w:t>Escalation and Exceptions</w:t>
      </w:r>
    </w:p>
    <w:p>
      <w:r>
        <w:t>Marketing Executives must demonstrate the crisis-communication escalation process for negative PR events.</w:t>
      </w:r>
    </w:p>
    <w:p>
      <w:pPr>
        <w:pStyle w:val="Heading1"/>
      </w:pPr>
      <w:r>
        <w:t>Compliance and Approval Limits</w:t>
      </w:r>
    </w:p>
    <w:p>
      <w:r>
        <w:t>Marketing Executives must acknowledge that all paid ad spend above $500 requires Branch Manager approval.</w:t>
      </w:r>
    </w:p>
    <w:p>
      <w:pPr>
        <w:pStyle w:val="Heading1"/>
      </w:pPr>
      <w:r>
        <w:t>Tools and Systems</w:t>
      </w:r>
    </w:p>
    <w:p>
      <w:r>
        <w:t>Marketing Executives must know how to use the marketing analytics dashboard.</w:t>
      </w:r>
    </w:p>
    <w:p>
      <w:pPr>
        <w:pStyle w:val="Heading1"/>
      </w:pPr>
      <w:r>
        <w:t>Advanced Scenarios</w:t>
      </w:r>
    </w:p>
    <w:p>
      <w:r>
        <w:t>Marketing Executives may optionally review advanced A/B testing methodology.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