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Software Support Engineer SOP</w:t>
      </w:r>
    </w:p>
    <w:p>
      <w:pPr>
        <w:pStyle w:val="Heading1"/>
      </w:pPr>
      <w:r>
        <w:t>Core Responsibilities</w:t>
      </w:r>
    </w:p>
    <w:p>
      <w:r>
        <w:t>Software Support Engineers must know the incident-severity classification matrix (P1-P4).</w:t>
      </w:r>
    </w:p>
    <w:p>
      <w:pPr>
        <w:pStyle w:val="Heading1"/>
      </w:pPr>
      <w:r>
        <w:t>Standard Operating Procedure</w:t>
      </w:r>
    </w:p>
    <w:p>
      <w:r>
        <w:t>Software Support Engineers must complete the ticket-triage procedure training within Week 1.</w:t>
      </w:r>
    </w:p>
    <w:p>
      <w:pPr>
        <w:pStyle w:val="Heading1"/>
      </w:pPr>
      <w:r>
        <w:t>Escalation and Exceptions</w:t>
      </w:r>
    </w:p>
    <w:p>
      <w:r>
        <w:t>Software Support Engineers must demonstrate the P1-incident escalation process: P1 incidents must be escalated within 15 minutes.</w:t>
      </w:r>
    </w:p>
    <w:p>
      <w:pPr>
        <w:pStyle w:val="Heading1"/>
      </w:pPr>
      <w:r>
        <w:t>Compliance and Approval Limits</w:t>
      </w:r>
    </w:p>
    <w:p>
      <w:r>
        <w:t>Software Support Engineers must acknowledge that production database access requires a change-ticket approval.</w:t>
      </w:r>
    </w:p>
    <w:p>
      <w:pPr>
        <w:pStyle w:val="Heading1"/>
      </w:pPr>
      <w:r>
        <w:t>Tools and Systems</w:t>
      </w:r>
    </w:p>
    <w:p>
      <w:r>
        <w:t>Software Support Engineers must know how to use the internal monitoring and alerting dashboard.</w:t>
      </w:r>
    </w:p>
    <w:p>
      <w:pPr>
        <w:pStyle w:val="Heading1"/>
      </w:pPr>
      <w:r>
        <w:t>Advanced Scenarios</w:t>
      </w:r>
    </w:p>
    <w:p>
      <w:r>
        <w:t>Software Support Engineers may optionally review advanced root-cause analysis techniques.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