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Workplace Conduct Policy</w:t>
      </w:r>
    </w:p>
    <w:p>
      <w:pPr>
        <w:pStyle w:val="Heading1"/>
      </w:pPr>
      <w:r>
        <w:t>Harassment and Discrimination</w:t>
      </w:r>
    </w:p>
    <w:p>
      <w:r>
        <w:t>Employees must acknowledge the anti-harassment and anti-discrimination policy. Any incident must be reported to HR within 48 hours of occurrence.</w:t>
      </w:r>
    </w:p>
    <w:p>
      <w:pPr>
        <w:pStyle w:val="Heading1"/>
      </w:pPr>
      <w:r>
        <w:t>Conflict of Interest</w:t>
      </w:r>
    </w:p>
    <w:p>
      <w:r>
        <w:t>Employees must disclose any conflict of interest to their reporting manager before accepting outside engagements.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