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sz w:val="60"/>
        </w:rPr>
        <w:t>VIDHISETU</w:t>
      </w:r>
    </w:p>
    <w:p>
      <w:pPr>
        <w:jc w:val="center"/>
      </w:pPr>
      <w:r>
        <w:rPr>
          <w:b/>
          <w:sz w:val="30"/>
        </w:rPr>
        <w:t>LAW FIRM / LEGAL CONSULTANCY WEBSITE</w:t>
      </w:r>
    </w:p>
    <w:p>
      <w:pPr>
        <w:jc w:val="center"/>
      </w:pPr>
      <w:r>
        <w:rPr>
          <w:sz w:val="26"/>
        </w:rPr>
        <w:t>Premium Website Layout &amp; Landing Page Architecture</w:t>
      </w:r>
    </w:p>
    <w:p>
      <w:pPr>
        <w:jc w:val="center"/>
      </w:pPr>
      <w:r>
        <w:rPr>
          <w:i/>
        </w:rPr>
        <w:t>Odoo Website</w:t>
      </w:r>
    </w:p>
    <w:p>
      <w:r>
        <w:br w:type="page"/>
      </w:r>
    </w:p>
    <w:p>
      <w:pPr>
        <w:pStyle w:val="Heading1"/>
        <w:spacing w:before="200" w:after="80"/>
      </w:pPr>
      <w:r>
        <w:rPr>
          <w:b/>
        </w:rPr>
        <w:t>1. Website Direction</w:t>
      </w:r>
    </w:p>
    <w:p>
      <w:r>
        <w:t>This website should be positioned separately from VidhiSetu's LegalTech / CLM product website. Its purpose is to sell legal consultancy, advisory, representation and long-term legal support.</w:t>
      </w:r>
    </w:p>
    <w:p>
      <w:pPr>
        <w:pStyle w:val="Heading2"/>
        <w:spacing w:before="200" w:after="80"/>
      </w:pPr>
      <w:r>
        <w:rPr>
          <w:b/>
        </w:rPr>
        <w:t>Core Positioning</w:t>
      </w:r>
    </w:p>
    <w:p>
      <w:r>
        <w:rPr>
          <w:b/>
        </w:rPr>
        <w:t xml:space="preserve">Primary proposition: </w:t>
      </w:r>
      <w:r>
        <w:t>Legal Counsel for Businesses That Are Built to Last.</w:t>
      </w:r>
    </w:p>
    <w:p>
      <w:r>
        <w:t>The website should communicate legal expertise, commercial understanding, credibility and preventive legal thinking—not present itself as a software product.</w:t>
      </w:r>
    </w:p>
    <w:p>
      <w:pPr>
        <w:pStyle w:val="Heading2"/>
        <w:spacing w:before="200" w:after="80"/>
      </w:pPr>
      <w:r>
        <w:rPr>
          <w:b/>
        </w:rPr>
        <w:t>Brand Separation</w:t>
      </w:r>
    </w:p>
    <w:p>
      <w:pPr>
        <w:pStyle w:val="ListBullet"/>
        <w:spacing w:after="40"/>
      </w:pPr>
      <w:r>
        <w:t>Law-firm website: Expertise → Practice Areas → Industries → Approach → Credibility → Consultation.</w:t>
      </w:r>
    </w:p>
    <w:p>
      <w:pPr>
        <w:pStyle w:val="ListBullet"/>
        <w:spacing w:after="40"/>
      </w:pPr>
      <w:r>
        <w:t>LegalTech website: Product → Features → Dashboard → CLM → Clause Intelligence → Subscription → Login.</w:t>
      </w:r>
    </w:p>
    <w:p>
      <w:pPr>
        <w:pStyle w:val="ListBullet"/>
        <w:spacing w:after="40"/>
      </w:pPr>
      <w:r>
        <w:t>Law-firm objective: generate legal consultancy / advisory enquiries.</w:t>
      </w:r>
    </w:p>
    <w:p>
      <w:pPr>
        <w:pStyle w:val="ListBullet"/>
        <w:spacing w:after="40"/>
      </w:pPr>
      <w:r>
        <w:t>LegalTech objective: demonstrate and sell the technology platform.</w:t>
      </w:r>
    </w:p>
    <w:p>
      <w:pPr>
        <w:pStyle w:val="ListBullet"/>
        <w:spacing w:after="40"/>
      </w:pPr>
      <w:r>
        <w:t>Law-firm design: premium, restrained and trust-led. LegalTech design: product-led and feature-rich.</w:t>
      </w:r>
    </w:p>
    <w:p>
      <w:pPr>
        <w:pStyle w:val="Heading1"/>
        <w:spacing w:before="200" w:after="80"/>
      </w:pPr>
      <w:r>
        <w:rPr>
          <w:b/>
        </w:rPr>
        <w:t>2. Homepage / Landing Page Structure</w:t>
      </w:r>
    </w:p>
    <w:p>
      <w:pPr>
        <w:pStyle w:val="Heading2"/>
        <w:spacing w:before="200" w:after="80"/>
      </w:pPr>
      <w:r>
        <w:rPr>
          <w:b/>
        </w:rPr>
        <w:t>Section 01 — Header / Navigation</w:t>
      </w:r>
    </w:p>
    <w:p>
      <w:pPr>
        <w:pStyle w:val="ListBullet"/>
        <w:spacing w:after="40"/>
      </w:pPr>
      <w:r>
        <w:t>VidhiSetu logo</w:t>
      </w:r>
    </w:p>
    <w:p>
      <w:pPr>
        <w:pStyle w:val="ListBullet"/>
        <w:spacing w:after="40"/>
      </w:pPr>
      <w:r>
        <w:t>About Us</w:t>
      </w:r>
    </w:p>
    <w:p>
      <w:pPr>
        <w:pStyle w:val="ListBullet"/>
        <w:spacing w:after="40"/>
      </w:pPr>
      <w:r>
        <w:t>Practice Areas</w:t>
      </w:r>
    </w:p>
    <w:p>
      <w:pPr>
        <w:pStyle w:val="ListBullet"/>
        <w:spacing w:after="40"/>
      </w:pPr>
      <w:r>
        <w:t>Industries</w:t>
      </w:r>
    </w:p>
    <w:p>
      <w:pPr>
        <w:pStyle w:val="ListBullet"/>
        <w:spacing w:after="40"/>
      </w:pPr>
      <w:r>
        <w:t>Our Approach</w:t>
      </w:r>
    </w:p>
    <w:p>
      <w:pPr>
        <w:pStyle w:val="ListBullet"/>
        <w:spacing w:after="40"/>
      </w:pPr>
      <w:r>
        <w:t>Insights</w:t>
      </w:r>
    </w:p>
    <w:p>
      <w:pPr>
        <w:pStyle w:val="ListBullet"/>
        <w:spacing w:after="40"/>
      </w:pPr>
      <w:r>
        <w:t>Contact</w:t>
      </w:r>
    </w:p>
    <w:p>
      <w:pPr>
        <w:pStyle w:val="ListBullet"/>
        <w:spacing w:after="40"/>
      </w:pPr>
      <w:r>
        <w:t>Book a Consultation</w:t>
      </w:r>
    </w:p>
    <w:p>
      <w:pPr>
        <w:pStyle w:val="ListBullet"/>
        <w:spacing w:after="40"/>
      </w:pPr>
      <w:r>
        <w:t>Client Login</w:t>
      </w:r>
    </w:p>
    <w:p>
      <w:r>
        <w:t>Design direction: clean, premium and minimal. Avoid a software-dashboard look.</w:t>
      </w:r>
    </w:p>
    <w:p>
      <w:pPr>
        <w:pStyle w:val="Heading2"/>
        <w:spacing w:before="200" w:after="80"/>
      </w:pPr>
      <w:r>
        <w:rPr>
          <w:b/>
        </w:rPr>
        <w:t>Section 02 — Hero Section</w:t>
      </w:r>
    </w:p>
    <w:p>
      <w:r>
        <w:rPr>
          <w:b/>
        </w:rPr>
        <w:t xml:space="preserve">Headline: </w:t>
      </w:r>
      <w:r>
        <w:t>Legal Counsel for Businesses That Are Built to Last.</w:t>
      </w:r>
    </w:p>
    <w:p>
      <w:r>
        <w:rPr>
          <w:b/>
        </w:rPr>
        <w:t xml:space="preserve">Supporting copy: </w:t>
      </w:r>
      <w:r>
        <w:t>Strategic legal advisory for businesses, startups and institutions across contracts, compliance, transactions, intellectual property and disputes.</w:t>
      </w:r>
    </w:p>
    <w:p>
      <w:r>
        <w:rPr>
          <w:b/>
        </w:rPr>
        <w:t xml:space="preserve">Primary CTA: </w:t>
      </w:r>
      <w:r>
        <w:t>Book a Consultation</w:t>
      </w:r>
    </w:p>
    <w:p>
      <w:r>
        <w:rPr>
          <w:b/>
        </w:rPr>
        <w:t xml:space="preserve">Secondary CTA: </w:t>
      </w:r>
      <w:r>
        <w:t>Explore Practice Areas</w:t>
      </w:r>
    </w:p>
    <w:p>
      <w:r>
        <w:t>Visual direction: sophisticated business/legal imagery or refined editorial composition. Avoid generic courthouse, gavel or lawyer-stock imagery.</w:t>
      </w:r>
    </w:p>
    <w:p>
      <w:pPr>
        <w:pStyle w:val="Heading2"/>
        <w:spacing w:before="200" w:after="80"/>
      </w:pPr>
      <w:r>
        <w:rPr>
          <w:b/>
        </w:rPr>
        <w:t>Section 03 — Trust / Practice Strip</w:t>
      </w:r>
    </w:p>
    <w:p>
      <w:pPr>
        <w:pStyle w:val="ListBullet"/>
        <w:spacing w:after="40"/>
      </w:pPr>
      <w:r>
        <w:t>Corporate &amp; Commercial</w:t>
      </w:r>
    </w:p>
    <w:p>
      <w:pPr>
        <w:pStyle w:val="ListBullet"/>
        <w:spacing w:after="40"/>
      </w:pPr>
      <w:r>
        <w:t>Startups &amp; Emerging Businesses</w:t>
      </w:r>
    </w:p>
    <w:p>
      <w:pPr>
        <w:pStyle w:val="ListBullet"/>
        <w:spacing w:after="40"/>
      </w:pPr>
      <w:r>
        <w:t>Intellectual Property</w:t>
      </w:r>
    </w:p>
    <w:p>
      <w:pPr>
        <w:pStyle w:val="ListBullet"/>
        <w:spacing w:after="40"/>
      </w:pPr>
      <w:r>
        <w:t>Compliance &amp; Regulatory</w:t>
      </w:r>
    </w:p>
    <w:p>
      <w:pPr>
        <w:pStyle w:val="ListBullet"/>
        <w:spacing w:after="40"/>
      </w:pPr>
      <w:r>
        <w:t>Disputes &amp; Litigation</w:t>
      </w:r>
    </w:p>
    <w:p>
      <w:pPr>
        <w:pStyle w:val="ListBullet"/>
        <w:spacing w:after="40"/>
      </w:pPr>
      <w:r>
        <w:t>Legal Due Diligence</w:t>
      </w:r>
    </w:p>
    <w:p>
      <w:pPr>
        <w:pStyle w:val="Heading2"/>
        <w:spacing w:before="200" w:after="80"/>
      </w:pPr>
      <w:r>
        <w:rPr>
          <w:b/>
        </w:rPr>
        <w:t>Section 04 — What We Do</w:t>
      </w:r>
    </w:p>
    <w:p>
      <w:r>
        <w:rPr>
          <w:b/>
        </w:rPr>
        <w:t xml:space="preserve">Section headline: </w:t>
      </w:r>
      <w:r>
        <w:t>Legal Advice That Moves With Your Business.</w:t>
      </w:r>
    </w:p>
    <w:p>
      <w:pPr>
        <w:pStyle w:val="ListBullet"/>
        <w:spacing w:after="40"/>
      </w:pPr>
      <w:r>
        <w:t>Corporate &amp; Commercial Advisory — Business structuring, governance, transactions and ongoing corporate legal support.</w:t>
      </w:r>
    </w:p>
    <w:p>
      <w:pPr>
        <w:pStyle w:val="ListBullet"/>
        <w:spacing w:after="40"/>
      </w:pPr>
      <w:r>
        <w:t>Contract Drafting &amp; Negotiation — Drafting, reviewing, negotiating and strengthening commercial agreements.</w:t>
      </w:r>
    </w:p>
    <w:p>
      <w:pPr>
        <w:pStyle w:val="ListBullet"/>
        <w:spacing w:after="40"/>
      </w:pPr>
      <w:r>
        <w:t>Startup &amp; Investment Advisory — Incorporation, founder arrangements, investment documentation, fundraising readiness and transaction support.</w:t>
      </w:r>
    </w:p>
    <w:p>
      <w:pPr>
        <w:pStyle w:val="ListBullet"/>
        <w:spacing w:after="40"/>
      </w:pPr>
      <w:r>
        <w:t>Intellectual Property — Trademark strategy, protection, licensing, assignments, enforcement and IP diligence.</w:t>
      </w:r>
    </w:p>
    <w:p>
      <w:pPr>
        <w:pStyle w:val="ListBullet"/>
        <w:spacing w:after="40"/>
      </w:pPr>
      <w:r>
        <w:t>Compliance &amp; Regulatory — Regulatory mapping, compliance frameworks, policies, audits and ongoing advisory.</w:t>
      </w:r>
    </w:p>
    <w:p>
      <w:pPr>
        <w:pStyle w:val="ListBullet"/>
        <w:spacing w:after="40"/>
      </w:pPr>
      <w:r>
        <w:t>Employment &amp; Labour — Employment documentation, workplace policies, POSH, contractor arrangements and employment risk management.</w:t>
      </w:r>
    </w:p>
    <w:p>
      <w:pPr>
        <w:pStyle w:val="ListBullet"/>
        <w:spacing w:after="40"/>
      </w:pPr>
      <w:r>
        <w:t>Litigation &amp; Arbitration — Commercial disputes, contractual disputes, arbitration, recovery and related proceedings.</w:t>
      </w:r>
    </w:p>
    <w:p>
      <w:pPr>
        <w:pStyle w:val="ListBullet"/>
        <w:spacing w:after="40"/>
      </w:pPr>
      <w:r>
        <w:t>Legal Due Diligence — Legal health checks, transaction due diligence, red-flag identification and risk assessment.</w:t>
      </w:r>
    </w:p>
    <w:p>
      <w:r>
        <w:rPr>
          <w:b/>
        </w:rPr>
        <w:t xml:space="preserve">CTA: </w:t>
      </w:r>
      <w:r>
        <w:t>View All Practice Areas</w:t>
      </w:r>
    </w:p>
    <w:p>
      <w:pPr>
        <w:pStyle w:val="Heading2"/>
        <w:spacing w:before="200" w:after="80"/>
      </w:pPr>
      <w:r>
        <w:rPr>
          <w:b/>
        </w:rPr>
        <w:t>Section 05 — Why Clients Choose VidhiSetu</w:t>
      </w:r>
    </w:p>
    <w:p>
      <w:r>
        <w:rPr>
          <w:b/>
        </w:rPr>
        <w:t xml:space="preserve">Section headline: </w:t>
      </w:r>
      <w:r>
        <w:t>More Than Legal Advice. A Business-Minded Legal Partner.</w:t>
      </w:r>
    </w:p>
    <w:p>
      <w:pPr>
        <w:pStyle w:val="ListBullet"/>
        <w:spacing w:after="40"/>
      </w:pPr>
      <w:r>
        <w:t>Business-focused legal advice — recommendations are designed around commercial objectives.</w:t>
      </w:r>
    </w:p>
    <w:p>
      <w:pPr>
        <w:pStyle w:val="ListBullet"/>
        <w:spacing w:after="40"/>
      </w:pPr>
      <w:r>
        <w:t>Preventive legal strategy — identify risks before they become disputes, losses or regulatory problems.</w:t>
      </w:r>
    </w:p>
    <w:p>
      <w:pPr>
        <w:pStyle w:val="ListBullet"/>
        <w:spacing w:after="40"/>
      </w:pPr>
      <w:r>
        <w:t>Sector-specific understanding — advice is adapted to the client's operating reality.</w:t>
      </w:r>
    </w:p>
    <w:p>
      <w:pPr>
        <w:pStyle w:val="ListBullet"/>
        <w:spacing w:after="40"/>
      </w:pPr>
      <w:r>
        <w:t>End-to-end transaction support — from structuring and documentation to negotiation, closing and post-transaction support.</w:t>
      </w:r>
    </w:p>
    <w:p>
      <w:pPr>
        <w:pStyle w:val="ListBullet"/>
        <w:spacing w:after="40"/>
      </w:pPr>
      <w:r>
        <w:t>Long-term advisory mindset — continuing legal support, not only one-off documents.</w:t>
      </w:r>
    </w:p>
    <w:p>
      <w:pPr>
        <w:pStyle w:val="ListBullet"/>
        <w:spacing w:after="40"/>
      </w:pPr>
      <w:r>
        <w:t>Technology-enabled delivery — technology improves legal workflows while professional legal advice remains central.</w:t>
      </w:r>
    </w:p>
    <w:p>
      <w:pPr>
        <w:pStyle w:val="Heading2"/>
        <w:spacing w:before="200" w:after="80"/>
      </w:pPr>
      <w:r>
        <w:rPr>
          <w:b/>
        </w:rPr>
        <w:t>Section 06 — Industry Expertise</w:t>
      </w:r>
    </w:p>
    <w:p>
      <w:r>
        <w:rPr>
          <w:b/>
        </w:rPr>
        <w:t xml:space="preserve">Section headline: </w:t>
      </w:r>
      <w:r>
        <w:t>Legal Counsel Built Around Your Industry.</w:t>
      </w:r>
    </w:p>
    <w:p>
      <w:pPr>
        <w:pStyle w:val="ListBullet"/>
        <w:spacing w:after="40"/>
      </w:pPr>
      <w:r>
        <w:t>Startups &amp; Emerging Businesses</w:t>
      </w:r>
    </w:p>
    <w:p>
      <w:pPr>
        <w:pStyle w:val="ListBullet"/>
        <w:spacing w:after="40"/>
      </w:pPr>
      <w:r>
        <w:t>MSMEs &amp; Corporates</w:t>
      </w:r>
    </w:p>
    <w:p>
      <w:pPr>
        <w:pStyle w:val="ListBullet"/>
        <w:spacing w:after="40"/>
      </w:pPr>
      <w:r>
        <w:t>Educational Institutions</w:t>
      </w:r>
    </w:p>
    <w:p>
      <w:pPr>
        <w:pStyle w:val="ListBullet"/>
        <w:spacing w:after="40"/>
      </w:pPr>
      <w:r>
        <w:t>F&amp;B Businesses</w:t>
      </w:r>
    </w:p>
    <w:p>
      <w:pPr>
        <w:pStyle w:val="ListBullet"/>
        <w:spacing w:after="40"/>
      </w:pPr>
      <w:r>
        <w:t>SaaS &amp; Technology Businesses</w:t>
      </w:r>
    </w:p>
    <w:p>
      <w:pPr>
        <w:pStyle w:val="ListBullet"/>
        <w:spacing w:after="40"/>
      </w:pPr>
      <w:r>
        <w:t>E-commerce</w:t>
      </w:r>
    </w:p>
    <w:p>
      <w:pPr>
        <w:pStyle w:val="ListBullet"/>
        <w:spacing w:after="40"/>
      </w:pPr>
      <w:r>
        <w:t>Healthcare &amp; MedTech</w:t>
      </w:r>
    </w:p>
    <w:p>
      <w:pPr>
        <w:pStyle w:val="ListBullet"/>
        <w:spacing w:after="40"/>
      </w:pPr>
      <w:r>
        <w:t>Real Estate</w:t>
      </w:r>
    </w:p>
    <w:p>
      <w:pPr>
        <w:pStyle w:val="ListBullet"/>
        <w:spacing w:after="40"/>
      </w:pPr>
      <w:r>
        <w:t>Hospitality</w:t>
      </w:r>
    </w:p>
    <w:p>
      <w:r>
        <w:t>Each industry card should lead to a dedicated industry page explaining typical legal needs, risks and relevant VidhiSetu services.</w:t>
      </w:r>
    </w:p>
    <w:p>
      <w:pPr>
        <w:pStyle w:val="Heading2"/>
        <w:spacing w:before="200" w:after="80"/>
      </w:pPr>
      <w:r>
        <w:rPr>
          <w:b/>
        </w:rPr>
        <w:t>Section 07 — Featured Startup Legal Section</w:t>
      </w:r>
    </w:p>
    <w:p>
      <w:r>
        <w:rPr>
          <w:b/>
        </w:rPr>
        <w:t xml:space="preserve">Headline: </w:t>
      </w:r>
      <w:r>
        <w:t>From Incorporation to Investment — We Build the Legal Foundation.</w:t>
      </w:r>
    </w:p>
    <w:p>
      <w:pPr>
        <w:pStyle w:val="ListBullet"/>
        <w:spacing w:after="40"/>
      </w:pPr>
      <w:r>
        <w:t>Incorporation</w:t>
      </w:r>
    </w:p>
    <w:p>
      <w:pPr>
        <w:pStyle w:val="ListBullet"/>
        <w:spacing w:after="40"/>
      </w:pPr>
      <w:r>
        <w:t>Business Structuring</w:t>
      </w:r>
    </w:p>
    <w:p>
      <w:pPr>
        <w:pStyle w:val="ListBullet"/>
        <w:spacing w:after="40"/>
      </w:pPr>
      <w:r>
        <w:t>Founder &amp; Co-founder Documentation</w:t>
      </w:r>
    </w:p>
    <w:p>
      <w:pPr>
        <w:pStyle w:val="ListBullet"/>
        <w:spacing w:after="40"/>
      </w:pPr>
      <w:r>
        <w:t>Contracts</w:t>
      </w:r>
    </w:p>
    <w:p>
      <w:pPr>
        <w:pStyle w:val="ListBullet"/>
        <w:spacing w:after="40"/>
      </w:pPr>
      <w:r>
        <w:t>Intellectual Property</w:t>
      </w:r>
    </w:p>
    <w:p>
      <w:pPr>
        <w:pStyle w:val="ListBullet"/>
        <w:spacing w:after="40"/>
      </w:pPr>
      <w:r>
        <w:t>Compliance</w:t>
      </w:r>
    </w:p>
    <w:p>
      <w:pPr>
        <w:pStyle w:val="ListBullet"/>
        <w:spacing w:after="40"/>
      </w:pPr>
      <w:r>
        <w:t>Fundraising</w:t>
      </w:r>
    </w:p>
    <w:p>
      <w:pPr>
        <w:pStyle w:val="ListBullet"/>
        <w:spacing w:after="40"/>
      </w:pPr>
      <w:r>
        <w:t>Due Diligence</w:t>
      </w:r>
    </w:p>
    <w:p>
      <w:pPr>
        <w:pStyle w:val="ListBullet"/>
        <w:spacing w:after="40"/>
      </w:pPr>
      <w:r>
        <w:t>Ongoing Legal Advisory</w:t>
      </w:r>
    </w:p>
    <w:p>
      <w:r>
        <w:rPr>
          <w:b/>
        </w:rPr>
        <w:t xml:space="preserve">CTA: </w:t>
      </w:r>
      <w:r>
        <w:t>Explore Startup Legal Services</w:t>
      </w:r>
    </w:p>
    <w:p>
      <w:pPr>
        <w:pStyle w:val="Heading2"/>
        <w:spacing w:before="200" w:after="80"/>
      </w:pPr>
      <w:r>
        <w:rPr>
          <w:b/>
        </w:rPr>
        <w:t>Section 08 — Legal Retainer / Ongoing Advisory</w:t>
      </w:r>
    </w:p>
    <w:p>
      <w:r>
        <w:rPr>
          <w:b/>
        </w:rPr>
        <w:t xml:space="preserve">Headline: </w:t>
      </w:r>
      <w:r>
        <w:t>Your Business Doesn't Need a Lawyer Only When Something Goes Wrong.</w:t>
      </w:r>
    </w:p>
    <w:p>
      <w:r>
        <w:t>Introduce VidhiSetu's retainer model as an ongoing legal partnership for businesses that want continuous access to legal advice and proactive risk management.</w:t>
      </w:r>
    </w:p>
    <w:p>
      <w:pPr>
        <w:pStyle w:val="ListBullet"/>
        <w:spacing w:after="40"/>
      </w:pPr>
      <w:r>
        <w:t>Monthly legal advisory</w:t>
      </w:r>
    </w:p>
    <w:p>
      <w:pPr>
        <w:pStyle w:val="ListBullet"/>
        <w:spacing w:after="40"/>
      </w:pPr>
      <w:r>
        <w:t>Contract review and support</w:t>
      </w:r>
    </w:p>
    <w:p>
      <w:pPr>
        <w:pStyle w:val="ListBullet"/>
        <w:spacing w:after="40"/>
      </w:pPr>
      <w:r>
        <w:t>Compliance guidance</w:t>
      </w:r>
    </w:p>
    <w:p>
      <w:pPr>
        <w:pStyle w:val="ListBullet"/>
        <w:spacing w:after="40"/>
      </w:pPr>
      <w:r>
        <w:t>Policies and documentation</w:t>
      </w:r>
    </w:p>
    <w:p>
      <w:pPr>
        <w:pStyle w:val="ListBullet"/>
        <w:spacing w:after="40"/>
      </w:pPr>
      <w:r>
        <w:t>Ongoing legal queries</w:t>
      </w:r>
    </w:p>
    <w:p>
      <w:pPr>
        <w:pStyle w:val="ListBullet"/>
        <w:spacing w:after="40"/>
      </w:pPr>
      <w:r>
        <w:t>Risk identification and preventive advice</w:t>
      </w:r>
    </w:p>
    <w:p>
      <w:pPr>
        <w:pStyle w:val="ListBullet"/>
        <w:spacing w:after="40"/>
      </w:pPr>
      <w:r>
        <w:t>Dedicated / structured legal support options</w:t>
      </w:r>
    </w:p>
    <w:p>
      <w:r>
        <w:rPr>
          <w:b/>
        </w:rPr>
        <w:t xml:space="preserve">CTA: </w:t>
      </w:r>
      <w:r>
        <w:t>Explore Legal Retainers</w:t>
      </w:r>
    </w:p>
    <w:p>
      <w:pPr>
        <w:pStyle w:val="Heading2"/>
        <w:spacing w:before="200" w:after="80"/>
      </w:pPr>
      <w:r>
        <w:rPr>
          <w:b/>
        </w:rPr>
        <w:t>Section 09 — Our Approach</w:t>
      </w:r>
    </w:p>
    <w:p>
      <w:r>
        <w:rPr>
          <w:b/>
        </w:rPr>
        <w:t xml:space="preserve">Headline: </w:t>
      </w:r>
      <w:r>
        <w:t>A Clear, Practical Approach to Legal Problems.</w:t>
      </w:r>
    </w:p>
    <w:p>
      <w:pPr>
        <w:pStyle w:val="ListBullet"/>
        <w:spacing w:after="40"/>
      </w:pPr>
      <w:r>
        <w:t>01 — Understand: Understand the business, context, objective and problem.</w:t>
      </w:r>
    </w:p>
    <w:p>
      <w:pPr>
        <w:pStyle w:val="ListBullet"/>
        <w:spacing w:after="40"/>
      </w:pPr>
      <w:r>
        <w:t>02 — Assess: Identify legal, commercial, regulatory and operational risks.</w:t>
      </w:r>
    </w:p>
    <w:p>
      <w:pPr>
        <w:pStyle w:val="ListBullet"/>
        <w:spacing w:after="40"/>
      </w:pPr>
      <w:r>
        <w:t>03 — Advise: Provide a practical legal strategy and explain available options.</w:t>
      </w:r>
    </w:p>
    <w:p>
      <w:pPr>
        <w:pStyle w:val="ListBullet"/>
        <w:spacing w:after="40"/>
      </w:pPr>
      <w:r>
        <w:t>04 — Execute: Draft, negotiate, file, structure or represent as required.</w:t>
      </w:r>
    </w:p>
    <w:p>
      <w:pPr>
        <w:pStyle w:val="ListBullet"/>
        <w:spacing w:after="40"/>
      </w:pPr>
      <w:r>
        <w:t>05 — Support: Continue to support the client as the business or matter evolves.</w:t>
      </w:r>
    </w:p>
    <w:p>
      <w:pPr>
        <w:pStyle w:val="Heading2"/>
        <w:spacing w:before="200" w:after="80"/>
      </w:pPr>
      <w:r>
        <w:rPr>
          <w:b/>
        </w:rPr>
        <w:t>Section 10 — Insights</w:t>
      </w:r>
    </w:p>
    <w:p>
      <w:r>
        <w:rPr>
          <w:b/>
        </w:rPr>
        <w:t xml:space="preserve">Headline: </w:t>
      </w:r>
      <w:r>
        <w:t>Legal Insights for Better Business Decisions.</w:t>
      </w:r>
    </w:p>
    <w:p>
      <w:pPr>
        <w:pStyle w:val="ListBullet"/>
        <w:spacing w:after="40"/>
      </w:pPr>
      <w:r>
        <w:t>Corporate Law</w:t>
      </w:r>
    </w:p>
    <w:p>
      <w:pPr>
        <w:pStyle w:val="ListBullet"/>
        <w:spacing w:after="40"/>
      </w:pPr>
      <w:r>
        <w:t>Startup Law</w:t>
      </w:r>
    </w:p>
    <w:p>
      <w:pPr>
        <w:pStyle w:val="ListBullet"/>
        <w:spacing w:after="40"/>
      </w:pPr>
      <w:r>
        <w:t>Contracts</w:t>
      </w:r>
    </w:p>
    <w:p>
      <w:pPr>
        <w:pStyle w:val="ListBullet"/>
        <w:spacing w:after="40"/>
      </w:pPr>
      <w:r>
        <w:t>Compliance</w:t>
      </w:r>
    </w:p>
    <w:p>
      <w:pPr>
        <w:pStyle w:val="ListBullet"/>
        <w:spacing w:after="40"/>
      </w:pPr>
      <w:r>
        <w:t>Intellectual Property</w:t>
      </w:r>
    </w:p>
    <w:p>
      <w:pPr>
        <w:pStyle w:val="ListBullet"/>
        <w:spacing w:after="40"/>
      </w:pPr>
      <w:r>
        <w:t>Employment</w:t>
      </w:r>
    </w:p>
    <w:p>
      <w:pPr>
        <w:pStyle w:val="ListBullet"/>
        <w:spacing w:after="40"/>
      </w:pPr>
      <w:r>
        <w:t>Disputes &amp; Litigation</w:t>
      </w:r>
    </w:p>
    <w:p>
      <w:r>
        <w:t>Use 3–4 featured article cards with a clean editorial layout and a View All Insights CTA.</w:t>
      </w:r>
    </w:p>
    <w:p>
      <w:pPr>
        <w:pStyle w:val="Heading2"/>
        <w:spacing w:before="200" w:after="80"/>
      </w:pPr>
      <w:r>
        <w:rPr>
          <w:b/>
        </w:rPr>
        <w:t>Section 11 — Consultation CTA</w:t>
      </w:r>
    </w:p>
    <w:p>
      <w:r>
        <w:rPr>
          <w:b/>
        </w:rPr>
        <w:t xml:space="preserve">Headline: </w:t>
      </w:r>
      <w:r>
        <w:t>Have a Legal Issue? Let's Discuss It Before It Becomes a Legal Problem.</w:t>
      </w:r>
    </w:p>
    <w:p>
      <w:pPr>
        <w:pStyle w:val="ListBullet"/>
        <w:spacing w:after="40"/>
      </w:pPr>
      <w:r>
        <w:t>Name</w:t>
      </w:r>
    </w:p>
    <w:p>
      <w:pPr>
        <w:pStyle w:val="ListBullet"/>
        <w:spacing w:after="40"/>
      </w:pPr>
      <w:r>
        <w:t>Organisation</w:t>
      </w:r>
    </w:p>
    <w:p>
      <w:pPr>
        <w:pStyle w:val="ListBullet"/>
        <w:spacing w:after="40"/>
      </w:pPr>
      <w:r>
        <w:t>Email</w:t>
      </w:r>
    </w:p>
    <w:p>
      <w:pPr>
        <w:pStyle w:val="ListBullet"/>
        <w:spacing w:after="40"/>
      </w:pPr>
      <w:r>
        <w:t>Phone</w:t>
      </w:r>
    </w:p>
    <w:p>
      <w:pPr>
        <w:pStyle w:val="ListBullet"/>
        <w:spacing w:after="40"/>
      </w:pPr>
      <w:r>
        <w:t>Legal Requirement / Practice Area</w:t>
      </w:r>
    </w:p>
    <w:p>
      <w:pPr>
        <w:pStyle w:val="ListBullet"/>
        <w:spacing w:after="40"/>
      </w:pPr>
      <w:r>
        <w:t>Brief Description of Requirement</w:t>
      </w:r>
    </w:p>
    <w:p>
      <w:pPr>
        <w:pStyle w:val="ListBullet"/>
        <w:spacing w:after="40"/>
      </w:pPr>
      <w:r>
        <w:t>Preferred Consultation Mode</w:t>
      </w:r>
    </w:p>
    <w:p>
      <w:r>
        <w:rPr>
          <w:b/>
        </w:rPr>
        <w:t xml:space="preserve">Primary CTA: </w:t>
      </w:r>
      <w:r>
        <w:t>Book a Consultation</w:t>
      </w:r>
    </w:p>
    <w:p>
      <w:pPr>
        <w:pStyle w:val="Heading2"/>
        <w:spacing w:before="200" w:after="80"/>
      </w:pPr>
      <w:r>
        <w:rPr>
          <w:b/>
        </w:rPr>
        <w:t>Section 12 — Footer</w:t>
      </w:r>
    </w:p>
    <w:p>
      <w:pPr>
        <w:pStyle w:val="ListBullet"/>
        <w:spacing w:after="40"/>
      </w:pPr>
      <w:r>
        <w:t>VidhiSetu logo and short positioning statement</w:t>
      </w:r>
    </w:p>
    <w:p>
      <w:pPr>
        <w:pStyle w:val="ListBullet"/>
        <w:spacing w:after="40"/>
      </w:pPr>
      <w:r>
        <w:t>Practice Areas</w:t>
      </w:r>
    </w:p>
    <w:p>
      <w:pPr>
        <w:pStyle w:val="ListBullet"/>
        <w:spacing w:after="40"/>
      </w:pPr>
      <w:r>
        <w:t>Industries</w:t>
      </w:r>
    </w:p>
    <w:p>
      <w:pPr>
        <w:pStyle w:val="ListBullet"/>
        <w:spacing w:after="40"/>
      </w:pPr>
      <w:r>
        <w:t>About Us</w:t>
      </w:r>
    </w:p>
    <w:p>
      <w:pPr>
        <w:pStyle w:val="ListBullet"/>
        <w:spacing w:after="40"/>
      </w:pPr>
      <w:r>
        <w:t>Insights</w:t>
      </w:r>
    </w:p>
    <w:p>
      <w:pPr>
        <w:pStyle w:val="ListBullet"/>
        <w:spacing w:after="40"/>
      </w:pPr>
      <w:r>
        <w:t>Contact</w:t>
      </w:r>
    </w:p>
    <w:p>
      <w:pPr>
        <w:pStyle w:val="ListBullet"/>
        <w:spacing w:after="40"/>
      </w:pPr>
      <w:r>
        <w:t>Book a Consultation</w:t>
      </w:r>
    </w:p>
    <w:p>
      <w:pPr>
        <w:pStyle w:val="ListBullet"/>
        <w:spacing w:after="40"/>
      </w:pPr>
      <w:r>
        <w:t>Client Login</w:t>
      </w:r>
    </w:p>
    <w:p>
      <w:pPr>
        <w:pStyle w:val="ListBullet"/>
        <w:spacing w:after="40"/>
      </w:pPr>
      <w:r>
        <w:t>Privacy Policy</w:t>
      </w:r>
    </w:p>
    <w:p>
      <w:pPr>
        <w:pStyle w:val="ListBullet"/>
        <w:spacing w:after="40"/>
      </w:pPr>
      <w:r>
        <w:t>Terms / Website Terms</w:t>
      </w:r>
    </w:p>
    <w:p>
      <w:pPr>
        <w:pStyle w:val="ListBullet"/>
        <w:spacing w:after="40"/>
      </w:pPr>
      <w:r>
        <w:t>Disclaimer</w:t>
      </w:r>
    </w:p>
    <w:p>
      <w:pPr>
        <w:pStyle w:val="ListBullet"/>
        <w:spacing w:after="40"/>
      </w:pPr>
      <w:r>
        <w:t>Professional / Legal Disclaimer as applicable</w:t>
      </w:r>
    </w:p>
    <w:p>
      <w:pPr>
        <w:pStyle w:val="Heading1"/>
        <w:spacing w:before="200" w:after="80"/>
      </w:pPr>
      <w:r>
        <w:rPr>
          <w:b/>
        </w:rPr>
        <w:t>3. Recommended Inner Page Architecture</w:t>
      </w:r>
    </w:p>
    <w:p>
      <w:pPr>
        <w:pStyle w:val="Heading2"/>
        <w:spacing w:before="200" w:after="80"/>
      </w:pPr>
      <w:r>
        <w:rPr>
          <w:b/>
        </w:rPr>
        <w:t>About Us</w:t>
      </w:r>
    </w:p>
    <w:p>
      <w:pPr>
        <w:pStyle w:val="ListBullet"/>
        <w:spacing w:after="40"/>
      </w:pPr>
      <w:r>
        <w:t>Firm introduction and philosophy</w:t>
      </w:r>
    </w:p>
    <w:p>
      <w:pPr>
        <w:pStyle w:val="ListBullet"/>
        <w:spacing w:after="40"/>
      </w:pPr>
      <w:r>
        <w:t>Business-first legal approach</w:t>
      </w:r>
    </w:p>
    <w:p>
      <w:pPr>
        <w:pStyle w:val="ListBullet"/>
        <w:spacing w:after="40"/>
      </w:pPr>
      <w:r>
        <w:t>Core values</w:t>
      </w:r>
    </w:p>
    <w:p>
      <w:pPr>
        <w:pStyle w:val="ListBullet"/>
        <w:spacing w:after="40"/>
      </w:pPr>
      <w:r>
        <w:t>How VidhiSetu works</w:t>
      </w:r>
    </w:p>
    <w:p>
      <w:pPr>
        <w:pStyle w:val="ListBullet"/>
        <w:spacing w:after="40"/>
      </w:pPr>
      <w:r>
        <w:t>Team / legal professionals</w:t>
      </w:r>
    </w:p>
    <w:p>
      <w:pPr>
        <w:pStyle w:val="ListBullet"/>
        <w:spacing w:after="40"/>
      </w:pPr>
      <w:r>
        <w:t>Why clients work with us</w:t>
      </w:r>
    </w:p>
    <w:p>
      <w:pPr>
        <w:pStyle w:val="ListBullet"/>
        <w:spacing w:after="40"/>
      </w:pPr>
      <w:r>
        <w:t>Book a Consultation</w:t>
      </w:r>
    </w:p>
    <w:p>
      <w:pPr>
        <w:pStyle w:val="Heading2"/>
        <w:spacing w:before="200" w:after="80"/>
      </w:pPr>
      <w:r>
        <w:rPr>
          <w:b/>
        </w:rPr>
        <w:t>Practice Areas</w:t>
      </w:r>
    </w:p>
    <w:p>
      <w:pPr>
        <w:pStyle w:val="ListBullet"/>
        <w:spacing w:after="40"/>
      </w:pPr>
      <w:r>
        <w:t>Corporate &amp; Commercial</w:t>
      </w:r>
    </w:p>
    <w:p>
      <w:pPr>
        <w:pStyle w:val="ListBullet"/>
        <w:spacing w:after="40"/>
      </w:pPr>
      <w:r>
        <w:t>Contracts</w:t>
      </w:r>
    </w:p>
    <w:p>
      <w:pPr>
        <w:pStyle w:val="ListBullet"/>
        <w:spacing w:after="40"/>
      </w:pPr>
      <w:r>
        <w:t>Startup &amp; Investment</w:t>
      </w:r>
    </w:p>
    <w:p>
      <w:pPr>
        <w:pStyle w:val="ListBullet"/>
        <w:spacing w:after="40"/>
      </w:pPr>
      <w:r>
        <w:t>IPR</w:t>
      </w:r>
    </w:p>
    <w:p>
      <w:pPr>
        <w:pStyle w:val="ListBullet"/>
        <w:spacing w:after="40"/>
      </w:pPr>
      <w:r>
        <w:t>Compliance &amp; Regulatory</w:t>
      </w:r>
    </w:p>
    <w:p>
      <w:pPr>
        <w:pStyle w:val="ListBullet"/>
        <w:spacing w:after="40"/>
      </w:pPr>
      <w:r>
        <w:t>Employment &amp; Labour</w:t>
      </w:r>
    </w:p>
    <w:p>
      <w:pPr>
        <w:pStyle w:val="ListBullet"/>
        <w:spacing w:after="40"/>
      </w:pPr>
      <w:r>
        <w:t>Litigation &amp; Arbitration</w:t>
      </w:r>
    </w:p>
    <w:p>
      <w:pPr>
        <w:pStyle w:val="ListBullet"/>
        <w:spacing w:after="40"/>
      </w:pPr>
      <w:r>
        <w:t>Legal Due Diligence</w:t>
      </w:r>
    </w:p>
    <w:p>
      <w:pPr>
        <w:pStyle w:val="ListBullet"/>
        <w:spacing w:after="40"/>
      </w:pPr>
      <w:r>
        <w:t>Legal Retainers</w:t>
      </w:r>
    </w:p>
    <w:p>
      <w:pPr>
        <w:pStyle w:val="Heading2"/>
        <w:spacing w:before="200" w:after="80"/>
      </w:pPr>
      <w:r>
        <w:rPr>
          <w:b/>
        </w:rPr>
        <w:t>Industries</w:t>
      </w:r>
    </w:p>
    <w:p>
      <w:pPr>
        <w:pStyle w:val="ListBullet"/>
        <w:spacing w:after="40"/>
      </w:pPr>
      <w:r>
        <w:t>Startups &amp; Emerging Businesses</w:t>
      </w:r>
    </w:p>
    <w:p>
      <w:pPr>
        <w:pStyle w:val="ListBullet"/>
        <w:spacing w:after="40"/>
      </w:pPr>
      <w:r>
        <w:t>MSMEs &amp; Corporates</w:t>
      </w:r>
    </w:p>
    <w:p>
      <w:pPr>
        <w:pStyle w:val="ListBullet"/>
        <w:spacing w:after="40"/>
      </w:pPr>
      <w:r>
        <w:t>Educational Institutions</w:t>
      </w:r>
    </w:p>
    <w:p>
      <w:pPr>
        <w:pStyle w:val="ListBullet"/>
        <w:spacing w:after="40"/>
      </w:pPr>
      <w:r>
        <w:t>F&amp;B</w:t>
      </w:r>
    </w:p>
    <w:p>
      <w:pPr>
        <w:pStyle w:val="ListBullet"/>
        <w:spacing w:after="40"/>
      </w:pPr>
      <w:r>
        <w:t>SaaS &amp; Technology</w:t>
      </w:r>
    </w:p>
    <w:p>
      <w:pPr>
        <w:pStyle w:val="ListBullet"/>
        <w:spacing w:after="40"/>
      </w:pPr>
      <w:r>
        <w:t>E-commerce</w:t>
      </w:r>
    </w:p>
    <w:p>
      <w:pPr>
        <w:pStyle w:val="ListBullet"/>
        <w:spacing w:after="40"/>
      </w:pPr>
      <w:r>
        <w:t>Healthcare &amp; MedTech</w:t>
      </w:r>
    </w:p>
    <w:p>
      <w:pPr>
        <w:pStyle w:val="ListBullet"/>
        <w:spacing w:after="40"/>
      </w:pPr>
      <w:r>
        <w:t>Real Estate</w:t>
      </w:r>
    </w:p>
    <w:p>
      <w:pPr>
        <w:pStyle w:val="ListBullet"/>
        <w:spacing w:after="40"/>
      </w:pPr>
      <w:r>
        <w:t>Hospitality</w:t>
      </w:r>
    </w:p>
    <w:p>
      <w:pPr>
        <w:pStyle w:val="Heading2"/>
        <w:spacing w:before="200" w:after="80"/>
      </w:pPr>
      <w:r>
        <w:rPr>
          <w:b/>
        </w:rPr>
        <w:t>Our Approach</w:t>
      </w:r>
    </w:p>
    <w:p>
      <w:pPr>
        <w:pStyle w:val="ListBullet"/>
        <w:spacing w:after="40"/>
      </w:pPr>
      <w:r>
        <w:t>Understand → Assess → Advise → Execute → Support</w:t>
      </w:r>
    </w:p>
    <w:p>
      <w:pPr>
        <w:pStyle w:val="ListBullet"/>
        <w:spacing w:after="40"/>
      </w:pPr>
      <w:r>
        <w:t>Preventive legal philosophy</w:t>
      </w:r>
    </w:p>
    <w:p>
      <w:pPr>
        <w:pStyle w:val="ListBullet"/>
        <w:spacing w:after="40"/>
      </w:pPr>
      <w:r>
        <w:t>Commercially practical advice</w:t>
      </w:r>
    </w:p>
    <w:p>
      <w:pPr>
        <w:pStyle w:val="ListBullet"/>
        <w:spacing w:after="40"/>
      </w:pPr>
      <w:r>
        <w:t>Long-term legal partnership</w:t>
      </w:r>
    </w:p>
    <w:p>
      <w:pPr>
        <w:pStyle w:val="Heading2"/>
        <w:spacing w:before="200" w:after="80"/>
      </w:pPr>
      <w:r>
        <w:rPr>
          <w:b/>
        </w:rPr>
        <w:t>Insights</w:t>
      </w:r>
    </w:p>
    <w:p>
      <w:pPr>
        <w:pStyle w:val="ListBullet"/>
        <w:spacing w:after="40"/>
      </w:pPr>
      <w:r>
        <w:t>Articles / blogs</w:t>
      </w:r>
    </w:p>
    <w:p>
      <w:pPr>
        <w:pStyle w:val="ListBullet"/>
        <w:spacing w:after="40"/>
      </w:pPr>
      <w:r>
        <w:t>Practice-area filters</w:t>
      </w:r>
    </w:p>
    <w:p>
      <w:pPr>
        <w:pStyle w:val="ListBullet"/>
        <w:spacing w:after="40"/>
      </w:pPr>
      <w:r>
        <w:t>Industry filters</w:t>
      </w:r>
    </w:p>
    <w:p>
      <w:pPr>
        <w:pStyle w:val="ListBullet"/>
        <w:spacing w:after="40"/>
      </w:pPr>
      <w:r>
        <w:t>Featured insights</w:t>
      </w:r>
    </w:p>
    <w:p>
      <w:pPr>
        <w:pStyle w:val="ListBullet"/>
        <w:spacing w:after="40"/>
      </w:pPr>
      <w:r>
        <w:t>Search functionality</w:t>
      </w:r>
    </w:p>
    <w:p>
      <w:pPr>
        <w:pStyle w:val="Heading2"/>
        <w:spacing w:before="200" w:after="80"/>
      </w:pPr>
      <w:r>
        <w:rPr>
          <w:b/>
        </w:rPr>
        <w:t>Contact / Consultation</w:t>
      </w:r>
    </w:p>
    <w:p>
      <w:pPr>
        <w:pStyle w:val="ListBullet"/>
        <w:spacing w:after="40"/>
      </w:pPr>
      <w:r>
        <w:t>Consultation enquiry form</w:t>
      </w:r>
    </w:p>
    <w:p>
      <w:pPr>
        <w:pStyle w:val="ListBullet"/>
        <w:spacing w:after="40"/>
      </w:pPr>
      <w:r>
        <w:t>Contact information</w:t>
      </w:r>
    </w:p>
    <w:p>
      <w:pPr>
        <w:pStyle w:val="ListBullet"/>
        <w:spacing w:after="40"/>
      </w:pPr>
      <w:r>
        <w:t>Office / location information if applicable</w:t>
      </w:r>
    </w:p>
    <w:p>
      <w:pPr>
        <w:pStyle w:val="ListBullet"/>
        <w:spacing w:after="40"/>
      </w:pPr>
      <w:r>
        <w:t>Consultation process</w:t>
      </w:r>
    </w:p>
    <w:p>
      <w:pPr>
        <w:pStyle w:val="ListBullet"/>
        <w:spacing w:after="40"/>
      </w:pPr>
      <w:r>
        <w:t>Professional disclaimer</w:t>
      </w:r>
    </w:p>
    <w:p>
      <w:pPr>
        <w:pStyle w:val="Heading1"/>
        <w:spacing w:before="200" w:after="80"/>
      </w:pPr>
      <w:r>
        <w:rPr>
          <w:b/>
        </w:rPr>
        <w:t>4. Visual Design Direction for Odoo</w:t>
      </w:r>
    </w:p>
    <w:p>
      <w:pPr>
        <w:pStyle w:val="ListBullet"/>
        <w:spacing w:after="40"/>
      </w:pPr>
      <w:r>
        <w:t>Overall style: premium Indian law-firm + modern business advisory.</w:t>
      </w:r>
    </w:p>
    <w:p>
      <w:pPr>
        <w:pStyle w:val="ListBullet"/>
        <w:spacing w:after="40"/>
      </w:pPr>
      <w:r>
        <w:t>Typography: strong editorial headings paired with a clean sans-serif body font.</w:t>
      </w:r>
    </w:p>
    <w:p>
      <w:pPr>
        <w:pStyle w:val="ListBullet"/>
        <w:spacing w:after="40"/>
      </w:pPr>
      <w:r>
        <w:t>Layout: generous whitespace, large headings, restrained animations and structured content blocks.</w:t>
      </w:r>
    </w:p>
    <w:p>
      <w:pPr>
        <w:pStyle w:val="ListBullet"/>
        <w:spacing w:after="40"/>
      </w:pPr>
      <w:r>
        <w:t>Cards: minimal borders and subtle depth; avoid overly rounded SaaS-style cards.</w:t>
      </w:r>
    </w:p>
    <w:p>
      <w:pPr>
        <w:pStyle w:val="ListBullet"/>
        <w:spacing w:after="40"/>
      </w:pPr>
      <w:r>
        <w:t>Imagery: business leadership, meetings, contracts, corporate environments and refined professional portraits.</w:t>
      </w:r>
    </w:p>
    <w:p>
      <w:pPr>
        <w:pStyle w:val="ListBullet"/>
        <w:spacing w:after="40"/>
      </w:pPr>
      <w:r>
        <w:t>Avoid gavel-heavy visuals, courthouse clichés, generic lawyer stock imagery, excessive gradients and dashboard-style UI.</w:t>
      </w:r>
    </w:p>
    <w:p>
      <w:pPr>
        <w:pStyle w:val="ListBullet"/>
        <w:spacing w:after="40"/>
      </w:pPr>
      <w:r>
        <w:t>Use a sticky header with a prominent Book a Consultation button.</w:t>
      </w:r>
    </w:p>
    <w:p>
      <w:pPr>
        <w:pStyle w:val="ListBullet"/>
        <w:spacing w:after="40"/>
      </w:pPr>
      <w:r>
        <w:t>Mobile: keep the consultation CTA accessible and forms short.</w:t>
      </w:r>
    </w:p>
    <w:p>
      <w:pPr>
        <w:pStyle w:val="ListBullet"/>
        <w:spacing w:after="40"/>
      </w:pPr>
      <w:r>
        <w:t>Performance: compress images, keep animations lightweight and avoid unnecessary scripts.</w:t>
      </w:r>
    </w:p>
    <w:p>
      <w:pPr>
        <w:pStyle w:val="Heading1"/>
        <w:spacing w:before="200" w:after="80"/>
      </w:pPr>
      <w:r>
        <w:rPr>
          <w:b/>
        </w:rPr>
        <w:t>5. Conversion Features to Include</w:t>
      </w:r>
    </w:p>
    <w:p>
      <w:pPr>
        <w:pStyle w:val="ListBullet"/>
        <w:spacing w:after="40"/>
      </w:pPr>
      <w:r>
        <w:t>Sticky Book a Consultation CTA</w:t>
      </w:r>
    </w:p>
    <w:p>
      <w:pPr>
        <w:pStyle w:val="ListBullet"/>
        <w:spacing w:after="40"/>
      </w:pPr>
      <w:r>
        <w:t>Short consultation form</w:t>
      </w:r>
    </w:p>
    <w:p>
      <w:pPr>
        <w:pStyle w:val="ListBullet"/>
        <w:spacing w:after="40"/>
      </w:pPr>
      <w:r>
        <w:t>Click-to-call and email options on mobile</w:t>
      </w:r>
    </w:p>
    <w:p>
      <w:pPr>
        <w:pStyle w:val="ListBullet"/>
        <w:spacing w:after="40"/>
      </w:pPr>
      <w:r>
        <w:t>Practice-area enquiry routing</w:t>
      </w:r>
    </w:p>
    <w:p>
      <w:pPr>
        <w:pStyle w:val="ListBullet"/>
        <w:spacing w:after="40"/>
      </w:pPr>
      <w:r>
        <w:t>Industry-specific landing pages</w:t>
      </w:r>
    </w:p>
    <w:p>
      <w:pPr>
        <w:pStyle w:val="ListBullet"/>
        <w:spacing w:after="40"/>
      </w:pPr>
      <w:r>
        <w:t>Insights / blog with search and filters</w:t>
      </w:r>
    </w:p>
    <w:p>
      <w:pPr>
        <w:pStyle w:val="ListBullet"/>
        <w:spacing w:after="40"/>
      </w:pPr>
      <w:r>
        <w:t>Client Login link kept visually secondary</w:t>
      </w:r>
    </w:p>
    <w:p>
      <w:pPr>
        <w:pStyle w:val="ListBullet"/>
        <w:spacing w:after="40"/>
      </w:pPr>
      <w:r>
        <w:t>Clear disclaimer and privacy links</w:t>
      </w:r>
    </w:p>
    <w:p>
      <w:pPr>
        <w:pStyle w:val="ListBullet"/>
        <w:spacing w:after="40"/>
      </w:pPr>
      <w:r>
        <w:t>Thank-you page after enquiry submission</w:t>
      </w:r>
    </w:p>
    <w:p>
      <w:pPr>
        <w:pStyle w:val="ListBullet"/>
        <w:spacing w:after="40"/>
      </w:pPr>
      <w:r>
        <w:t>Basic analytics / conversion tracking for consultation enquiries</w:t>
      </w:r>
    </w:p>
    <w:p>
      <w:pPr>
        <w:pStyle w:val="Heading1"/>
        <w:spacing w:before="200" w:after="80"/>
      </w:pPr>
      <w:r>
        <w:rPr>
          <w:b/>
        </w:rPr>
        <w:t>6. Critical Positioning Rule</w:t>
      </w:r>
    </w:p>
    <w:p>
      <w:r>
        <w:rPr>
          <w:b/>
        </w:rPr>
        <w:t>Do not turn this website into the LegalTech website.</w:t>
      </w:r>
    </w:p>
    <w:p>
      <w:r>
        <w:t>The law-firm website should make a prospective client think: “These people understand my business, can handle my legal issue and can become my long-term legal counsel.”</w:t>
      </w:r>
    </w:p>
    <w:p>
      <w:r>
        <w:t>Technology-enabled delivery may be mentioned as a supporting capability, but the homepage proposition must remain legal expertise, advisory, protection and execution.</w:t>
      </w:r>
    </w:p>
    <w:p>
      <w:pPr>
        <w:pStyle w:val="Heading1"/>
        <w:spacing w:before="200" w:after="80"/>
      </w:pPr>
      <w:r>
        <w:rPr>
          <w:b/>
        </w:rPr>
        <w:t>7. Recommended Homepage Flow — One-Line Blueprint</w:t>
      </w:r>
    </w:p>
    <w:p>
      <w:r>
        <w:t>Header → Hero → Trust / Practice Strip → What We Do → Why VidhiSetu → Industry Expertise → Startup Legal Journey → Legal Retainer → Our Approach → Insights → Consultation CTA → Footer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