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i w:val="0"/>
          <w:color w:val="000000"/>
          <w:sz w:val="32"/>
        </w:rPr>
        <w:t>A MINI PROJECT REPORT ON</w:t>
      </w:r>
    </w:p>
    <w:p/>
    <w:p>
      <w:pPr>
        <w:jc w:val="center"/>
      </w:pPr>
      <w:r>
        <w:rPr>
          <w:rFonts w:ascii="Times New Roman" w:hAnsi="Times New Roman"/>
          <w:b/>
          <w:i w:val="0"/>
          <w:color w:val="000000"/>
          <w:sz w:val="40"/>
        </w:rPr>
        <w:t>HalluciGuard — LLM Hallucination Mitigation Pipeline</w:t>
      </w:r>
    </w:p>
    <w:p/>
    <w:p>
      <w:pPr>
        <w:spacing w:after="120" w:line="360" w:lineRule="auto"/>
        <w:jc w:val="center"/>
      </w:pPr>
      <w:r>
        <w:rPr>
          <w:rFonts w:ascii="Times New Roman" w:hAnsi="Times New Roman"/>
          <w:b w:val="0"/>
          <w:i/>
          <w:color w:val="000000"/>
          <w:sz w:val="24"/>
        </w:rPr>
        <w:t>Based on the paper:</w:t>
      </w:r>
    </w:p>
    <w:p>
      <w:pPr>
        <w:spacing w:after="120" w:line="360" w:lineRule="auto"/>
        <w:jc w:val="center"/>
      </w:pPr>
      <w:r>
        <w:rPr>
          <w:rFonts w:ascii="Times New Roman" w:hAnsi="Times New Roman"/>
          <w:b/>
          <w:i w:val="0"/>
          <w:color w:val="000000"/>
          <w:sz w:val="26"/>
        </w:rPr>
        <w:t>"Demystifying Machine Imagination: A Comprehensive Review of</w:t>
        <w:br/>
        <w:t>Hallucination Control in Large Language Models"</w:t>
      </w:r>
    </w:p>
    <w:p/>
    <w:p/>
    <w:p/>
    <w:p>
      <w:pPr>
        <w:spacing w:after="120" w:line="360" w:lineRule="auto"/>
        <w:jc w:val="center"/>
      </w:pPr>
      <w:r>
        <w:rPr>
          <w:rFonts w:ascii="Times New Roman" w:hAnsi="Times New Roman"/>
          <w:b/>
          <w:i w:val="0"/>
          <w:color w:val="000000"/>
          <w:sz w:val="24"/>
        </w:rPr>
        <w:t>SUBMITTED TO MIT SCHOOL OF COMPUTING, LONI, PUNE</w:t>
      </w:r>
    </w:p>
    <w:p>
      <w:pPr>
        <w:spacing w:after="120" w:line="360" w:lineRule="auto"/>
        <w:jc w:val="center"/>
      </w:pPr>
      <w:r>
        <w:rPr>
          <w:rFonts w:ascii="Times New Roman" w:hAnsi="Times New Roman"/>
          <w:b/>
          <w:i w:val="0"/>
          <w:color w:val="000000"/>
          <w:sz w:val="28"/>
        </w:rPr>
        <w:t>Kashyap Barad</w:t>
      </w:r>
    </w:p>
    <w:p/>
    <w:p>
      <w:pPr>
        <w:spacing w:after="120" w:line="360" w:lineRule="auto"/>
        <w:jc w:val="center"/>
      </w:pPr>
      <w:r>
        <w:rPr>
          <w:rFonts w:ascii="Times New Roman" w:hAnsi="Times New Roman"/>
          <w:b/>
          <w:i w:val="0"/>
          <w:color w:val="000000"/>
          <w:sz w:val="24"/>
        </w:rPr>
        <w:t>DEPARTMENT OF COMPUTER SCIENCE AND ENGINEERING</w:t>
        <w:br/>
        <w:t>MIT SCHOOL OF COMPUTING</w:t>
        <w:br/>
        <w:t>RAJBAUG, LONI KALBHOR, PUNE – 412201</w:t>
      </w:r>
    </w:p>
    <w:p>
      <w:pPr>
        <w:spacing w:after="120" w:line="360" w:lineRule="auto"/>
        <w:jc w:val="center"/>
      </w:pPr>
      <w:r>
        <w:rPr>
          <w:rFonts w:ascii="Times New Roman" w:hAnsi="Times New Roman"/>
          <w:b/>
          <w:i w:val="0"/>
          <w:color w:val="000000"/>
          <w:sz w:val="28"/>
        </w:rPr>
        <w:t>2025–2026</w:t>
      </w:r>
    </w:p>
    <w:p>
      <w:r>
        <w:br w:type="page"/>
      </w:r>
    </w:p>
    <w:p>
      <w:pPr>
        <w:spacing w:before="600"/>
        <w:jc w:val="center"/>
      </w:pPr>
      <w:r>
        <w:rPr>
          <w:rFonts w:ascii="Times New Roman" w:hAnsi="Times New Roman"/>
          <w:b/>
          <w:i w:val="0"/>
          <w:color w:val="000000"/>
          <w:sz w:val="44"/>
        </w:rPr>
        <w:t>CHAPTER 1</w:t>
      </w:r>
    </w:p>
    <w:p>
      <w:pPr>
        <w:spacing w:after="400"/>
        <w:jc w:val="center"/>
      </w:pPr>
      <w:r>
        <w:rPr>
          <w:rFonts w:ascii="Times New Roman" w:hAnsi="Times New Roman"/>
          <w:b/>
          <w:i w:val="0"/>
          <w:color w:val="000000"/>
          <w:sz w:val="36"/>
        </w:rPr>
        <w:t>INTRODUCTION</w:t>
      </w:r>
    </w:p>
    <w:p>
      <w:pPr>
        <w:pStyle w:val="Heading2"/>
        <w:jc w:val="left"/>
      </w:pPr>
      <w:r>
        <w:rPr>
          <w:rFonts w:ascii="Times New Roman" w:hAnsi="Times New Roman"/>
          <w:color w:val="000000"/>
          <w:sz w:val="28"/>
        </w:rPr>
        <w:t>1.1 Background</w:t>
      </w:r>
    </w:p>
    <w:p>
      <w:pPr>
        <w:spacing w:after="120" w:line="360" w:lineRule="auto"/>
        <w:jc w:val="both"/>
      </w:pPr>
      <w:r>
        <w:rPr>
          <w:rFonts w:ascii="Times New Roman" w:hAnsi="Times New Roman"/>
          <w:b w:val="0"/>
          <w:i w:val="0"/>
          <w:color w:val="000000"/>
          <w:sz w:val="24"/>
        </w:rPr>
        <w:t>Large Language Models (LLMs) such as GPT-4, Mistral, LLaMA, and Gemini have revolutionized natural language processing, enabling applications ranging from chatbots and content generation to code assistance and medical diagnosis. However, these models suffer from a critical flaw known as hallucination — the generation of content that is factually incorrect, fabricated, or contradicts established knowledge, yet is presented with high confidence.</w:t>
      </w:r>
    </w:p>
    <w:p>
      <w:pPr>
        <w:spacing w:after="120" w:line="360" w:lineRule="auto"/>
        <w:jc w:val="both"/>
      </w:pPr>
      <w:r>
        <w:rPr>
          <w:rFonts w:ascii="Times New Roman" w:hAnsi="Times New Roman"/>
          <w:b w:val="0"/>
          <w:i w:val="0"/>
          <w:color w:val="000000"/>
          <w:sz w:val="24"/>
        </w:rPr>
        <w:t>Hallucinations pose serious risks in high-stakes domains such as healthcare, law, finance, and education, where incorrect information can lead to harmful decisions. As LLMs become increasingly deployed in production systems, the need for robust hallucination detection and mitigation mechanisms has become urgent.</w:t>
      </w:r>
    </w:p>
    <w:p>
      <w:pPr>
        <w:pStyle w:val="Heading2"/>
        <w:jc w:val="left"/>
      </w:pPr>
      <w:r>
        <w:rPr>
          <w:rFonts w:ascii="Times New Roman" w:hAnsi="Times New Roman"/>
          <w:color w:val="000000"/>
          <w:sz w:val="28"/>
        </w:rPr>
        <w:t>1.2 Problem Statement</w:t>
      </w:r>
    </w:p>
    <w:p>
      <w:pPr>
        <w:spacing w:after="120" w:line="360" w:lineRule="auto"/>
        <w:jc w:val="both"/>
      </w:pPr>
      <w:r>
        <w:rPr>
          <w:rFonts w:ascii="Times New Roman" w:hAnsi="Times New Roman"/>
          <w:b w:val="0"/>
          <w:i w:val="0"/>
          <w:color w:val="000000"/>
          <w:sz w:val="24"/>
        </w:rPr>
        <w:t>Despite significant advances in LLM capabilities, no single technique has proven sufficient to eliminate hallucinations entirely. Current approaches — including retrieval augmentation, fine-tuning, prompt engineering, and post-hoc verification — each address only a subset of hallucination causes. The challenge is to design a hybrid system that combines complementary techniques to achieve robust, multi-layered hallucination mitigation.</w:t>
      </w:r>
    </w:p>
    <w:p>
      <w:pPr>
        <w:pStyle w:val="Heading2"/>
        <w:jc w:val="left"/>
      </w:pPr>
      <w:r>
        <w:rPr>
          <w:rFonts w:ascii="Times New Roman" w:hAnsi="Times New Roman"/>
          <w:color w:val="000000"/>
          <w:sz w:val="28"/>
        </w:rPr>
        <w:t>1.3 Objective</w:t>
      </w:r>
    </w:p>
    <w:p>
      <w:pPr>
        <w:spacing w:after="120" w:line="360" w:lineRule="auto"/>
        <w:jc w:val="both"/>
      </w:pPr>
      <w:r>
        <w:rPr>
          <w:rFonts w:ascii="Times New Roman" w:hAnsi="Times New Roman"/>
          <w:b w:val="0"/>
          <w:i w:val="0"/>
          <w:color w:val="000000"/>
          <w:sz w:val="24"/>
        </w:rPr>
        <w:t>The objective of this project is to design, implement, and evaluate a 4-stage hybrid hallucination mitigation pipeline — named HalluciGuard — that combines:</w:t>
      </w:r>
    </w:p>
    <w:p>
      <w:pPr>
        <w:pStyle w:val="ListBullet"/>
        <w:spacing w:line="360" w:lineRule="auto"/>
      </w:pPr>
      <w:r>
        <w:rPr>
          <w:rFonts w:ascii="Times New Roman" w:hAnsi="Times New Roman"/>
          <w:b w:val="0"/>
          <w:i w:val="0"/>
          <w:color w:val="000000"/>
          <w:sz w:val="24"/>
        </w:rPr>
        <w:t>Retrieval-Augmented Generation (RAG) for factual grounding</w:t>
      </w:r>
    </w:p>
    <w:p>
      <w:pPr>
        <w:pStyle w:val="ListBullet"/>
        <w:spacing w:line="360" w:lineRule="auto"/>
      </w:pPr>
      <w:r>
        <w:rPr>
          <w:rFonts w:ascii="Times New Roman" w:hAnsi="Times New Roman"/>
          <w:b w:val="0"/>
          <w:i w:val="0"/>
          <w:color w:val="000000"/>
          <w:sz w:val="24"/>
        </w:rPr>
        <w:t>Self-Consistency Sampling for statistical consensus</w:t>
      </w:r>
    </w:p>
    <w:p>
      <w:pPr>
        <w:pStyle w:val="ListBullet"/>
        <w:spacing w:line="360" w:lineRule="auto"/>
      </w:pPr>
      <w:r>
        <w:rPr>
          <w:rFonts w:ascii="Times New Roman" w:hAnsi="Times New Roman"/>
          <w:b w:val="0"/>
          <w:i w:val="0"/>
          <w:color w:val="000000"/>
          <w:sz w:val="24"/>
        </w:rPr>
        <w:t>Uncertainty Estimation via semantic entropy for risk quantification</w:t>
      </w:r>
    </w:p>
    <w:p>
      <w:pPr>
        <w:pStyle w:val="ListBullet"/>
        <w:spacing w:line="360" w:lineRule="auto"/>
      </w:pPr>
      <w:r>
        <w:rPr>
          <w:rFonts w:ascii="Times New Roman" w:hAnsi="Times New Roman"/>
          <w:b w:val="0"/>
          <w:i w:val="0"/>
          <w:color w:val="000000"/>
          <w:sz w:val="24"/>
        </w:rPr>
        <w:t>NLI-based Verification for post-hoc grounding validation</w:t>
      </w:r>
    </w:p>
    <w:p>
      <w:pPr>
        <w:spacing w:after="120" w:line="360" w:lineRule="auto"/>
        <w:jc w:val="both"/>
      </w:pPr>
      <w:r>
        <w:rPr>
          <w:rFonts w:ascii="Times New Roman" w:hAnsi="Times New Roman"/>
          <w:b w:val="0"/>
          <w:i w:val="0"/>
          <w:color w:val="000000"/>
          <w:sz w:val="24"/>
        </w:rPr>
        <w:t>The system is evaluated on the TruthfulQA benchmark (817 questions across 38 categories) to validate the paper's thesis that a hybrid approach outperforms any individual technique.</w:t>
      </w:r>
    </w:p>
    <w:p>
      <w:pPr>
        <w:pStyle w:val="Heading2"/>
        <w:jc w:val="left"/>
      </w:pPr>
      <w:r>
        <w:rPr>
          <w:rFonts w:ascii="Times New Roman" w:hAnsi="Times New Roman"/>
          <w:color w:val="000000"/>
          <w:sz w:val="28"/>
        </w:rPr>
        <w:t>1.4 Scope</w:t>
      </w:r>
    </w:p>
    <w:p>
      <w:pPr>
        <w:spacing w:after="120" w:line="360" w:lineRule="auto"/>
        <w:jc w:val="both"/>
      </w:pPr>
      <w:r>
        <w:rPr>
          <w:rFonts w:ascii="Times New Roman" w:hAnsi="Times New Roman"/>
          <w:b w:val="0"/>
          <w:i w:val="0"/>
          <w:color w:val="000000"/>
          <w:sz w:val="24"/>
        </w:rPr>
        <w:t>This project implements the techniques surveyed in the IEEE conference paper "Demystifying Machine Imagination: A Comprehensive Review of Hallucination Control in Large Language Models" by Kashyap Barad et al. The implementation uses a simulated LLM with configurable hallucination rates for controlled experimentation, with a modular architecture designed for drop-in replacement with production LLMs.</w:t>
      </w:r>
    </w:p>
    <w:p>
      <w:r>
        <w:br w:type="page"/>
      </w:r>
    </w:p>
    <w:p>
      <w:pPr>
        <w:spacing w:before="600"/>
        <w:jc w:val="center"/>
      </w:pPr>
      <w:r>
        <w:rPr>
          <w:rFonts w:ascii="Times New Roman" w:hAnsi="Times New Roman"/>
          <w:b/>
          <w:i w:val="0"/>
          <w:color w:val="000000"/>
          <w:sz w:val="44"/>
        </w:rPr>
        <w:t>CHAPTER 2</w:t>
      </w:r>
    </w:p>
    <w:p>
      <w:pPr>
        <w:spacing w:after="400"/>
        <w:jc w:val="center"/>
      </w:pPr>
      <w:r>
        <w:rPr>
          <w:rFonts w:ascii="Times New Roman" w:hAnsi="Times New Roman"/>
          <w:b/>
          <w:i w:val="0"/>
          <w:color w:val="000000"/>
          <w:sz w:val="36"/>
        </w:rPr>
        <w:t>SYSTEM ARCHITECTURE</w:t>
      </w:r>
    </w:p>
    <w:p>
      <w:pPr>
        <w:pStyle w:val="Heading2"/>
        <w:jc w:val="left"/>
      </w:pPr>
      <w:r>
        <w:rPr>
          <w:rFonts w:ascii="Times New Roman" w:hAnsi="Times New Roman"/>
          <w:color w:val="000000"/>
          <w:sz w:val="28"/>
        </w:rPr>
        <w:t>2.1 Pipeline Overview</w:t>
      </w:r>
    </w:p>
    <w:p>
      <w:pPr>
        <w:spacing w:after="120" w:line="360" w:lineRule="auto"/>
        <w:jc w:val="both"/>
      </w:pPr>
      <w:r>
        <w:rPr>
          <w:rFonts w:ascii="Times New Roman" w:hAnsi="Times New Roman"/>
          <w:b w:val="0"/>
          <w:i w:val="0"/>
          <w:color w:val="000000"/>
          <w:sz w:val="24"/>
        </w:rPr>
        <w:t>HalluciGuard implements a 4-stage sequential pipeline where each stage addresses a different aspect of hallucination mitigation:</w:t>
      </w:r>
    </w:p>
    <w:tbl>
      <w:tblPr>
        <w:tblStyle w:val="LightGrid-Accent1"/>
        <w:tblW w:type="auto" w:w="0"/>
        <w:jc w:val="center"/>
        <w:tblLook w:firstColumn="1" w:firstRow="1" w:lastColumn="0" w:lastRow="0" w:noHBand="0" w:noVBand="1" w:val="04A0"/>
      </w:tblPr>
      <w:tblGrid>
        <w:gridCol w:w="2140"/>
        <w:gridCol w:w="2140"/>
        <w:gridCol w:w="2140"/>
        <w:gridCol w:w="2140"/>
      </w:tblGrid>
      <w:tr>
        <w:tc>
          <w:tcPr>
            <w:tcW w:type="dxa" w:w="2140"/>
          </w:tcPr>
          <w:p>
            <w:pPr>
              <w:jc w:val="center"/>
            </w:pPr>
            <w:r/>
            <w:r>
              <w:rPr>
                <w:rFonts w:ascii="Times New Roman" w:hAnsi="Times New Roman"/>
                <w:b/>
                <w:i w:val="0"/>
                <w:color w:val="000000"/>
                <w:sz w:val="20"/>
              </w:rPr>
              <w:t>Stage</w:t>
            </w:r>
          </w:p>
        </w:tc>
        <w:tc>
          <w:tcPr>
            <w:tcW w:type="dxa" w:w="2140"/>
          </w:tcPr>
          <w:p>
            <w:pPr>
              <w:jc w:val="center"/>
            </w:pPr>
            <w:r/>
            <w:r>
              <w:rPr>
                <w:rFonts w:ascii="Times New Roman" w:hAnsi="Times New Roman"/>
                <w:b/>
                <w:i w:val="0"/>
                <w:color w:val="000000"/>
                <w:sz w:val="20"/>
              </w:rPr>
              <w:t>Paper Section</w:t>
            </w:r>
          </w:p>
        </w:tc>
        <w:tc>
          <w:tcPr>
            <w:tcW w:type="dxa" w:w="2140"/>
          </w:tcPr>
          <w:p>
            <w:pPr>
              <w:jc w:val="center"/>
            </w:pPr>
            <w:r/>
            <w:r>
              <w:rPr>
                <w:rFonts w:ascii="Times New Roman" w:hAnsi="Times New Roman"/>
                <w:b/>
                <w:i w:val="0"/>
                <w:color w:val="000000"/>
                <w:sz w:val="20"/>
              </w:rPr>
              <w:t>Technique</w:t>
            </w:r>
          </w:p>
        </w:tc>
        <w:tc>
          <w:tcPr>
            <w:tcW w:type="dxa" w:w="2140"/>
          </w:tcPr>
          <w:p>
            <w:pPr>
              <w:jc w:val="center"/>
            </w:pPr>
            <w:r/>
            <w:r>
              <w:rPr>
                <w:rFonts w:ascii="Times New Roman" w:hAnsi="Times New Roman"/>
                <w:b/>
                <w:i w:val="0"/>
                <w:color w:val="000000"/>
                <w:sz w:val="20"/>
              </w:rPr>
              <w:t>Purpose</w:t>
            </w:r>
          </w:p>
        </w:tc>
      </w:tr>
      <w:tr>
        <w:tc>
          <w:tcPr>
            <w:tcW w:type="dxa" w:w="2140"/>
          </w:tcPr>
          <w:p>
            <w:pPr>
              <w:jc w:val="center"/>
            </w:pPr>
            <w:r/>
            <w:r>
              <w:rPr>
                <w:rFonts w:ascii="Times New Roman" w:hAnsi="Times New Roman"/>
                <w:b w:val="0"/>
                <w:i w:val="0"/>
                <w:color w:val="000000"/>
                <w:sz w:val="20"/>
              </w:rPr>
              <w:t>Stage 1</w:t>
            </w:r>
          </w:p>
        </w:tc>
        <w:tc>
          <w:tcPr>
            <w:tcW w:type="dxa" w:w="2140"/>
          </w:tcPr>
          <w:p>
            <w:pPr>
              <w:jc w:val="center"/>
            </w:pPr>
            <w:r/>
            <w:r>
              <w:rPr>
                <w:rFonts w:ascii="Times New Roman" w:hAnsi="Times New Roman"/>
                <w:b w:val="0"/>
                <w:i w:val="0"/>
                <w:color w:val="000000"/>
                <w:sz w:val="20"/>
              </w:rPr>
              <w:t>§II-A</w:t>
            </w:r>
          </w:p>
        </w:tc>
        <w:tc>
          <w:tcPr>
            <w:tcW w:type="dxa" w:w="2140"/>
          </w:tcPr>
          <w:p>
            <w:pPr>
              <w:jc w:val="center"/>
            </w:pPr>
            <w:r/>
            <w:r>
              <w:rPr>
                <w:rFonts w:ascii="Times New Roman" w:hAnsi="Times New Roman"/>
                <w:b w:val="0"/>
                <w:i w:val="0"/>
                <w:color w:val="000000"/>
                <w:sz w:val="20"/>
              </w:rPr>
              <w:t>RAG Retrieval</w:t>
            </w:r>
          </w:p>
        </w:tc>
        <w:tc>
          <w:tcPr>
            <w:tcW w:type="dxa" w:w="2140"/>
          </w:tcPr>
          <w:p>
            <w:pPr>
              <w:jc w:val="center"/>
            </w:pPr>
            <w:r/>
            <w:r>
              <w:rPr>
                <w:rFonts w:ascii="Times New Roman" w:hAnsi="Times New Roman"/>
                <w:b w:val="0"/>
                <w:i w:val="0"/>
                <w:color w:val="000000"/>
                <w:sz w:val="20"/>
              </w:rPr>
              <w:t>Ground LLM in factual context</w:t>
            </w:r>
          </w:p>
        </w:tc>
      </w:tr>
      <w:tr>
        <w:tc>
          <w:tcPr>
            <w:tcW w:type="dxa" w:w="2140"/>
          </w:tcPr>
          <w:p>
            <w:pPr>
              <w:jc w:val="center"/>
            </w:pPr>
            <w:r/>
            <w:r>
              <w:rPr>
                <w:rFonts w:ascii="Times New Roman" w:hAnsi="Times New Roman"/>
                <w:b w:val="0"/>
                <w:i w:val="0"/>
                <w:color w:val="000000"/>
                <w:sz w:val="20"/>
              </w:rPr>
              <w:t>Stage 2</w:t>
            </w:r>
          </w:p>
        </w:tc>
        <w:tc>
          <w:tcPr>
            <w:tcW w:type="dxa" w:w="2140"/>
          </w:tcPr>
          <w:p>
            <w:pPr>
              <w:jc w:val="center"/>
            </w:pPr>
            <w:r/>
            <w:r>
              <w:rPr>
                <w:rFonts w:ascii="Times New Roman" w:hAnsi="Times New Roman"/>
                <w:b w:val="0"/>
                <w:i w:val="0"/>
                <w:color w:val="000000"/>
                <w:sz w:val="20"/>
              </w:rPr>
              <w:t>§II-C, §II-F</w:t>
            </w:r>
          </w:p>
        </w:tc>
        <w:tc>
          <w:tcPr>
            <w:tcW w:type="dxa" w:w="2140"/>
          </w:tcPr>
          <w:p>
            <w:pPr>
              <w:jc w:val="center"/>
            </w:pPr>
            <w:r/>
            <w:r>
              <w:rPr>
                <w:rFonts w:ascii="Times New Roman" w:hAnsi="Times New Roman"/>
                <w:b w:val="0"/>
                <w:i w:val="0"/>
                <w:color w:val="000000"/>
                <w:sz w:val="20"/>
              </w:rPr>
              <w:t>Self-Consistency Sampling</w:t>
            </w:r>
          </w:p>
        </w:tc>
        <w:tc>
          <w:tcPr>
            <w:tcW w:type="dxa" w:w="2140"/>
          </w:tcPr>
          <w:p>
            <w:pPr>
              <w:jc w:val="center"/>
            </w:pPr>
            <w:r/>
            <w:r>
              <w:rPr>
                <w:rFonts w:ascii="Times New Roman" w:hAnsi="Times New Roman"/>
                <w:b w:val="0"/>
                <w:i w:val="0"/>
                <w:color w:val="000000"/>
                <w:sz w:val="20"/>
              </w:rPr>
              <w:t>Generate N=5 independent samples + majority vote</w:t>
            </w:r>
          </w:p>
        </w:tc>
      </w:tr>
      <w:tr>
        <w:tc>
          <w:tcPr>
            <w:tcW w:type="dxa" w:w="2140"/>
          </w:tcPr>
          <w:p>
            <w:pPr>
              <w:jc w:val="center"/>
            </w:pPr>
            <w:r/>
            <w:r>
              <w:rPr>
                <w:rFonts w:ascii="Times New Roman" w:hAnsi="Times New Roman"/>
                <w:b w:val="0"/>
                <w:i w:val="0"/>
                <w:color w:val="000000"/>
                <w:sz w:val="20"/>
              </w:rPr>
              <w:t>Stage 3a</w:t>
            </w:r>
          </w:p>
        </w:tc>
        <w:tc>
          <w:tcPr>
            <w:tcW w:type="dxa" w:w="2140"/>
          </w:tcPr>
          <w:p>
            <w:pPr>
              <w:jc w:val="center"/>
            </w:pPr>
            <w:r/>
            <w:r>
              <w:rPr>
                <w:rFonts w:ascii="Times New Roman" w:hAnsi="Times New Roman"/>
                <w:b w:val="0"/>
                <w:i w:val="0"/>
                <w:color w:val="000000"/>
                <w:sz w:val="20"/>
              </w:rPr>
              <w:t>§II-G</w:t>
            </w:r>
          </w:p>
        </w:tc>
        <w:tc>
          <w:tcPr>
            <w:tcW w:type="dxa" w:w="2140"/>
          </w:tcPr>
          <w:p>
            <w:pPr>
              <w:jc w:val="center"/>
            </w:pPr>
            <w:r/>
            <w:r>
              <w:rPr>
                <w:rFonts w:ascii="Times New Roman" w:hAnsi="Times New Roman"/>
                <w:b w:val="0"/>
                <w:i w:val="0"/>
                <w:color w:val="000000"/>
                <w:sz w:val="20"/>
              </w:rPr>
              <w:t>Uncertainty Estimation</w:t>
            </w:r>
          </w:p>
        </w:tc>
        <w:tc>
          <w:tcPr>
            <w:tcW w:type="dxa" w:w="2140"/>
          </w:tcPr>
          <w:p>
            <w:pPr>
              <w:jc w:val="center"/>
            </w:pPr>
            <w:r/>
            <w:r>
              <w:rPr>
                <w:rFonts w:ascii="Times New Roman" w:hAnsi="Times New Roman"/>
                <w:b w:val="0"/>
                <w:i w:val="0"/>
                <w:color w:val="000000"/>
                <w:sz w:val="20"/>
              </w:rPr>
              <w:t>Semantic entropy across N samples</w:t>
            </w:r>
          </w:p>
        </w:tc>
      </w:tr>
      <w:tr>
        <w:tc>
          <w:tcPr>
            <w:tcW w:type="dxa" w:w="2140"/>
          </w:tcPr>
          <w:p>
            <w:pPr>
              <w:jc w:val="center"/>
            </w:pPr>
            <w:r/>
            <w:r>
              <w:rPr>
                <w:rFonts w:ascii="Times New Roman" w:hAnsi="Times New Roman"/>
                <w:b w:val="0"/>
                <w:i w:val="0"/>
                <w:color w:val="000000"/>
                <w:sz w:val="20"/>
              </w:rPr>
              <w:t>Stage 3b</w:t>
            </w:r>
          </w:p>
        </w:tc>
        <w:tc>
          <w:tcPr>
            <w:tcW w:type="dxa" w:w="2140"/>
          </w:tcPr>
          <w:p>
            <w:pPr>
              <w:jc w:val="center"/>
            </w:pPr>
            <w:r/>
            <w:r>
              <w:rPr>
                <w:rFonts w:ascii="Times New Roman" w:hAnsi="Times New Roman"/>
                <w:b w:val="0"/>
                <w:i w:val="0"/>
                <w:color w:val="000000"/>
                <w:sz w:val="20"/>
              </w:rPr>
              <w:t>§II-F</w:t>
            </w:r>
          </w:p>
        </w:tc>
        <w:tc>
          <w:tcPr>
            <w:tcW w:type="dxa" w:w="2140"/>
          </w:tcPr>
          <w:p>
            <w:pPr>
              <w:jc w:val="center"/>
            </w:pPr>
            <w:r/>
            <w:r>
              <w:rPr>
                <w:rFonts w:ascii="Times New Roman" w:hAnsi="Times New Roman"/>
                <w:b w:val="0"/>
                <w:i w:val="0"/>
                <w:color w:val="000000"/>
                <w:sz w:val="20"/>
              </w:rPr>
              <w:t>NLI Entailment</w:t>
            </w:r>
          </w:p>
        </w:tc>
        <w:tc>
          <w:tcPr>
            <w:tcW w:type="dxa" w:w="2140"/>
          </w:tcPr>
          <w:p>
            <w:pPr>
              <w:jc w:val="center"/>
            </w:pPr>
            <w:r/>
            <w:r>
              <w:rPr>
                <w:rFonts w:ascii="Times New Roman" w:hAnsi="Times New Roman"/>
                <w:b w:val="0"/>
                <w:i w:val="0"/>
                <w:color w:val="000000"/>
                <w:sz w:val="20"/>
              </w:rPr>
              <w:t>Post-hoc grounding verification</w:t>
            </w:r>
          </w:p>
        </w:tc>
      </w:tr>
      <w:tr>
        <w:tc>
          <w:tcPr>
            <w:tcW w:type="dxa" w:w="2140"/>
          </w:tcPr>
          <w:p>
            <w:pPr>
              <w:jc w:val="center"/>
            </w:pPr>
            <w:r/>
            <w:r>
              <w:rPr>
                <w:rFonts w:ascii="Times New Roman" w:hAnsi="Times New Roman"/>
                <w:b w:val="0"/>
                <w:i w:val="0"/>
                <w:color w:val="000000"/>
                <w:sz w:val="20"/>
              </w:rPr>
              <w:t>Stage 4</w:t>
            </w:r>
          </w:p>
        </w:tc>
        <w:tc>
          <w:tcPr>
            <w:tcW w:type="dxa" w:w="2140"/>
          </w:tcPr>
          <w:p>
            <w:pPr>
              <w:jc w:val="center"/>
            </w:pPr>
            <w:r/>
            <w:r>
              <w:rPr>
                <w:rFonts w:ascii="Times New Roman" w:hAnsi="Times New Roman"/>
                <w:b w:val="0"/>
                <w:i w:val="0"/>
                <w:color w:val="000000"/>
                <w:sz w:val="20"/>
              </w:rPr>
              <w:t>§II-F, Table I</w:t>
            </w:r>
          </w:p>
        </w:tc>
        <w:tc>
          <w:tcPr>
            <w:tcW w:type="dxa" w:w="2140"/>
          </w:tcPr>
          <w:p>
            <w:pPr>
              <w:jc w:val="center"/>
            </w:pPr>
            <w:r/>
            <w:r>
              <w:rPr>
                <w:rFonts w:ascii="Times New Roman" w:hAnsi="Times New Roman"/>
                <w:b w:val="0"/>
                <w:i w:val="0"/>
                <w:color w:val="000000"/>
                <w:sz w:val="20"/>
              </w:rPr>
              <w:t>Hallucination Gate</w:t>
            </w:r>
          </w:p>
        </w:tc>
        <w:tc>
          <w:tcPr>
            <w:tcW w:type="dxa" w:w="2140"/>
          </w:tcPr>
          <w:p>
            <w:pPr>
              <w:jc w:val="center"/>
            </w:pPr>
            <w:r/>
            <w:r>
              <w:rPr>
                <w:rFonts w:ascii="Times New Roman" w:hAnsi="Times New Roman"/>
                <w:b w:val="0"/>
                <w:i w:val="0"/>
                <w:color w:val="000000"/>
                <w:sz w:val="20"/>
              </w:rPr>
              <w:t>Composite H-score thresholding</w:t>
            </w:r>
          </w:p>
        </w:tc>
      </w:tr>
    </w:tbl>
    <w:p/>
    <w:p>
      <w:pPr>
        <w:pStyle w:val="Heading2"/>
        <w:jc w:val="left"/>
      </w:pPr>
      <w:r>
        <w:rPr>
          <w:rFonts w:ascii="Times New Roman" w:hAnsi="Times New Roman"/>
          <w:color w:val="000000"/>
          <w:sz w:val="28"/>
        </w:rPr>
        <w:t>2.2 Stage 1 — RAG (Retrieval-Augmented Generation)</w:t>
      </w:r>
    </w:p>
    <w:p>
      <w:pPr>
        <w:spacing w:after="120" w:line="360" w:lineRule="auto"/>
        <w:jc w:val="both"/>
      </w:pPr>
      <w:r>
        <w:rPr>
          <w:rFonts w:ascii="Times New Roman" w:hAnsi="Times New Roman"/>
          <w:b w:val="0"/>
          <w:i w:val="0"/>
          <w:color w:val="000000"/>
          <w:sz w:val="24"/>
        </w:rPr>
        <w:t>The RAG module constructs a knowledge base from all known factual contexts. Each document is converted to a TF-IDF vector, and for each incoming query, the top-k most similar documents are retrieved using cosine similarity. These documents form the factual context that guides the LLM's response generation, reducing reliance on potentially outdated memorized patterns.</w:t>
      </w:r>
    </w:p>
    <w:p>
      <w:pPr>
        <w:spacing w:after="80" w:line="360" w:lineRule="auto"/>
        <w:jc w:val="both"/>
      </w:pPr>
      <w:r>
        <w:rPr>
          <w:rFonts w:ascii="Times New Roman" w:hAnsi="Times New Roman"/>
          <w:b/>
          <w:i w:val="0"/>
          <w:color w:val="000000"/>
          <w:sz w:val="24"/>
        </w:rPr>
        <w:t xml:space="preserve">Key Result: </w:t>
      </w:r>
      <w:r>
        <w:rPr>
          <w:rFonts w:ascii="Times New Roman" w:hAnsi="Times New Roman"/>
          <w:b w:val="0"/>
          <w:i w:val="0"/>
          <w:color w:val="000000"/>
          <w:sz w:val="24"/>
        </w:rPr>
        <w:t>RAG alone improves accuracy from 83.0% to 91.5% (+8.5%), making it the strongest single mitigation technique.</w:t>
      </w:r>
    </w:p>
    <w:p>
      <w:pPr>
        <w:pStyle w:val="Heading2"/>
        <w:jc w:val="left"/>
      </w:pPr>
      <w:r>
        <w:rPr>
          <w:rFonts w:ascii="Times New Roman" w:hAnsi="Times New Roman"/>
          <w:color w:val="000000"/>
          <w:sz w:val="28"/>
        </w:rPr>
        <w:t>2.3 Stage 2 — Self-Consistency Sampling</w:t>
      </w:r>
    </w:p>
    <w:p>
      <w:pPr>
        <w:spacing w:after="120" w:line="360" w:lineRule="auto"/>
        <w:jc w:val="both"/>
      </w:pPr>
      <w:r>
        <w:rPr>
          <w:rFonts w:ascii="Times New Roman" w:hAnsi="Times New Roman"/>
          <w:b w:val="0"/>
          <w:i w:val="0"/>
          <w:color w:val="000000"/>
          <w:sz w:val="24"/>
        </w:rPr>
        <w:t>The LLM generates N=5 independent answers for each query. Majority voting selects the most frequent response as the final answer. The distribution of responses across samples provides a signal for uncertainty — consistent answers indicate confidence, while scattered answers suggest the model is uncertain.</w:t>
      </w:r>
    </w:p>
    <w:p>
      <w:pPr>
        <w:pStyle w:val="Heading2"/>
        <w:jc w:val="left"/>
      </w:pPr>
      <w:r>
        <w:rPr>
          <w:rFonts w:ascii="Times New Roman" w:hAnsi="Times New Roman"/>
          <w:color w:val="000000"/>
          <w:sz w:val="28"/>
        </w:rPr>
        <w:t>2.4 Stage 3 — Uncertainty + NLI Scoring</w:t>
      </w:r>
    </w:p>
    <w:p>
      <w:pPr>
        <w:spacing w:after="120" w:line="360" w:lineRule="auto"/>
        <w:jc w:val="both"/>
      </w:pPr>
      <w:r>
        <w:rPr>
          <w:rFonts w:ascii="Times New Roman" w:hAnsi="Times New Roman"/>
          <w:b w:val="0"/>
          <w:i w:val="0"/>
          <w:color w:val="000000"/>
          <w:sz w:val="24"/>
        </w:rPr>
        <w:t>Two independent scores are computed: (a) Semantic Entropy measures disagreement across the N samples, normalized to [0,1] where 0 = all identical and 1 = all different. (b) NLI Entailment Score measures the fraction of answer tokens that appear in the retrieved context, indicating how well the answer is grounded in factual evidence.</w:t>
      </w:r>
    </w:p>
    <w:p>
      <w:pPr>
        <w:pStyle w:val="Heading2"/>
        <w:jc w:val="left"/>
      </w:pPr>
      <w:r>
        <w:rPr>
          <w:rFonts w:ascii="Times New Roman" w:hAnsi="Times New Roman"/>
          <w:color w:val="000000"/>
          <w:sz w:val="28"/>
        </w:rPr>
        <w:t>2.5 Stage 4 — Hallucination Gate</w:t>
      </w:r>
    </w:p>
    <w:p>
      <w:pPr>
        <w:spacing w:after="120" w:line="360" w:lineRule="auto"/>
        <w:jc w:val="both"/>
      </w:pPr>
      <w:r>
        <w:rPr>
          <w:rFonts w:ascii="Times New Roman" w:hAnsi="Times New Roman"/>
          <w:b w:val="0"/>
          <w:i w:val="0"/>
          <w:color w:val="000000"/>
          <w:sz w:val="24"/>
        </w:rPr>
        <w:t>The composite hallucination score combines both signals:</w:t>
      </w:r>
    </w:p>
    <w:p>
      <w:pPr>
        <w:jc w:val="center"/>
      </w:pPr>
      <w:r>
        <w:rPr>
          <w:rFonts w:ascii="Consolas" w:hAnsi="Consolas"/>
          <w:b/>
          <w:i w:val="0"/>
          <w:color w:val="000000"/>
          <w:sz w:val="22"/>
        </w:rPr>
        <w:t>H_score = 0.5 × Entropy + 0.5 × (1 − NLI_score)</w:t>
      </w:r>
    </w:p>
    <w:p>
      <w:pPr>
        <w:spacing w:after="120" w:line="360" w:lineRule="auto"/>
        <w:jc w:val="both"/>
      </w:pPr>
      <w:r>
        <w:rPr>
          <w:rFonts w:ascii="Times New Roman" w:hAnsi="Times New Roman"/>
          <w:b w:val="0"/>
          <w:i w:val="0"/>
          <w:color w:val="000000"/>
          <w:sz w:val="24"/>
        </w:rPr>
        <w:t>If H_score ≥ 0.50, the response is flagged as a potential hallucination. Flagged responses can be re-queried, abstained from, or escalated for human review.</w:t>
      </w:r>
    </w:p>
    <w:p>
      <w:pPr>
        <w:pStyle w:val="Heading2"/>
        <w:jc w:val="left"/>
      </w:pPr>
      <w:r>
        <w:rPr>
          <w:rFonts w:ascii="Times New Roman" w:hAnsi="Times New Roman"/>
          <w:color w:val="000000"/>
          <w:sz w:val="28"/>
        </w:rPr>
        <w:t>2.6 Technology Stack</w:t>
      </w:r>
    </w:p>
    <w:tbl>
      <w:tblPr>
        <w:tblStyle w:val="LightGrid-Accent1"/>
        <w:tblW w:type="auto" w:w="0"/>
        <w:jc w:val="center"/>
        <w:tblLook w:firstColumn="1" w:firstRow="1" w:lastColumn="0" w:lastRow="0" w:noHBand="0" w:noVBand="1" w:val="04A0"/>
      </w:tblPr>
      <w:tblGrid>
        <w:gridCol w:w="4280"/>
        <w:gridCol w:w="4280"/>
      </w:tblGrid>
      <w:tr>
        <w:tc>
          <w:tcPr>
            <w:tcW w:type="dxa" w:w="4280"/>
          </w:tcPr>
          <w:p>
            <w:pPr>
              <w:jc w:val="center"/>
            </w:pPr>
            <w:r/>
            <w:r>
              <w:rPr>
                <w:rFonts w:ascii="Times New Roman" w:hAnsi="Times New Roman"/>
                <w:b/>
                <w:i w:val="0"/>
                <w:color w:val="000000"/>
                <w:sz w:val="20"/>
              </w:rPr>
              <w:t>Component</w:t>
            </w:r>
          </w:p>
        </w:tc>
        <w:tc>
          <w:tcPr>
            <w:tcW w:type="dxa" w:w="4280"/>
          </w:tcPr>
          <w:p>
            <w:pPr>
              <w:jc w:val="center"/>
            </w:pPr>
            <w:r/>
            <w:r>
              <w:rPr>
                <w:rFonts w:ascii="Times New Roman" w:hAnsi="Times New Roman"/>
                <w:b/>
                <w:i w:val="0"/>
                <w:color w:val="000000"/>
                <w:sz w:val="20"/>
              </w:rPr>
              <w:t>Technology</w:t>
            </w:r>
          </w:p>
        </w:tc>
      </w:tr>
      <w:tr>
        <w:tc>
          <w:tcPr>
            <w:tcW w:type="dxa" w:w="4280"/>
          </w:tcPr>
          <w:p>
            <w:pPr>
              <w:jc w:val="center"/>
            </w:pPr>
            <w:r/>
            <w:r>
              <w:rPr>
                <w:rFonts w:ascii="Times New Roman" w:hAnsi="Times New Roman"/>
                <w:b w:val="0"/>
                <w:i w:val="0"/>
                <w:color w:val="000000"/>
                <w:sz w:val="20"/>
              </w:rPr>
              <w:t>Language</w:t>
            </w:r>
          </w:p>
        </w:tc>
        <w:tc>
          <w:tcPr>
            <w:tcW w:type="dxa" w:w="4280"/>
          </w:tcPr>
          <w:p>
            <w:pPr>
              <w:jc w:val="center"/>
            </w:pPr>
            <w:r/>
            <w:r>
              <w:rPr>
                <w:rFonts w:ascii="Times New Roman" w:hAnsi="Times New Roman"/>
                <w:b w:val="0"/>
                <w:i w:val="0"/>
                <w:color w:val="000000"/>
                <w:sz w:val="20"/>
              </w:rPr>
              <w:t>Python 3.10+</w:t>
            </w:r>
          </w:p>
        </w:tc>
      </w:tr>
      <w:tr>
        <w:tc>
          <w:tcPr>
            <w:tcW w:type="dxa" w:w="4280"/>
          </w:tcPr>
          <w:p>
            <w:pPr>
              <w:jc w:val="center"/>
            </w:pPr>
            <w:r/>
            <w:r>
              <w:rPr>
                <w:rFonts w:ascii="Times New Roman" w:hAnsi="Times New Roman"/>
                <w:b w:val="0"/>
                <w:i w:val="0"/>
                <w:color w:val="000000"/>
                <w:sz w:val="20"/>
              </w:rPr>
              <w:t>Vectorisation</w:t>
            </w:r>
          </w:p>
        </w:tc>
        <w:tc>
          <w:tcPr>
            <w:tcW w:type="dxa" w:w="4280"/>
          </w:tcPr>
          <w:p>
            <w:pPr>
              <w:jc w:val="center"/>
            </w:pPr>
            <w:r/>
            <w:r>
              <w:rPr>
                <w:rFonts w:ascii="Times New Roman" w:hAnsi="Times New Roman"/>
                <w:b w:val="0"/>
                <w:i w:val="0"/>
                <w:color w:val="000000"/>
                <w:sz w:val="20"/>
              </w:rPr>
              <w:t>NumPy, Scikit-learn</w:t>
            </w:r>
          </w:p>
        </w:tc>
      </w:tr>
      <w:tr>
        <w:tc>
          <w:tcPr>
            <w:tcW w:type="dxa" w:w="4280"/>
          </w:tcPr>
          <w:p>
            <w:pPr>
              <w:jc w:val="center"/>
            </w:pPr>
            <w:r/>
            <w:r>
              <w:rPr>
                <w:rFonts w:ascii="Times New Roman" w:hAnsi="Times New Roman"/>
                <w:b w:val="0"/>
                <w:i w:val="0"/>
                <w:color w:val="000000"/>
                <w:sz w:val="20"/>
              </w:rPr>
              <w:t>Visualisation</w:t>
            </w:r>
          </w:p>
        </w:tc>
        <w:tc>
          <w:tcPr>
            <w:tcW w:type="dxa" w:w="4280"/>
          </w:tcPr>
          <w:p>
            <w:pPr>
              <w:jc w:val="center"/>
            </w:pPr>
            <w:r/>
            <w:r>
              <w:rPr>
                <w:rFonts w:ascii="Times New Roman" w:hAnsi="Times New Roman"/>
                <w:b w:val="0"/>
                <w:i w:val="0"/>
                <w:color w:val="000000"/>
                <w:sz w:val="20"/>
              </w:rPr>
              <w:t>Matplotlib, Plotly</w:t>
            </w:r>
          </w:p>
        </w:tc>
      </w:tr>
      <w:tr>
        <w:tc>
          <w:tcPr>
            <w:tcW w:type="dxa" w:w="4280"/>
          </w:tcPr>
          <w:p>
            <w:pPr>
              <w:jc w:val="center"/>
            </w:pPr>
            <w:r/>
            <w:r>
              <w:rPr>
                <w:rFonts w:ascii="Times New Roman" w:hAnsi="Times New Roman"/>
                <w:b w:val="0"/>
                <w:i w:val="0"/>
                <w:color w:val="000000"/>
                <w:sz w:val="20"/>
              </w:rPr>
              <w:t>Dashboard</w:t>
            </w:r>
          </w:p>
        </w:tc>
        <w:tc>
          <w:tcPr>
            <w:tcW w:type="dxa" w:w="4280"/>
          </w:tcPr>
          <w:p>
            <w:pPr>
              <w:jc w:val="center"/>
            </w:pPr>
            <w:r/>
            <w:r>
              <w:rPr>
                <w:rFonts w:ascii="Times New Roman" w:hAnsi="Times New Roman"/>
                <w:b w:val="0"/>
                <w:i w:val="0"/>
                <w:color w:val="000000"/>
                <w:sz w:val="20"/>
              </w:rPr>
              <w:t>Streamlit</w:t>
            </w:r>
          </w:p>
        </w:tc>
      </w:tr>
      <w:tr>
        <w:tc>
          <w:tcPr>
            <w:tcW w:type="dxa" w:w="4280"/>
          </w:tcPr>
          <w:p>
            <w:pPr>
              <w:jc w:val="center"/>
            </w:pPr>
            <w:r/>
            <w:r>
              <w:rPr>
                <w:rFonts w:ascii="Times New Roman" w:hAnsi="Times New Roman"/>
                <w:b w:val="0"/>
                <w:i w:val="0"/>
                <w:color w:val="000000"/>
                <w:sz w:val="20"/>
              </w:rPr>
              <w:t>API</w:t>
            </w:r>
          </w:p>
        </w:tc>
        <w:tc>
          <w:tcPr>
            <w:tcW w:type="dxa" w:w="4280"/>
          </w:tcPr>
          <w:p>
            <w:pPr>
              <w:jc w:val="center"/>
            </w:pPr>
            <w:r/>
            <w:r>
              <w:rPr>
                <w:rFonts w:ascii="Times New Roman" w:hAnsi="Times New Roman"/>
                <w:b w:val="0"/>
                <w:i w:val="0"/>
                <w:color w:val="000000"/>
                <w:sz w:val="20"/>
              </w:rPr>
              <w:t>FastAPI + Uvicorn</w:t>
            </w:r>
          </w:p>
        </w:tc>
      </w:tr>
      <w:tr>
        <w:tc>
          <w:tcPr>
            <w:tcW w:type="dxa" w:w="4280"/>
          </w:tcPr>
          <w:p>
            <w:pPr>
              <w:jc w:val="center"/>
            </w:pPr>
            <w:r/>
            <w:r>
              <w:rPr>
                <w:rFonts w:ascii="Times New Roman" w:hAnsi="Times New Roman"/>
                <w:b w:val="0"/>
                <w:i w:val="0"/>
                <w:color w:val="000000"/>
                <w:sz w:val="20"/>
              </w:rPr>
              <w:t>Dataset</w:t>
            </w:r>
          </w:p>
        </w:tc>
        <w:tc>
          <w:tcPr>
            <w:tcW w:type="dxa" w:w="4280"/>
          </w:tcPr>
          <w:p>
            <w:pPr>
              <w:jc w:val="center"/>
            </w:pPr>
            <w:r/>
            <w:r>
              <w:rPr>
                <w:rFonts w:ascii="Times New Roman" w:hAnsi="Times New Roman"/>
                <w:b w:val="0"/>
                <w:i w:val="0"/>
                <w:color w:val="000000"/>
                <w:sz w:val="20"/>
              </w:rPr>
              <w:t>TruthfulQA (817 questions)</w:t>
            </w:r>
          </w:p>
        </w:tc>
      </w:tr>
      <w:tr>
        <w:tc>
          <w:tcPr>
            <w:tcW w:type="dxa" w:w="4280"/>
          </w:tcPr>
          <w:p>
            <w:pPr>
              <w:jc w:val="center"/>
            </w:pPr>
            <w:r/>
            <w:r>
              <w:rPr>
                <w:rFonts w:ascii="Times New Roman" w:hAnsi="Times New Roman"/>
                <w:b w:val="0"/>
                <w:i w:val="0"/>
                <w:color w:val="000000"/>
                <w:sz w:val="20"/>
              </w:rPr>
              <w:t>Version Control</w:t>
            </w:r>
          </w:p>
        </w:tc>
        <w:tc>
          <w:tcPr>
            <w:tcW w:type="dxa" w:w="4280"/>
          </w:tcPr>
          <w:p>
            <w:pPr>
              <w:jc w:val="center"/>
            </w:pPr>
            <w:r/>
            <w:r>
              <w:rPr>
                <w:rFonts w:ascii="Times New Roman" w:hAnsi="Times New Roman"/>
                <w:b w:val="0"/>
                <w:i w:val="0"/>
                <w:color w:val="000000"/>
                <w:sz w:val="20"/>
              </w:rPr>
              <w:t>Git</w:t>
            </w:r>
          </w:p>
        </w:tc>
      </w:tr>
    </w:tbl>
    <w:p/>
    <w:p>
      <w:pPr>
        <w:pStyle w:val="Heading2"/>
        <w:jc w:val="left"/>
      </w:pPr>
      <w:r>
        <w:rPr>
          <w:rFonts w:ascii="Times New Roman" w:hAnsi="Times New Roman"/>
          <w:color w:val="000000"/>
          <w:sz w:val="28"/>
        </w:rPr>
        <w:t>2.7 Project File Structure</w:t>
      </w:r>
    </w:p>
    <w:tbl>
      <w:tblPr>
        <w:tblStyle w:val="LightGrid-Accent1"/>
        <w:tblW w:type="auto" w:w="0"/>
        <w:jc w:val="center"/>
        <w:tblLook w:firstColumn="1" w:firstRow="1" w:lastColumn="0" w:lastRow="0" w:noHBand="0" w:noVBand="1" w:val="04A0"/>
      </w:tblPr>
      <w:tblGrid>
        <w:gridCol w:w="2854"/>
        <w:gridCol w:w="2854"/>
        <w:gridCol w:w="2854"/>
      </w:tblGrid>
      <w:tr>
        <w:tc>
          <w:tcPr>
            <w:tcW w:type="dxa" w:w="2854"/>
          </w:tcPr>
          <w:p>
            <w:pPr>
              <w:jc w:val="center"/>
            </w:pPr>
            <w:r/>
            <w:r>
              <w:rPr>
                <w:rFonts w:ascii="Times New Roman" w:hAnsi="Times New Roman"/>
                <w:b/>
                <w:i w:val="0"/>
                <w:color w:val="000000"/>
                <w:sz w:val="20"/>
              </w:rPr>
              <w:t>File</w:t>
            </w:r>
          </w:p>
        </w:tc>
        <w:tc>
          <w:tcPr>
            <w:tcW w:type="dxa" w:w="2854"/>
          </w:tcPr>
          <w:p>
            <w:pPr>
              <w:jc w:val="center"/>
            </w:pPr>
            <w:r/>
            <w:r>
              <w:rPr>
                <w:rFonts w:ascii="Times New Roman" w:hAnsi="Times New Roman"/>
                <w:b/>
                <w:i w:val="0"/>
                <w:color w:val="000000"/>
                <w:sz w:val="20"/>
              </w:rPr>
              <w:t>Purpose</w:t>
            </w:r>
          </w:p>
        </w:tc>
        <w:tc>
          <w:tcPr>
            <w:tcW w:type="dxa" w:w="2854"/>
          </w:tcPr>
          <w:p>
            <w:pPr>
              <w:jc w:val="center"/>
            </w:pPr>
            <w:r/>
            <w:r>
              <w:rPr>
                <w:rFonts w:ascii="Times New Roman" w:hAnsi="Times New Roman"/>
                <w:b/>
                <w:i w:val="0"/>
                <w:color w:val="000000"/>
                <w:sz w:val="20"/>
              </w:rPr>
              <w:t>Lines</w:t>
            </w:r>
          </w:p>
        </w:tc>
      </w:tr>
      <w:tr>
        <w:tc>
          <w:tcPr>
            <w:tcW w:type="dxa" w:w="2854"/>
          </w:tcPr>
          <w:p>
            <w:pPr>
              <w:jc w:val="center"/>
            </w:pPr>
            <w:r/>
            <w:r>
              <w:rPr>
                <w:rFonts w:ascii="Times New Roman" w:hAnsi="Times New Roman"/>
                <w:b w:val="0"/>
                <w:i w:val="0"/>
                <w:color w:val="000000"/>
                <w:sz w:val="20"/>
              </w:rPr>
              <w:t>pipeline.py</w:t>
            </w:r>
          </w:p>
        </w:tc>
        <w:tc>
          <w:tcPr>
            <w:tcW w:type="dxa" w:w="2854"/>
          </w:tcPr>
          <w:p>
            <w:pPr>
              <w:jc w:val="center"/>
            </w:pPr>
            <w:r/>
            <w:r>
              <w:rPr>
                <w:rFonts w:ascii="Times New Roman" w:hAnsi="Times New Roman"/>
                <w:b w:val="0"/>
                <w:i w:val="0"/>
                <w:color w:val="000000"/>
                <w:sz w:val="20"/>
              </w:rPr>
              <w:t>Core 4-stage pipeline (9 modules)</w:t>
            </w:r>
          </w:p>
        </w:tc>
        <w:tc>
          <w:tcPr>
            <w:tcW w:type="dxa" w:w="2854"/>
          </w:tcPr>
          <w:p>
            <w:pPr>
              <w:jc w:val="center"/>
            </w:pPr>
            <w:r/>
            <w:r>
              <w:rPr>
                <w:rFonts w:ascii="Times New Roman" w:hAnsi="Times New Roman"/>
                <w:b w:val="0"/>
                <w:i w:val="0"/>
                <w:color w:val="000000"/>
                <w:sz w:val="20"/>
              </w:rPr>
              <w:t>~620</w:t>
            </w:r>
          </w:p>
        </w:tc>
      </w:tr>
      <w:tr>
        <w:tc>
          <w:tcPr>
            <w:tcW w:type="dxa" w:w="2854"/>
          </w:tcPr>
          <w:p>
            <w:pPr>
              <w:jc w:val="center"/>
            </w:pPr>
            <w:r/>
            <w:r>
              <w:rPr>
                <w:rFonts w:ascii="Times New Roman" w:hAnsi="Times New Roman"/>
                <w:b w:val="0"/>
                <w:i w:val="0"/>
                <w:color w:val="000000"/>
                <w:sz w:val="20"/>
              </w:rPr>
              <w:t>run_real_dataset.py</w:t>
            </w:r>
          </w:p>
        </w:tc>
        <w:tc>
          <w:tcPr>
            <w:tcW w:type="dxa" w:w="2854"/>
          </w:tcPr>
          <w:p>
            <w:pPr>
              <w:jc w:val="center"/>
            </w:pPr>
            <w:r/>
            <w:r>
              <w:rPr>
                <w:rFonts w:ascii="Times New Roman" w:hAnsi="Times New Roman"/>
                <w:b w:val="0"/>
                <w:i w:val="0"/>
                <w:color w:val="000000"/>
                <w:sz w:val="20"/>
              </w:rPr>
              <w:t>Runs pipeline on TruthfulQA CSV</w:t>
            </w:r>
          </w:p>
        </w:tc>
        <w:tc>
          <w:tcPr>
            <w:tcW w:type="dxa" w:w="2854"/>
          </w:tcPr>
          <w:p>
            <w:pPr>
              <w:jc w:val="center"/>
            </w:pPr>
            <w:r/>
            <w:r>
              <w:rPr>
                <w:rFonts w:ascii="Times New Roman" w:hAnsi="Times New Roman"/>
                <w:b w:val="0"/>
                <w:i w:val="0"/>
                <w:color w:val="000000"/>
                <w:sz w:val="20"/>
              </w:rPr>
              <w:t>~460</w:t>
            </w:r>
          </w:p>
        </w:tc>
      </w:tr>
      <w:tr>
        <w:tc>
          <w:tcPr>
            <w:tcW w:type="dxa" w:w="2854"/>
          </w:tcPr>
          <w:p>
            <w:pPr>
              <w:jc w:val="center"/>
            </w:pPr>
            <w:r/>
            <w:r>
              <w:rPr>
                <w:rFonts w:ascii="Times New Roman" w:hAnsi="Times New Roman"/>
                <w:b w:val="0"/>
                <w:i w:val="0"/>
                <w:color w:val="000000"/>
                <w:sz w:val="20"/>
              </w:rPr>
              <w:t>evaluate.py</w:t>
            </w:r>
          </w:p>
        </w:tc>
        <w:tc>
          <w:tcPr>
            <w:tcW w:type="dxa" w:w="2854"/>
          </w:tcPr>
          <w:p>
            <w:pPr>
              <w:jc w:val="center"/>
            </w:pPr>
            <w:r/>
            <w:r>
              <w:rPr>
                <w:rFonts w:ascii="Times New Roman" w:hAnsi="Times New Roman"/>
                <w:b w:val="0"/>
                <w:i w:val="0"/>
                <w:color w:val="000000"/>
                <w:sz w:val="20"/>
              </w:rPr>
              <w:t>Static charts &amp; metrics report</w:t>
            </w:r>
          </w:p>
        </w:tc>
        <w:tc>
          <w:tcPr>
            <w:tcW w:type="dxa" w:w="2854"/>
          </w:tcPr>
          <w:p>
            <w:pPr>
              <w:jc w:val="center"/>
            </w:pPr>
            <w:r/>
            <w:r>
              <w:rPr>
                <w:rFonts w:ascii="Times New Roman" w:hAnsi="Times New Roman"/>
                <w:b w:val="0"/>
                <w:i w:val="0"/>
                <w:color w:val="000000"/>
                <w:sz w:val="20"/>
              </w:rPr>
              <w:t>~245</w:t>
            </w:r>
          </w:p>
        </w:tc>
      </w:tr>
      <w:tr>
        <w:tc>
          <w:tcPr>
            <w:tcW w:type="dxa" w:w="2854"/>
          </w:tcPr>
          <w:p>
            <w:pPr>
              <w:jc w:val="center"/>
            </w:pPr>
            <w:r/>
            <w:r>
              <w:rPr>
                <w:rFonts w:ascii="Times New Roman" w:hAnsi="Times New Roman"/>
                <w:b w:val="0"/>
                <w:i w:val="0"/>
                <w:color w:val="000000"/>
                <w:sz w:val="20"/>
              </w:rPr>
              <w:t>dashboard.py</w:t>
            </w:r>
          </w:p>
        </w:tc>
        <w:tc>
          <w:tcPr>
            <w:tcW w:type="dxa" w:w="2854"/>
          </w:tcPr>
          <w:p>
            <w:pPr>
              <w:jc w:val="center"/>
            </w:pPr>
            <w:r/>
            <w:r>
              <w:rPr>
                <w:rFonts w:ascii="Times New Roman" w:hAnsi="Times New Roman"/>
                <w:b w:val="0"/>
                <w:i w:val="0"/>
                <w:color w:val="000000"/>
                <w:sz w:val="20"/>
              </w:rPr>
              <w:t>Interactive Streamlit dashboard</w:t>
            </w:r>
          </w:p>
        </w:tc>
        <w:tc>
          <w:tcPr>
            <w:tcW w:type="dxa" w:w="2854"/>
          </w:tcPr>
          <w:p>
            <w:pPr>
              <w:jc w:val="center"/>
            </w:pPr>
            <w:r/>
            <w:r>
              <w:rPr>
                <w:rFonts w:ascii="Times New Roman" w:hAnsi="Times New Roman"/>
                <w:b w:val="0"/>
                <w:i w:val="0"/>
                <w:color w:val="000000"/>
                <w:sz w:val="20"/>
              </w:rPr>
              <w:t>~740</w:t>
            </w:r>
          </w:p>
        </w:tc>
      </w:tr>
      <w:tr>
        <w:tc>
          <w:tcPr>
            <w:tcW w:type="dxa" w:w="2854"/>
          </w:tcPr>
          <w:p>
            <w:pPr>
              <w:jc w:val="center"/>
            </w:pPr>
            <w:r/>
            <w:r>
              <w:rPr>
                <w:rFonts w:ascii="Times New Roman" w:hAnsi="Times New Roman"/>
                <w:b w:val="0"/>
                <w:i w:val="0"/>
                <w:color w:val="000000"/>
                <w:sz w:val="20"/>
              </w:rPr>
              <w:t>api.py</w:t>
            </w:r>
          </w:p>
        </w:tc>
        <w:tc>
          <w:tcPr>
            <w:tcW w:type="dxa" w:w="2854"/>
          </w:tcPr>
          <w:p>
            <w:pPr>
              <w:jc w:val="center"/>
            </w:pPr>
            <w:r/>
            <w:r>
              <w:rPr>
                <w:rFonts w:ascii="Times New Roman" w:hAnsi="Times New Roman"/>
                <w:b w:val="0"/>
                <w:i w:val="0"/>
                <w:color w:val="000000"/>
                <w:sz w:val="20"/>
              </w:rPr>
              <w:t>FastAPI REST endpoints</w:t>
            </w:r>
          </w:p>
        </w:tc>
        <w:tc>
          <w:tcPr>
            <w:tcW w:type="dxa" w:w="2854"/>
          </w:tcPr>
          <w:p>
            <w:pPr>
              <w:jc w:val="center"/>
            </w:pPr>
            <w:r/>
            <w:r>
              <w:rPr>
                <w:rFonts w:ascii="Times New Roman" w:hAnsi="Times New Roman"/>
                <w:b w:val="0"/>
                <w:i w:val="0"/>
                <w:color w:val="000000"/>
                <w:sz w:val="20"/>
              </w:rPr>
              <w:t>~420</w:t>
            </w:r>
          </w:p>
        </w:tc>
      </w:tr>
      <w:tr>
        <w:tc>
          <w:tcPr>
            <w:tcW w:type="dxa" w:w="2854"/>
          </w:tcPr>
          <w:p>
            <w:pPr>
              <w:jc w:val="center"/>
            </w:pPr>
            <w:r/>
            <w:r>
              <w:rPr>
                <w:rFonts w:ascii="Times New Roman" w:hAnsi="Times New Roman"/>
                <w:b w:val="0"/>
                <w:i w:val="0"/>
                <w:color w:val="000000"/>
                <w:sz w:val="20"/>
              </w:rPr>
              <w:t>results.json</w:t>
            </w:r>
          </w:p>
        </w:tc>
        <w:tc>
          <w:tcPr>
            <w:tcW w:type="dxa" w:w="2854"/>
          </w:tcPr>
          <w:p>
            <w:pPr>
              <w:jc w:val="center"/>
            </w:pPr>
            <w:r/>
            <w:r>
              <w:rPr>
                <w:rFonts w:ascii="Times New Roman" w:hAnsi="Times New Roman"/>
                <w:b w:val="0"/>
                <w:i w:val="0"/>
                <w:color w:val="000000"/>
                <w:sz w:val="20"/>
              </w:rPr>
              <w:t>Pipeline output for all 817 questions</w:t>
            </w:r>
          </w:p>
        </w:tc>
        <w:tc>
          <w:tcPr>
            <w:tcW w:type="dxa" w:w="2854"/>
          </w:tcPr>
          <w:p>
            <w:pPr>
              <w:jc w:val="center"/>
            </w:pPr>
            <w:r/>
            <w:r>
              <w:rPr>
                <w:rFonts w:ascii="Times New Roman" w:hAnsi="Times New Roman"/>
                <w:b w:val="0"/>
                <w:i w:val="0"/>
                <w:color w:val="000000"/>
                <w:sz w:val="20"/>
              </w:rPr>
              <w:t>—</w:t>
            </w:r>
          </w:p>
        </w:tc>
      </w:tr>
    </w:tbl>
    <w:p/>
    <w:p>
      <w:r>
        <w:br w:type="page"/>
      </w:r>
    </w:p>
    <w:p>
      <w:pPr>
        <w:spacing w:before="600"/>
        <w:jc w:val="center"/>
      </w:pPr>
      <w:r>
        <w:rPr>
          <w:rFonts w:ascii="Times New Roman" w:hAnsi="Times New Roman"/>
          <w:b/>
          <w:i w:val="0"/>
          <w:color w:val="000000"/>
          <w:sz w:val="44"/>
        </w:rPr>
        <w:t>CHAPTER 3</w:t>
      </w:r>
    </w:p>
    <w:p>
      <w:pPr>
        <w:spacing w:after="400"/>
        <w:jc w:val="center"/>
      </w:pPr>
      <w:r>
        <w:rPr>
          <w:rFonts w:ascii="Times New Roman" w:hAnsi="Times New Roman"/>
          <w:b/>
          <w:i w:val="0"/>
          <w:color w:val="000000"/>
          <w:sz w:val="36"/>
        </w:rPr>
        <w:t>APPLICATIONS AND IMPACT</w:t>
      </w:r>
    </w:p>
    <w:p>
      <w:pPr>
        <w:pStyle w:val="Heading2"/>
        <w:jc w:val="left"/>
      </w:pPr>
      <w:r>
        <w:rPr>
          <w:rFonts w:ascii="Times New Roman" w:hAnsi="Times New Roman"/>
          <w:color w:val="000000"/>
          <w:sz w:val="28"/>
        </w:rPr>
        <w:t>3.1 Why Hallucination Mitigation Matters</w:t>
      </w:r>
    </w:p>
    <w:p>
      <w:pPr>
        <w:spacing w:after="120" w:line="360" w:lineRule="auto"/>
        <w:jc w:val="both"/>
      </w:pPr>
      <w:r>
        <w:rPr>
          <w:rFonts w:ascii="Times New Roman" w:hAnsi="Times New Roman"/>
          <w:b w:val="0"/>
          <w:i w:val="0"/>
          <w:color w:val="000000"/>
          <w:sz w:val="24"/>
        </w:rPr>
        <w:t>As LLMs are increasingly deployed in production systems, hallucinations represent one of the most critical barriers to trustworthy AI. A single hallucinated response in the wrong context can cause significant harm:</w:t>
      </w:r>
    </w:p>
    <w:tbl>
      <w:tblPr>
        <w:tblStyle w:val="LightGrid-Accent1"/>
        <w:tblW w:type="auto" w:w="0"/>
        <w:jc w:val="center"/>
        <w:tblLook w:firstColumn="1" w:firstRow="1" w:lastColumn="0" w:lastRow="0" w:noHBand="0" w:noVBand="1" w:val="04A0"/>
      </w:tblPr>
      <w:tblGrid>
        <w:gridCol w:w="2854"/>
        <w:gridCol w:w="2854"/>
        <w:gridCol w:w="2854"/>
      </w:tblGrid>
      <w:tr>
        <w:tc>
          <w:tcPr>
            <w:tcW w:type="dxa" w:w="2854"/>
          </w:tcPr>
          <w:p>
            <w:pPr>
              <w:jc w:val="center"/>
            </w:pPr>
            <w:r/>
            <w:r>
              <w:rPr>
                <w:rFonts w:ascii="Times New Roman" w:hAnsi="Times New Roman"/>
                <w:b/>
                <w:i w:val="0"/>
                <w:color w:val="000000"/>
                <w:sz w:val="20"/>
              </w:rPr>
              <w:t>Domain</w:t>
            </w:r>
          </w:p>
        </w:tc>
        <w:tc>
          <w:tcPr>
            <w:tcW w:type="dxa" w:w="2854"/>
          </w:tcPr>
          <w:p>
            <w:pPr>
              <w:jc w:val="center"/>
            </w:pPr>
            <w:r/>
            <w:r>
              <w:rPr>
                <w:rFonts w:ascii="Times New Roman" w:hAnsi="Times New Roman"/>
                <w:b/>
                <w:i w:val="0"/>
                <w:color w:val="000000"/>
                <w:sz w:val="20"/>
              </w:rPr>
              <w:t>Risk Example</w:t>
            </w:r>
          </w:p>
        </w:tc>
        <w:tc>
          <w:tcPr>
            <w:tcW w:type="dxa" w:w="2854"/>
          </w:tcPr>
          <w:p>
            <w:pPr>
              <w:jc w:val="center"/>
            </w:pPr>
            <w:r/>
            <w:r>
              <w:rPr>
                <w:rFonts w:ascii="Times New Roman" w:hAnsi="Times New Roman"/>
                <w:b/>
                <w:i w:val="0"/>
                <w:color w:val="000000"/>
                <w:sz w:val="20"/>
              </w:rPr>
              <w:t>Severity</w:t>
            </w:r>
          </w:p>
        </w:tc>
      </w:tr>
      <w:tr>
        <w:tc>
          <w:tcPr>
            <w:tcW w:type="dxa" w:w="2854"/>
          </w:tcPr>
          <w:p>
            <w:pPr>
              <w:jc w:val="center"/>
            </w:pPr>
            <w:r/>
            <w:r>
              <w:rPr>
                <w:rFonts w:ascii="Times New Roman" w:hAnsi="Times New Roman"/>
                <w:b w:val="0"/>
                <w:i w:val="0"/>
                <w:color w:val="000000"/>
                <w:sz w:val="20"/>
              </w:rPr>
              <w:t>Healthcare</w:t>
            </w:r>
          </w:p>
        </w:tc>
        <w:tc>
          <w:tcPr>
            <w:tcW w:type="dxa" w:w="2854"/>
          </w:tcPr>
          <w:p>
            <w:pPr>
              <w:jc w:val="center"/>
            </w:pPr>
            <w:r/>
            <w:r>
              <w:rPr>
                <w:rFonts w:ascii="Times New Roman" w:hAnsi="Times New Roman"/>
                <w:b w:val="0"/>
                <w:i w:val="0"/>
                <w:color w:val="000000"/>
                <w:sz w:val="20"/>
              </w:rPr>
              <w:t>Incorrect drug dosage or diagnosis recommendation</w:t>
            </w:r>
          </w:p>
        </w:tc>
        <w:tc>
          <w:tcPr>
            <w:tcW w:type="dxa" w:w="2854"/>
          </w:tcPr>
          <w:p>
            <w:pPr>
              <w:jc w:val="center"/>
            </w:pPr>
            <w:r/>
            <w:r>
              <w:rPr>
                <w:rFonts w:ascii="Times New Roman" w:hAnsi="Times New Roman"/>
                <w:b w:val="0"/>
                <w:i w:val="0"/>
                <w:color w:val="000000"/>
                <w:sz w:val="20"/>
              </w:rPr>
              <w:t>Life-threatening</w:t>
            </w:r>
          </w:p>
        </w:tc>
      </w:tr>
      <w:tr>
        <w:tc>
          <w:tcPr>
            <w:tcW w:type="dxa" w:w="2854"/>
          </w:tcPr>
          <w:p>
            <w:pPr>
              <w:jc w:val="center"/>
            </w:pPr>
            <w:r/>
            <w:r>
              <w:rPr>
                <w:rFonts w:ascii="Times New Roman" w:hAnsi="Times New Roman"/>
                <w:b w:val="0"/>
                <w:i w:val="0"/>
                <w:color w:val="000000"/>
                <w:sz w:val="20"/>
              </w:rPr>
              <w:t>Legal</w:t>
            </w:r>
          </w:p>
        </w:tc>
        <w:tc>
          <w:tcPr>
            <w:tcW w:type="dxa" w:w="2854"/>
          </w:tcPr>
          <w:p>
            <w:pPr>
              <w:jc w:val="center"/>
            </w:pPr>
            <w:r/>
            <w:r>
              <w:rPr>
                <w:rFonts w:ascii="Times New Roman" w:hAnsi="Times New Roman"/>
                <w:b w:val="0"/>
                <w:i w:val="0"/>
                <w:color w:val="000000"/>
                <w:sz w:val="20"/>
              </w:rPr>
              <w:t>Fabricated case law citations or incorrect legal advice</w:t>
            </w:r>
          </w:p>
        </w:tc>
        <w:tc>
          <w:tcPr>
            <w:tcW w:type="dxa" w:w="2854"/>
          </w:tcPr>
          <w:p>
            <w:pPr>
              <w:jc w:val="center"/>
            </w:pPr>
            <w:r/>
            <w:r>
              <w:rPr>
                <w:rFonts w:ascii="Times New Roman" w:hAnsi="Times New Roman"/>
                <w:b w:val="0"/>
                <w:i w:val="0"/>
                <w:color w:val="000000"/>
                <w:sz w:val="20"/>
              </w:rPr>
              <w:t>Financial/legal liability</w:t>
            </w:r>
          </w:p>
        </w:tc>
      </w:tr>
      <w:tr>
        <w:tc>
          <w:tcPr>
            <w:tcW w:type="dxa" w:w="2854"/>
          </w:tcPr>
          <w:p>
            <w:pPr>
              <w:jc w:val="center"/>
            </w:pPr>
            <w:r/>
            <w:r>
              <w:rPr>
                <w:rFonts w:ascii="Times New Roman" w:hAnsi="Times New Roman"/>
                <w:b w:val="0"/>
                <w:i w:val="0"/>
                <w:color w:val="000000"/>
                <w:sz w:val="20"/>
              </w:rPr>
              <w:t>Finance</w:t>
            </w:r>
          </w:p>
        </w:tc>
        <w:tc>
          <w:tcPr>
            <w:tcW w:type="dxa" w:w="2854"/>
          </w:tcPr>
          <w:p>
            <w:pPr>
              <w:jc w:val="center"/>
            </w:pPr>
            <w:r/>
            <w:r>
              <w:rPr>
                <w:rFonts w:ascii="Times New Roman" w:hAnsi="Times New Roman"/>
                <w:b w:val="0"/>
                <w:i w:val="0"/>
                <w:color w:val="000000"/>
                <w:sz w:val="20"/>
              </w:rPr>
              <w:t>Wrong financial figures or investment advice</w:t>
            </w:r>
          </w:p>
        </w:tc>
        <w:tc>
          <w:tcPr>
            <w:tcW w:type="dxa" w:w="2854"/>
          </w:tcPr>
          <w:p>
            <w:pPr>
              <w:jc w:val="center"/>
            </w:pPr>
            <w:r/>
            <w:r>
              <w:rPr>
                <w:rFonts w:ascii="Times New Roman" w:hAnsi="Times New Roman"/>
                <w:b w:val="0"/>
                <w:i w:val="0"/>
                <w:color w:val="000000"/>
                <w:sz w:val="20"/>
              </w:rPr>
              <w:t>Monetary loss</w:t>
            </w:r>
          </w:p>
        </w:tc>
      </w:tr>
      <w:tr>
        <w:tc>
          <w:tcPr>
            <w:tcW w:type="dxa" w:w="2854"/>
          </w:tcPr>
          <w:p>
            <w:pPr>
              <w:jc w:val="center"/>
            </w:pPr>
            <w:r/>
            <w:r>
              <w:rPr>
                <w:rFonts w:ascii="Times New Roman" w:hAnsi="Times New Roman"/>
                <w:b w:val="0"/>
                <w:i w:val="0"/>
                <w:color w:val="000000"/>
                <w:sz w:val="20"/>
              </w:rPr>
              <w:t>Education</w:t>
            </w:r>
          </w:p>
        </w:tc>
        <w:tc>
          <w:tcPr>
            <w:tcW w:type="dxa" w:w="2854"/>
          </w:tcPr>
          <w:p>
            <w:pPr>
              <w:jc w:val="center"/>
            </w:pPr>
            <w:r/>
            <w:r>
              <w:rPr>
                <w:rFonts w:ascii="Times New Roman" w:hAnsi="Times New Roman"/>
                <w:b w:val="0"/>
                <w:i w:val="0"/>
                <w:color w:val="000000"/>
                <w:sz w:val="20"/>
              </w:rPr>
              <w:t>False historical facts or scientific misinformation</w:t>
            </w:r>
          </w:p>
        </w:tc>
        <w:tc>
          <w:tcPr>
            <w:tcW w:type="dxa" w:w="2854"/>
          </w:tcPr>
          <w:p>
            <w:pPr>
              <w:jc w:val="center"/>
            </w:pPr>
            <w:r/>
            <w:r>
              <w:rPr>
                <w:rFonts w:ascii="Times New Roman" w:hAnsi="Times New Roman"/>
                <w:b w:val="0"/>
                <w:i w:val="0"/>
                <w:color w:val="000000"/>
                <w:sz w:val="20"/>
              </w:rPr>
              <w:t>Knowledge corruption</w:t>
            </w:r>
          </w:p>
        </w:tc>
      </w:tr>
      <w:tr>
        <w:tc>
          <w:tcPr>
            <w:tcW w:type="dxa" w:w="2854"/>
          </w:tcPr>
          <w:p>
            <w:pPr>
              <w:jc w:val="center"/>
            </w:pPr>
            <w:r/>
            <w:r>
              <w:rPr>
                <w:rFonts w:ascii="Times New Roman" w:hAnsi="Times New Roman"/>
                <w:b w:val="0"/>
                <w:i w:val="0"/>
                <w:color w:val="000000"/>
                <w:sz w:val="20"/>
              </w:rPr>
              <w:t>Journalism</w:t>
            </w:r>
          </w:p>
        </w:tc>
        <w:tc>
          <w:tcPr>
            <w:tcW w:type="dxa" w:w="2854"/>
          </w:tcPr>
          <w:p>
            <w:pPr>
              <w:jc w:val="center"/>
            </w:pPr>
            <w:r/>
            <w:r>
              <w:rPr>
                <w:rFonts w:ascii="Times New Roman" w:hAnsi="Times New Roman"/>
                <w:b w:val="0"/>
                <w:i w:val="0"/>
                <w:color w:val="000000"/>
                <w:sz w:val="20"/>
              </w:rPr>
              <w:t>Fabricated quotes, statistics, or events</w:t>
            </w:r>
          </w:p>
        </w:tc>
        <w:tc>
          <w:tcPr>
            <w:tcW w:type="dxa" w:w="2854"/>
          </w:tcPr>
          <w:p>
            <w:pPr>
              <w:jc w:val="center"/>
            </w:pPr>
            <w:r/>
            <w:r>
              <w:rPr>
                <w:rFonts w:ascii="Times New Roman" w:hAnsi="Times New Roman"/>
                <w:b w:val="0"/>
                <w:i w:val="0"/>
                <w:color w:val="000000"/>
                <w:sz w:val="20"/>
              </w:rPr>
              <w:t>Credibility damage</w:t>
            </w:r>
          </w:p>
        </w:tc>
      </w:tr>
      <w:tr>
        <w:tc>
          <w:tcPr>
            <w:tcW w:type="dxa" w:w="2854"/>
          </w:tcPr>
          <w:p>
            <w:pPr>
              <w:jc w:val="center"/>
            </w:pPr>
            <w:r/>
            <w:r>
              <w:rPr>
                <w:rFonts w:ascii="Times New Roman" w:hAnsi="Times New Roman"/>
                <w:b w:val="0"/>
                <w:i w:val="0"/>
                <w:color w:val="000000"/>
                <w:sz w:val="20"/>
              </w:rPr>
              <w:t>Customer Support</w:t>
            </w:r>
          </w:p>
        </w:tc>
        <w:tc>
          <w:tcPr>
            <w:tcW w:type="dxa" w:w="2854"/>
          </w:tcPr>
          <w:p>
            <w:pPr>
              <w:jc w:val="center"/>
            </w:pPr>
            <w:r/>
            <w:r>
              <w:rPr>
                <w:rFonts w:ascii="Times New Roman" w:hAnsi="Times New Roman"/>
                <w:b w:val="0"/>
                <w:i w:val="0"/>
                <w:color w:val="000000"/>
                <w:sz w:val="20"/>
              </w:rPr>
              <w:t>Incorrect product specifications or policies</w:t>
            </w:r>
          </w:p>
        </w:tc>
        <w:tc>
          <w:tcPr>
            <w:tcW w:type="dxa" w:w="2854"/>
          </w:tcPr>
          <w:p>
            <w:pPr>
              <w:jc w:val="center"/>
            </w:pPr>
            <w:r/>
            <w:r>
              <w:rPr>
                <w:rFonts w:ascii="Times New Roman" w:hAnsi="Times New Roman"/>
                <w:b w:val="0"/>
                <w:i w:val="0"/>
                <w:color w:val="000000"/>
                <w:sz w:val="20"/>
              </w:rPr>
              <w:t>Brand trust erosion</w:t>
            </w:r>
          </w:p>
        </w:tc>
      </w:tr>
    </w:tbl>
    <w:p/>
    <w:p>
      <w:pPr>
        <w:pStyle w:val="Heading2"/>
        <w:jc w:val="left"/>
      </w:pPr>
      <w:r>
        <w:rPr>
          <w:rFonts w:ascii="Times New Roman" w:hAnsi="Times New Roman"/>
          <w:color w:val="000000"/>
          <w:sz w:val="28"/>
        </w:rPr>
        <w:t>3.2 Who Benefits from HalluciGuard</w:t>
      </w:r>
    </w:p>
    <w:p>
      <w:pPr>
        <w:spacing w:after="80" w:line="360" w:lineRule="auto"/>
        <w:jc w:val="both"/>
      </w:pPr>
      <w:r>
        <w:rPr>
          <w:rFonts w:ascii="Times New Roman" w:hAnsi="Times New Roman"/>
          <w:b/>
          <w:i w:val="0"/>
          <w:color w:val="000000"/>
          <w:sz w:val="24"/>
        </w:rPr>
        <w:t xml:space="preserve">AI Product Teams: </w:t>
      </w:r>
      <w:r>
        <w:rPr>
          <w:rFonts w:ascii="Times New Roman" w:hAnsi="Times New Roman"/>
          <w:b w:val="0"/>
          <w:i w:val="0"/>
          <w:color w:val="000000"/>
          <w:sz w:val="24"/>
        </w:rPr>
        <w:t>Companies deploying LLM-powered products (chatbots, copilots, search) can integrate the pipeline as a safety layer to automatically detect and flag unreliable responses before they reach end users.</w:t>
      </w:r>
    </w:p>
    <w:p>
      <w:pPr>
        <w:spacing w:after="80" w:line="360" w:lineRule="auto"/>
        <w:jc w:val="both"/>
      </w:pPr>
      <w:r>
        <w:rPr>
          <w:rFonts w:ascii="Times New Roman" w:hAnsi="Times New Roman"/>
          <w:b/>
          <w:i w:val="0"/>
          <w:color w:val="000000"/>
          <w:sz w:val="24"/>
        </w:rPr>
        <w:t xml:space="preserve">Healthcare AI Systems: </w:t>
      </w:r>
      <w:r>
        <w:rPr>
          <w:rFonts w:ascii="Times New Roman" w:hAnsi="Times New Roman"/>
          <w:b w:val="0"/>
          <w:i w:val="0"/>
          <w:color w:val="000000"/>
          <w:sz w:val="24"/>
        </w:rPr>
        <w:t>Medical AI assistants can use the hallucination gate to ensure that generated medical advice is grounded in verified clinical knowledge, refusing to provide answers when confidence is low.</w:t>
      </w:r>
    </w:p>
    <w:p>
      <w:pPr>
        <w:spacing w:after="80" w:line="360" w:lineRule="auto"/>
        <w:jc w:val="both"/>
      </w:pPr>
      <w:r>
        <w:rPr>
          <w:rFonts w:ascii="Times New Roman" w:hAnsi="Times New Roman"/>
          <w:b/>
          <w:i w:val="0"/>
          <w:color w:val="000000"/>
          <w:sz w:val="24"/>
        </w:rPr>
        <w:t xml:space="preserve">Legal Tech Platforms: </w:t>
      </w:r>
      <w:r>
        <w:rPr>
          <w:rFonts w:ascii="Times New Roman" w:hAnsi="Times New Roman"/>
          <w:b w:val="0"/>
          <w:i w:val="0"/>
          <w:color w:val="000000"/>
          <w:sz w:val="24"/>
        </w:rPr>
        <w:t>Legal research tools powered by LLMs can verify that cited cases and statutes actually exist, preventing the fabrication of legal citations — a documented problem with GPT-4.</w:t>
      </w:r>
    </w:p>
    <w:p>
      <w:pPr>
        <w:spacing w:after="80" w:line="360" w:lineRule="auto"/>
        <w:jc w:val="both"/>
      </w:pPr>
      <w:r>
        <w:rPr>
          <w:rFonts w:ascii="Times New Roman" w:hAnsi="Times New Roman"/>
          <w:b/>
          <w:i w:val="0"/>
          <w:color w:val="000000"/>
          <w:sz w:val="24"/>
        </w:rPr>
        <w:t xml:space="preserve">Content Moderation: </w:t>
      </w:r>
      <w:r>
        <w:rPr>
          <w:rFonts w:ascii="Times New Roman" w:hAnsi="Times New Roman"/>
          <w:b w:val="0"/>
          <w:i w:val="0"/>
          <w:color w:val="000000"/>
          <w:sz w:val="24"/>
        </w:rPr>
        <w:t>News organizations and content platforms can use the pipeline to fact-check AI-generated articles before publication, maintaining editorial integrity.</w:t>
      </w:r>
    </w:p>
    <w:p>
      <w:pPr>
        <w:spacing w:after="80" w:line="360" w:lineRule="auto"/>
        <w:jc w:val="both"/>
      </w:pPr>
      <w:r>
        <w:rPr>
          <w:rFonts w:ascii="Times New Roman" w:hAnsi="Times New Roman"/>
          <w:b/>
          <w:i w:val="0"/>
          <w:color w:val="000000"/>
          <w:sz w:val="24"/>
        </w:rPr>
        <w:t xml:space="preserve">Research &amp; Academia: </w:t>
      </w:r>
      <w:r>
        <w:rPr>
          <w:rFonts w:ascii="Times New Roman" w:hAnsi="Times New Roman"/>
          <w:b w:val="0"/>
          <w:i w:val="0"/>
          <w:color w:val="000000"/>
          <w:sz w:val="24"/>
        </w:rPr>
        <w:t>Researchers can use the pipeline as a benchmark framework to evaluate and compare different hallucination mitigation techniques on standardized datasets like TruthfulQA.</w:t>
      </w:r>
    </w:p>
    <w:p>
      <w:pPr>
        <w:pStyle w:val="Heading2"/>
        <w:jc w:val="left"/>
      </w:pPr>
      <w:r>
        <w:rPr>
          <w:rFonts w:ascii="Times New Roman" w:hAnsi="Times New Roman"/>
          <w:color w:val="000000"/>
          <w:sz w:val="28"/>
        </w:rPr>
        <w:t>3.3 Key Advantages of the HalluciGuard Approach</w:t>
      </w:r>
    </w:p>
    <w:p>
      <w:pPr>
        <w:pStyle w:val="ListBullet"/>
        <w:spacing w:line="360" w:lineRule="auto"/>
      </w:pPr>
      <w:r>
        <w:rPr>
          <w:rFonts w:ascii="Times New Roman" w:hAnsi="Times New Roman"/>
          <w:b w:val="0"/>
          <w:i w:val="0"/>
          <w:color w:val="000000"/>
          <w:sz w:val="24"/>
        </w:rPr>
        <w:t>Modular Architecture — Each pipeline stage can be independently upgraded without affecting others. Swap TF-IDF for FAISS, or lexical NLI for DeBERTa, with zero code restructuring.</w:t>
      </w:r>
    </w:p>
    <w:p>
      <w:pPr>
        <w:pStyle w:val="ListBullet"/>
        <w:spacing w:line="360" w:lineRule="auto"/>
      </w:pPr>
      <w:r>
        <w:rPr>
          <w:rFonts w:ascii="Times New Roman" w:hAnsi="Times New Roman"/>
          <w:b w:val="0"/>
          <w:i w:val="0"/>
          <w:color w:val="000000"/>
          <w:sz w:val="24"/>
        </w:rPr>
        <w:t>Interpretable Scores — Unlike black-box approaches, every response comes with a transparent H-score, uncertainty value, and NLI grounding metric. Users can understand why a response was flagged.</w:t>
      </w:r>
    </w:p>
    <w:p>
      <w:pPr>
        <w:pStyle w:val="ListBullet"/>
        <w:spacing w:line="360" w:lineRule="auto"/>
      </w:pPr>
      <w:r>
        <w:rPr>
          <w:rFonts w:ascii="Times New Roman" w:hAnsi="Times New Roman"/>
          <w:b w:val="0"/>
          <w:i w:val="0"/>
          <w:color w:val="000000"/>
          <w:sz w:val="24"/>
        </w:rPr>
        <w:t>Configurable Sensitivity — The flag threshold (default 0.50) can be tuned per-domain: lower for high-stakes applications (healthcare: 0.30), higher for casual use (entertainment: 0.70).</w:t>
      </w:r>
    </w:p>
    <w:p>
      <w:pPr>
        <w:pStyle w:val="ListBullet"/>
        <w:spacing w:line="360" w:lineRule="auto"/>
      </w:pPr>
      <w:r>
        <w:rPr>
          <w:rFonts w:ascii="Times New Roman" w:hAnsi="Times New Roman"/>
          <w:b w:val="0"/>
          <w:i w:val="0"/>
          <w:color w:val="000000"/>
          <w:sz w:val="24"/>
        </w:rPr>
        <w:t>Lightweight Deployment — The current implementation requires no GPU and runs on standard hardware. Production upgrades are designed as drop-in replacements.</w:t>
      </w:r>
    </w:p>
    <w:p>
      <w:pPr>
        <w:pStyle w:val="ListBullet"/>
        <w:spacing w:line="360" w:lineRule="auto"/>
      </w:pPr>
      <w:r>
        <w:rPr>
          <w:rFonts w:ascii="Times New Roman" w:hAnsi="Times New Roman"/>
          <w:b w:val="0"/>
          <w:i w:val="0"/>
          <w:color w:val="000000"/>
          <w:sz w:val="24"/>
        </w:rPr>
        <w:t>Real-time Capable — The pipeline processes each query in milliseconds, making it suitable for integration into live LLM serving infrastructure.</w:t>
      </w:r>
    </w:p>
    <w:p>
      <w:r>
        <w:br w:type="page"/>
      </w:r>
    </w:p>
    <w:p>
      <w:pPr>
        <w:spacing w:before="600"/>
        <w:jc w:val="center"/>
      </w:pPr>
      <w:r>
        <w:rPr>
          <w:rFonts w:ascii="Times New Roman" w:hAnsi="Times New Roman"/>
          <w:b/>
          <w:i w:val="0"/>
          <w:color w:val="000000"/>
          <w:sz w:val="44"/>
        </w:rPr>
        <w:t>CHAPTER 4</w:t>
      </w:r>
    </w:p>
    <w:p>
      <w:pPr>
        <w:spacing w:after="400"/>
        <w:jc w:val="center"/>
      </w:pPr>
      <w:r>
        <w:rPr>
          <w:rFonts w:ascii="Times New Roman" w:hAnsi="Times New Roman"/>
          <w:b/>
          <w:i w:val="0"/>
          <w:color w:val="000000"/>
          <w:sz w:val="36"/>
        </w:rPr>
        <w:t>RESULTS SUMMARY</w:t>
      </w:r>
    </w:p>
    <w:p>
      <w:pPr>
        <w:pStyle w:val="Heading2"/>
        <w:jc w:val="left"/>
      </w:pPr>
      <w:r>
        <w:rPr>
          <w:rFonts w:ascii="Times New Roman" w:hAnsi="Times New Roman"/>
          <w:color w:val="000000"/>
          <w:sz w:val="28"/>
        </w:rPr>
        <w:t>4.1 Performance on TruthfulQA (817 Questions)</w:t>
      </w:r>
    </w:p>
    <w:tbl>
      <w:tblPr>
        <w:tblStyle w:val="LightGrid-Accent1"/>
        <w:tblW w:type="auto" w:w="0"/>
        <w:jc w:val="center"/>
        <w:tblLook w:firstColumn="1" w:firstRow="1" w:lastColumn="0" w:lastRow="0" w:noHBand="0" w:noVBand="1" w:val="04A0"/>
      </w:tblPr>
      <w:tblGrid>
        <w:gridCol w:w="4280"/>
        <w:gridCol w:w="4280"/>
      </w:tblGrid>
      <w:tr>
        <w:tc>
          <w:tcPr>
            <w:tcW w:type="dxa" w:w="4280"/>
          </w:tcPr>
          <w:p>
            <w:pPr>
              <w:jc w:val="center"/>
            </w:pPr>
            <w:r/>
            <w:r>
              <w:rPr>
                <w:rFonts w:ascii="Times New Roman" w:hAnsi="Times New Roman"/>
                <w:b/>
                <w:i w:val="0"/>
                <w:color w:val="000000"/>
                <w:sz w:val="20"/>
              </w:rPr>
              <w:t>Metric</w:t>
            </w:r>
          </w:p>
        </w:tc>
        <w:tc>
          <w:tcPr>
            <w:tcW w:type="dxa" w:w="4280"/>
          </w:tcPr>
          <w:p>
            <w:pPr>
              <w:jc w:val="center"/>
            </w:pPr>
            <w:r/>
            <w:r>
              <w:rPr>
                <w:rFonts w:ascii="Times New Roman" w:hAnsi="Times New Roman"/>
                <w:b/>
                <w:i w:val="0"/>
                <w:color w:val="000000"/>
                <w:sz w:val="20"/>
              </w:rPr>
              <w:t>Value</w:t>
            </w:r>
          </w:p>
        </w:tc>
      </w:tr>
      <w:tr>
        <w:tc>
          <w:tcPr>
            <w:tcW w:type="dxa" w:w="4280"/>
          </w:tcPr>
          <w:p>
            <w:pPr>
              <w:jc w:val="center"/>
            </w:pPr>
            <w:r/>
            <w:r>
              <w:rPr>
                <w:rFonts w:ascii="Times New Roman" w:hAnsi="Times New Roman"/>
                <w:b w:val="0"/>
                <w:i w:val="0"/>
                <w:color w:val="000000"/>
                <w:sz w:val="20"/>
              </w:rPr>
              <w:t>Overall Accuracy</w:t>
            </w:r>
          </w:p>
        </w:tc>
        <w:tc>
          <w:tcPr>
            <w:tcW w:type="dxa" w:w="4280"/>
          </w:tcPr>
          <w:p>
            <w:pPr>
              <w:jc w:val="center"/>
            </w:pPr>
            <w:r/>
            <w:r>
              <w:rPr>
                <w:rFonts w:ascii="Times New Roman" w:hAnsi="Times New Roman"/>
                <w:b w:val="0"/>
                <w:i w:val="0"/>
                <w:color w:val="000000"/>
                <w:sz w:val="20"/>
              </w:rPr>
              <w:t>90.5% (739/817 correct)</w:t>
            </w:r>
          </w:p>
        </w:tc>
      </w:tr>
      <w:tr>
        <w:tc>
          <w:tcPr>
            <w:tcW w:type="dxa" w:w="4280"/>
          </w:tcPr>
          <w:p>
            <w:pPr>
              <w:jc w:val="center"/>
            </w:pPr>
            <w:r/>
            <w:r>
              <w:rPr>
                <w:rFonts w:ascii="Times New Roman" w:hAnsi="Times New Roman"/>
                <w:b w:val="0"/>
                <w:i w:val="0"/>
                <w:color w:val="000000"/>
                <w:sz w:val="20"/>
              </w:rPr>
              <w:t>Hallucination Detection Recall</w:t>
            </w:r>
          </w:p>
        </w:tc>
        <w:tc>
          <w:tcPr>
            <w:tcW w:type="dxa" w:w="4280"/>
          </w:tcPr>
          <w:p>
            <w:pPr>
              <w:jc w:val="center"/>
            </w:pPr>
            <w:r/>
            <w:r>
              <w:rPr>
                <w:rFonts w:ascii="Times New Roman" w:hAnsi="Times New Roman"/>
                <w:b w:val="0"/>
                <w:i w:val="0"/>
                <w:color w:val="000000"/>
                <w:sz w:val="20"/>
              </w:rPr>
              <w:t>66.7%</w:t>
            </w:r>
          </w:p>
        </w:tc>
      </w:tr>
      <w:tr>
        <w:tc>
          <w:tcPr>
            <w:tcW w:type="dxa" w:w="4280"/>
          </w:tcPr>
          <w:p>
            <w:pPr>
              <w:jc w:val="center"/>
            </w:pPr>
            <w:r/>
            <w:r>
              <w:rPr>
                <w:rFonts w:ascii="Times New Roman" w:hAnsi="Times New Roman"/>
                <w:b w:val="0"/>
                <w:i w:val="0"/>
                <w:color w:val="000000"/>
                <w:sz w:val="20"/>
              </w:rPr>
              <w:t>Detection Precision</w:t>
            </w:r>
          </w:p>
        </w:tc>
        <w:tc>
          <w:tcPr>
            <w:tcW w:type="dxa" w:w="4280"/>
          </w:tcPr>
          <w:p>
            <w:pPr>
              <w:jc w:val="center"/>
            </w:pPr>
            <w:r/>
            <w:r>
              <w:rPr>
                <w:rFonts w:ascii="Times New Roman" w:hAnsi="Times New Roman"/>
                <w:b w:val="0"/>
                <w:i w:val="0"/>
                <w:color w:val="000000"/>
                <w:sz w:val="20"/>
              </w:rPr>
              <w:t>31.1%</w:t>
            </w:r>
          </w:p>
        </w:tc>
      </w:tr>
      <w:tr>
        <w:tc>
          <w:tcPr>
            <w:tcW w:type="dxa" w:w="4280"/>
          </w:tcPr>
          <w:p>
            <w:pPr>
              <w:jc w:val="center"/>
            </w:pPr>
            <w:r/>
            <w:r>
              <w:rPr>
                <w:rFonts w:ascii="Times New Roman" w:hAnsi="Times New Roman"/>
                <w:b w:val="0"/>
                <w:i w:val="0"/>
                <w:color w:val="000000"/>
                <w:sz w:val="20"/>
              </w:rPr>
              <w:t>Detection F1 Score</w:t>
            </w:r>
          </w:p>
        </w:tc>
        <w:tc>
          <w:tcPr>
            <w:tcW w:type="dxa" w:w="4280"/>
          </w:tcPr>
          <w:p>
            <w:pPr>
              <w:jc w:val="center"/>
            </w:pPr>
            <w:r/>
            <w:r>
              <w:rPr>
                <w:rFonts w:ascii="Times New Roman" w:hAnsi="Times New Roman"/>
                <w:b w:val="0"/>
                <w:i w:val="0"/>
                <w:color w:val="000000"/>
                <w:sz w:val="20"/>
              </w:rPr>
              <w:t>42.4%</w:t>
            </w:r>
          </w:p>
        </w:tc>
      </w:tr>
      <w:tr>
        <w:tc>
          <w:tcPr>
            <w:tcW w:type="dxa" w:w="4280"/>
          </w:tcPr>
          <w:p>
            <w:pPr>
              <w:jc w:val="center"/>
            </w:pPr>
            <w:r/>
            <w:r>
              <w:rPr>
                <w:rFonts w:ascii="Times New Roman" w:hAnsi="Times New Roman"/>
                <w:b w:val="0"/>
                <w:i w:val="0"/>
                <w:color w:val="000000"/>
                <w:sz w:val="20"/>
              </w:rPr>
              <w:t>Avg Hallucination Score</w:t>
            </w:r>
          </w:p>
        </w:tc>
        <w:tc>
          <w:tcPr>
            <w:tcW w:type="dxa" w:w="4280"/>
          </w:tcPr>
          <w:p>
            <w:pPr>
              <w:jc w:val="center"/>
            </w:pPr>
            <w:r/>
            <w:r>
              <w:rPr>
                <w:rFonts w:ascii="Times New Roman" w:hAnsi="Times New Roman"/>
                <w:b w:val="0"/>
                <w:i w:val="0"/>
                <w:color w:val="000000"/>
                <w:sz w:val="20"/>
              </w:rPr>
              <w:t>0.3276</w:t>
            </w:r>
          </w:p>
        </w:tc>
      </w:tr>
      <w:tr>
        <w:tc>
          <w:tcPr>
            <w:tcW w:type="dxa" w:w="4280"/>
          </w:tcPr>
          <w:p>
            <w:pPr>
              <w:jc w:val="center"/>
            </w:pPr>
            <w:r/>
            <w:r>
              <w:rPr>
                <w:rFonts w:ascii="Times New Roman" w:hAnsi="Times New Roman"/>
                <w:b w:val="0"/>
                <w:i w:val="0"/>
                <w:color w:val="000000"/>
                <w:sz w:val="20"/>
              </w:rPr>
              <w:t>Avg NLI Grounding</w:t>
            </w:r>
          </w:p>
        </w:tc>
        <w:tc>
          <w:tcPr>
            <w:tcW w:type="dxa" w:w="4280"/>
          </w:tcPr>
          <w:p>
            <w:pPr>
              <w:jc w:val="center"/>
            </w:pPr>
            <w:r/>
            <w:r>
              <w:rPr>
                <w:rFonts w:ascii="Times New Roman" w:hAnsi="Times New Roman"/>
                <w:b w:val="0"/>
                <w:i w:val="0"/>
                <w:color w:val="000000"/>
                <w:sz w:val="20"/>
              </w:rPr>
              <w:t>0.8103</w:t>
            </w:r>
          </w:p>
        </w:tc>
      </w:tr>
    </w:tbl>
    <w:p/>
    <w:p>
      <w:pPr>
        <w:jc w:val="center"/>
      </w:pPr>
      <w:r>
        <w:drawing>
          <wp:inline xmlns:a="http://schemas.openxmlformats.org/drawingml/2006/main" xmlns:pic="http://schemas.openxmlformats.org/drawingml/2006/picture">
            <wp:extent cx="5029200" cy="1461071"/>
            <wp:docPr id="1" name="Picture 1"/>
            <wp:cNvGraphicFramePr>
              <a:graphicFrameLocks noChangeAspect="1"/>
            </wp:cNvGraphicFramePr>
            <a:graphic>
              <a:graphicData uri="http://schemas.openxmlformats.org/drawingml/2006/picture">
                <pic:pic>
                  <pic:nvPicPr>
                    <pic:cNvPr id="0" name="truthfulqa_evaluation.png"/>
                    <pic:cNvPicPr/>
                  </pic:nvPicPr>
                  <pic:blipFill>
                    <a:blip r:embed="rId9"/>
                    <a:stretch>
                      <a:fillRect/>
                    </a:stretch>
                  </pic:blipFill>
                  <pic:spPr>
                    <a:xfrm>
                      <a:off x="0" y="0"/>
                      <a:ext cx="5029200" cy="1461071"/>
                    </a:xfrm>
                    <a:prstGeom prst="rect"/>
                  </pic:spPr>
                </pic:pic>
              </a:graphicData>
            </a:graphic>
          </wp:inline>
        </w:drawing>
      </w:r>
    </w:p>
    <w:p>
      <w:pPr>
        <w:jc w:val="center"/>
      </w:pPr>
      <w:r>
        <w:rPr>
          <w:rFonts w:ascii="Times New Roman" w:hAnsi="Times New Roman"/>
          <w:b w:val="0"/>
          <w:i/>
          <w:color w:val="000000"/>
          <w:sz w:val="20"/>
        </w:rPr>
        <w:t>Figure 4.1: TruthfulQA Evaluation Dashboard — 817 Samples</w:t>
      </w:r>
    </w:p>
    <w:p>
      <w:pPr>
        <w:pStyle w:val="Heading2"/>
        <w:jc w:val="left"/>
      </w:pPr>
      <w:r>
        <w:rPr>
          <w:rFonts w:ascii="Times New Roman" w:hAnsi="Times New Roman"/>
          <w:color w:val="000000"/>
          <w:sz w:val="28"/>
        </w:rPr>
        <w:t>4.2 Ablation Study</w:t>
      </w:r>
    </w:p>
    <w:tbl>
      <w:tblPr>
        <w:tblStyle w:val="LightGrid-Accent1"/>
        <w:tblW w:type="auto" w:w="0"/>
        <w:jc w:val="center"/>
        <w:tblLook w:firstColumn="1" w:firstRow="1" w:lastColumn="0" w:lastRow="0" w:noHBand="0" w:noVBand="1" w:val="04A0"/>
      </w:tblPr>
      <w:tblGrid>
        <w:gridCol w:w="2854"/>
        <w:gridCol w:w="2854"/>
        <w:gridCol w:w="2854"/>
      </w:tblGrid>
      <w:tr>
        <w:tc>
          <w:tcPr>
            <w:tcW w:type="dxa" w:w="2854"/>
          </w:tcPr>
          <w:p>
            <w:pPr>
              <w:jc w:val="center"/>
            </w:pPr>
            <w:r/>
            <w:r>
              <w:rPr>
                <w:rFonts w:ascii="Times New Roman" w:hAnsi="Times New Roman"/>
                <w:b/>
                <w:i w:val="0"/>
                <w:color w:val="000000"/>
                <w:sz w:val="20"/>
              </w:rPr>
              <w:t>Configuration</w:t>
            </w:r>
          </w:p>
        </w:tc>
        <w:tc>
          <w:tcPr>
            <w:tcW w:type="dxa" w:w="2854"/>
          </w:tcPr>
          <w:p>
            <w:pPr>
              <w:jc w:val="center"/>
            </w:pPr>
            <w:r/>
            <w:r>
              <w:rPr>
                <w:rFonts w:ascii="Times New Roman" w:hAnsi="Times New Roman"/>
                <w:b/>
                <w:i w:val="0"/>
                <w:color w:val="000000"/>
                <w:sz w:val="20"/>
              </w:rPr>
              <w:t>Accuracy</w:t>
            </w:r>
          </w:p>
        </w:tc>
        <w:tc>
          <w:tcPr>
            <w:tcW w:type="dxa" w:w="2854"/>
          </w:tcPr>
          <w:p>
            <w:pPr>
              <w:jc w:val="center"/>
            </w:pPr>
            <w:r/>
            <w:r>
              <w:rPr>
                <w:rFonts w:ascii="Times New Roman" w:hAnsi="Times New Roman"/>
                <w:b/>
                <w:i w:val="0"/>
                <w:color w:val="000000"/>
                <w:sz w:val="20"/>
              </w:rPr>
              <w:t>Improvement</w:t>
            </w:r>
          </w:p>
        </w:tc>
      </w:tr>
      <w:tr>
        <w:tc>
          <w:tcPr>
            <w:tcW w:type="dxa" w:w="2854"/>
          </w:tcPr>
          <w:p>
            <w:pPr>
              <w:jc w:val="center"/>
            </w:pPr>
            <w:r/>
            <w:r>
              <w:rPr>
                <w:rFonts w:ascii="Times New Roman" w:hAnsi="Times New Roman"/>
                <w:b w:val="0"/>
                <w:i w:val="0"/>
                <w:color w:val="000000"/>
                <w:sz w:val="20"/>
              </w:rPr>
              <w:t>No Mitigation (Baseline)</w:t>
            </w:r>
          </w:p>
        </w:tc>
        <w:tc>
          <w:tcPr>
            <w:tcW w:type="dxa" w:w="2854"/>
          </w:tcPr>
          <w:p>
            <w:pPr>
              <w:jc w:val="center"/>
            </w:pPr>
            <w:r/>
            <w:r>
              <w:rPr>
                <w:rFonts w:ascii="Times New Roman" w:hAnsi="Times New Roman"/>
                <w:b w:val="0"/>
                <w:i w:val="0"/>
                <w:color w:val="000000"/>
                <w:sz w:val="20"/>
              </w:rPr>
              <w:t>83.0%</w:t>
            </w:r>
          </w:p>
        </w:tc>
        <w:tc>
          <w:tcPr>
            <w:tcW w:type="dxa" w:w="2854"/>
          </w:tcPr>
          <w:p>
            <w:pPr>
              <w:jc w:val="center"/>
            </w:pPr>
            <w:r/>
            <w:r>
              <w:rPr>
                <w:rFonts w:ascii="Times New Roman" w:hAnsi="Times New Roman"/>
                <w:b w:val="0"/>
                <w:i w:val="0"/>
                <w:color w:val="000000"/>
                <w:sz w:val="20"/>
              </w:rPr>
              <w:t>—</w:t>
            </w:r>
          </w:p>
        </w:tc>
      </w:tr>
      <w:tr>
        <w:tc>
          <w:tcPr>
            <w:tcW w:type="dxa" w:w="2854"/>
          </w:tcPr>
          <w:p>
            <w:pPr>
              <w:jc w:val="center"/>
            </w:pPr>
            <w:r/>
            <w:r>
              <w:rPr>
                <w:rFonts w:ascii="Times New Roman" w:hAnsi="Times New Roman"/>
                <w:b w:val="0"/>
                <w:i w:val="0"/>
                <w:color w:val="000000"/>
                <w:sz w:val="20"/>
              </w:rPr>
              <w:t>RAG Only</w:t>
            </w:r>
          </w:p>
        </w:tc>
        <w:tc>
          <w:tcPr>
            <w:tcW w:type="dxa" w:w="2854"/>
          </w:tcPr>
          <w:p>
            <w:pPr>
              <w:jc w:val="center"/>
            </w:pPr>
            <w:r/>
            <w:r>
              <w:rPr>
                <w:rFonts w:ascii="Times New Roman" w:hAnsi="Times New Roman"/>
                <w:b w:val="0"/>
                <w:i w:val="0"/>
                <w:color w:val="000000"/>
                <w:sz w:val="20"/>
              </w:rPr>
              <w:t>91.5%</w:t>
            </w:r>
          </w:p>
        </w:tc>
        <w:tc>
          <w:tcPr>
            <w:tcW w:type="dxa" w:w="2854"/>
          </w:tcPr>
          <w:p>
            <w:pPr>
              <w:jc w:val="center"/>
            </w:pPr>
            <w:r/>
            <w:r>
              <w:rPr>
                <w:rFonts w:ascii="Times New Roman" w:hAnsi="Times New Roman"/>
                <w:b w:val="0"/>
                <w:i w:val="0"/>
                <w:color w:val="000000"/>
                <w:sz w:val="20"/>
              </w:rPr>
              <w:t>+8.5%</w:t>
            </w:r>
          </w:p>
        </w:tc>
      </w:tr>
      <w:tr>
        <w:tc>
          <w:tcPr>
            <w:tcW w:type="dxa" w:w="2854"/>
          </w:tcPr>
          <w:p>
            <w:pPr>
              <w:jc w:val="center"/>
            </w:pPr>
            <w:r/>
            <w:r>
              <w:rPr>
                <w:rFonts w:ascii="Times New Roman" w:hAnsi="Times New Roman"/>
                <w:b w:val="0"/>
                <w:i w:val="0"/>
                <w:color w:val="000000"/>
                <w:sz w:val="20"/>
              </w:rPr>
              <w:t>Self-Consistency Only</w:t>
            </w:r>
          </w:p>
        </w:tc>
        <w:tc>
          <w:tcPr>
            <w:tcW w:type="dxa" w:w="2854"/>
          </w:tcPr>
          <w:p>
            <w:pPr>
              <w:jc w:val="center"/>
            </w:pPr>
            <w:r/>
            <w:r>
              <w:rPr>
                <w:rFonts w:ascii="Times New Roman" w:hAnsi="Times New Roman"/>
                <w:b w:val="0"/>
                <w:i w:val="0"/>
                <w:color w:val="000000"/>
                <w:sz w:val="20"/>
              </w:rPr>
              <w:t>91.5%</w:t>
            </w:r>
          </w:p>
        </w:tc>
        <w:tc>
          <w:tcPr>
            <w:tcW w:type="dxa" w:w="2854"/>
          </w:tcPr>
          <w:p>
            <w:pPr>
              <w:jc w:val="center"/>
            </w:pPr>
            <w:r/>
            <w:r>
              <w:rPr>
                <w:rFonts w:ascii="Times New Roman" w:hAnsi="Times New Roman"/>
                <w:b w:val="0"/>
                <w:i w:val="0"/>
                <w:color w:val="000000"/>
                <w:sz w:val="20"/>
              </w:rPr>
              <w:t>+8.5%</w:t>
            </w:r>
          </w:p>
        </w:tc>
      </w:tr>
      <w:tr>
        <w:tc>
          <w:tcPr>
            <w:tcW w:type="dxa" w:w="2854"/>
          </w:tcPr>
          <w:p>
            <w:pPr>
              <w:jc w:val="center"/>
            </w:pPr>
            <w:r/>
            <w:r>
              <w:rPr>
                <w:rFonts w:ascii="Times New Roman" w:hAnsi="Times New Roman"/>
                <w:b w:val="0"/>
                <w:i w:val="0"/>
                <w:color w:val="000000"/>
                <w:sz w:val="20"/>
              </w:rPr>
              <w:t>Uncertainty Gate Only</w:t>
            </w:r>
          </w:p>
        </w:tc>
        <w:tc>
          <w:tcPr>
            <w:tcW w:type="dxa" w:w="2854"/>
          </w:tcPr>
          <w:p>
            <w:pPr>
              <w:jc w:val="center"/>
            </w:pPr>
            <w:r/>
            <w:r>
              <w:rPr>
                <w:rFonts w:ascii="Times New Roman" w:hAnsi="Times New Roman"/>
                <w:b w:val="0"/>
                <w:i w:val="0"/>
                <w:color w:val="000000"/>
                <w:sz w:val="20"/>
              </w:rPr>
              <w:t>91.5%</w:t>
            </w:r>
          </w:p>
        </w:tc>
        <w:tc>
          <w:tcPr>
            <w:tcW w:type="dxa" w:w="2854"/>
          </w:tcPr>
          <w:p>
            <w:pPr>
              <w:jc w:val="center"/>
            </w:pPr>
            <w:r/>
            <w:r>
              <w:rPr>
                <w:rFonts w:ascii="Times New Roman" w:hAnsi="Times New Roman"/>
                <w:b w:val="0"/>
                <w:i w:val="0"/>
                <w:color w:val="000000"/>
                <w:sz w:val="20"/>
              </w:rPr>
              <w:t>+8.5%</w:t>
            </w:r>
          </w:p>
        </w:tc>
      </w:tr>
      <w:tr>
        <w:tc>
          <w:tcPr>
            <w:tcW w:type="dxa" w:w="2854"/>
          </w:tcPr>
          <w:p>
            <w:pPr>
              <w:jc w:val="center"/>
            </w:pPr>
            <w:r/>
            <w:r>
              <w:rPr>
                <w:rFonts w:ascii="Times New Roman" w:hAnsi="Times New Roman"/>
                <w:b w:val="0"/>
                <w:i w:val="0"/>
                <w:color w:val="000000"/>
                <w:sz w:val="20"/>
              </w:rPr>
              <w:t>Full Hybrid Pipeline</w:t>
            </w:r>
          </w:p>
        </w:tc>
        <w:tc>
          <w:tcPr>
            <w:tcW w:type="dxa" w:w="2854"/>
          </w:tcPr>
          <w:p>
            <w:pPr>
              <w:jc w:val="center"/>
            </w:pPr>
            <w:r/>
            <w:r>
              <w:rPr>
                <w:rFonts w:ascii="Times New Roman" w:hAnsi="Times New Roman"/>
                <w:b w:val="0"/>
                <w:i w:val="0"/>
                <w:color w:val="000000"/>
                <w:sz w:val="20"/>
              </w:rPr>
              <w:t>98.5%</w:t>
            </w:r>
          </w:p>
        </w:tc>
        <w:tc>
          <w:tcPr>
            <w:tcW w:type="dxa" w:w="2854"/>
          </w:tcPr>
          <w:p>
            <w:pPr>
              <w:jc w:val="center"/>
            </w:pPr>
            <w:r/>
            <w:r>
              <w:rPr>
                <w:rFonts w:ascii="Times New Roman" w:hAnsi="Times New Roman"/>
                <w:b w:val="0"/>
                <w:i w:val="0"/>
                <w:color w:val="000000"/>
                <w:sz w:val="20"/>
              </w:rPr>
              <w:t>+15.5%</w:t>
            </w:r>
          </w:p>
        </w:tc>
      </w:tr>
    </w:tbl>
    <w:p/>
    <w:p>
      <w:pPr>
        <w:jc w:val="center"/>
      </w:pPr>
      <w:r>
        <w:drawing>
          <wp:inline xmlns:a="http://schemas.openxmlformats.org/drawingml/2006/main" xmlns:pic="http://schemas.openxmlformats.org/drawingml/2006/picture">
            <wp:extent cx="5029200" cy="3250002"/>
            <wp:docPr id="2" name="Picture 2"/>
            <wp:cNvGraphicFramePr>
              <a:graphicFrameLocks noChangeAspect="1"/>
            </wp:cNvGraphicFramePr>
            <a:graphic>
              <a:graphicData uri="http://schemas.openxmlformats.org/drawingml/2006/picture">
                <pic:pic>
                  <pic:nvPicPr>
                    <pic:cNvPr id="0" name="uncertainty_vs_nli.png"/>
                    <pic:cNvPicPr/>
                  </pic:nvPicPr>
                  <pic:blipFill>
                    <a:blip r:embed="rId10"/>
                    <a:stretch>
                      <a:fillRect/>
                    </a:stretch>
                  </pic:blipFill>
                  <pic:spPr>
                    <a:xfrm>
                      <a:off x="0" y="0"/>
                      <a:ext cx="5029200" cy="3250002"/>
                    </a:xfrm>
                    <a:prstGeom prst="rect"/>
                  </pic:spPr>
                </pic:pic>
              </a:graphicData>
            </a:graphic>
          </wp:inline>
        </w:drawing>
      </w:r>
    </w:p>
    <w:p>
      <w:pPr>
        <w:jc w:val="center"/>
      </w:pPr>
      <w:r>
        <w:rPr>
          <w:rFonts w:ascii="Times New Roman" w:hAnsi="Times New Roman"/>
          <w:b w:val="0"/>
          <w:i/>
          <w:color w:val="000000"/>
          <w:sz w:val="20"/>
        </w:rPr>
        <w:t>Figure 4.2: Uncertainty vs NLI Grounding — Correct (green) vs Wrong (red)</w:t>
      </w:r>
    </w:p>
    <w:p>
      <w:r>
        <w:br w:type="page"/>
      </w:r>
    </w:p>
    <w:p>
      <w:pPr>
        <w:spacing w:before="600"/>
        <w:jc w:val="center"/>
      </w:pPr>
      <w:r>
        <w:rPr>
          <w:rFonts w:ascii="Times New Roman" w:hAnsi="Times New Roman"/>
          <w:b/>
          <w:i w:val="0"/>
          <w:color w:val="000000"/>
          <w:sz w:val="44"/>
        </w:rPr>
        <w:t>CHAPTER 5</w:t>
      </w:r>
    </w:p>
    <w:p>
      <w:pPr>
        <w:spacing w:after="400"/>
        <w:jc w:val="center"/>
      </w:pPr>
      <w:r>
        <w:rPr>
          <w:rFonts w:ascii="Times New Roman" w:hAnsi="Times New Roman"/>
          <w:b/>
          <w:i w:val="0"/>
          <w:color w:val="000000"/>
          <w:sz w:val="36"/>
        </w:rPr>
        <w:t>FUTURE CHANGES AND ROADMAP</w:t>
      </w:r>
    </w:p>
    <w:p>
      <w:pPr>
        <w:pStyle w:val="Heading2"/>
        <w:jc w:val="left"/>
      </w:pPr>
      <w:r>
        <w:rPr>
          <w:rFonts w:ascii="Times New Roman" w:hAnsi="Times New Roman"/>
          <w:color w:val="000000"/>
          <w:sz w:val="28"/>
        </w:rPr>
        <w:t>5.1 Immediate Production Upgrades</w:t>
      </w:r>
    </w:p>
    <w:p>
      <w:pPr>
        <w:spacing w:after="120" w:line="360" w:lineRule="auto"/>
        <w:jc w:val="both"/>
      </w:pPr>
      <w:r>
        <w:rPr>
          <w:rFonts w:ascii="Times New Roman" w:hAnsi="Times New Roman"/>
          <w:b w:val="0"/>
          <w:i w:val="0"/>
          <w:color w:val="000000"/>
          <w:sz w:val="24"/>
        </w:rPr>
        <w:t>The following drop-in replacements would significantly enhance pipeline performance without changing the architecture:</w:t>
      </w:r>
    </w:p>
    <w:tbl>
      <w:tblPr>
        <w:tblStyle w:val="LightGrid-Accent1"/>
        <w:tblW w:type="auto" w:w="0"/>
        <w:jc w:val="center"/>
        <w:tblLook w:firstColumn="1" w:firstRow="1" w:lastColumn="0" w:lastRow="0" w:noHBand="0" w:noVBand="1" w:val="04A0"/>
      </w:tblPr>
      <w:tblGrid>
        <w:gridCol w:w="2140"/>
        <w:gridCol w:w="2140"/>
        <w:gridCol w:w="2140"/>
        <w:gridCol w:w="2140"/>
      </w:tblGrid>
      <w:tr>
        <w:tc>
          <w:tcPr>
            <w:tcW w:type="dxa" w:w="2140"/>
          </w:tcPr>
          <w:p>
            <w:pPr>
              <w:jc w:val="center"/>
            </w:pPr>
            <w:r/>
            <w:r>
              <w:rPr>
                <w:rFonts w:ascii="Times New Roman" w:hAnsi="Times New Roman"/>
                <w:b/>
                <w:i w:val="0"/>
                <w:color w:val="000000"/>
                <w:sz w:val="20"/>
              </w:rPr>
              <w:t>Component</w:t>
            </w:r>
          </w:p>
        </w:tc>
        <w:tc>
          <w:tcPr>
            <w:tcW w:type="dxa" w:w="2140"/>
          </w:tcPr>
          <w:p>
            <w:pPr>
              <w:jc w:val="center"/>
            </w:pPr>
            <w:r/>
            <w:r>
              <w:rPr>
                <w:rFonts w:ascii="Times New Roman" w:hAnsi="Times New Roman"/>
                <w:b/>
                <w:i w:val="0"/>
                <w:color w:val="000000"/>
                <w:sz w:val="20"/>
              </w:rPr>
              <w:t>Current (Demo)</w:t>
            </w:r>
          </w:p>
        </w:tc>
        <w:tc>
          <w:tcPr>
            <w:tcW w:type="dxa" w:w="2140"/>
          </w:tcPr>
          <w:p>
            <w:pPr>
              <w:jc w:val="center"/>
            </w:pPr>
            <w:r/>
            <w:r>
              <w:rPr>
                <w:rFonts w:ascii="Times New Roman" w:hAnsi="Times New Roman"/>
                <w:b/>
                <w:i w:val="0"/>
                <w:color w:val="000000"/>
                <w:sz w:val="20"/>
              </w:rPr>
              <w:t>Production Upgrade</w:t>
            </w:r>
          </w:p>
        </w:tc>
        <w:tc>
          <w:tcPr>
            <w:tcW w:type="dxa" w:w="2140"/>
          </w:tcPr>
          <w:p>
            <w:pPr>
              <w:jc w:val="center"/>
            </w:pPr>
            <w:r/>
            <w:r>
              <w:rPr>
                <w:rFonts w:ascii="Times New Roman" w:hAnsi="Times New Roman"/>
                <w:b/>
                <w:i w:val="0"/>
                <w:color w:val="000000"/>
                <w:sz w:val="20"/>
              </w:rPr>
              <w:t>Expected Impact</w:t>
            </w:r>
          </w:p>
        </w:tc>
      </w:tr>
      <w:tr>
        <w:tc>
          <w:tcPr>
            <w:tcW w:type="dxa" w:w="2140"/>
          </w:tcPr>
          <w:p>
            <w:pPr>
              <w:jc w:val="center"/>
            </w:pPr>
            <w:r/>
            <w:r>
              <w:rPr>
                <w:rFonts w:ascii="Times New Roman" w:hAnsi="Times New Roman"/>
                <w:b w:val="0"/>
                <w:i w:val="0"/>
                <w:color w:val="000000"/>
                <w:sz w:val="20"/>
              </w:rPr>
              <w:t>LLM Engine</w:t>
            </w:r>
          </w:p>
        </w:tc>
        <w:tc>
          <w:tcPr>
            <w:tcW w:type="dxa" w:w="2140"/>
          </w:tcPr>
          <w:p>
            <w:pPr>
              <w:jc w:val="center"/>
            </w:pPr>
            <w:r/>
            <w:r>
              <w:rPr>
                <w:rFonts w:ascii="Times New Roman" w:hAnsi="Times New Roman"/>
                <w:b w:val="0"/>
                <w:i w:val="0"/>
                <w:color w:val="000000"/>
                <w:sz w:val="20"/>
              </w:rPr>
              <w:t>SimulatedLLM</w:t>
            </w:r>
          </w:p>
        </w:tc>
        <w:tc>
          <w:tcPr>
            <w:tcW w:type="dxa" w:w="2140"/>
          </w:tcPr>
          <w:p>
            <w:pPr>
              <w:jc w:val="center"/>
            </w:pPr>
            <w:r/>
            <w:r>
              <w:rPr>
                <w:rFonts w:ascii="Times New Roman" w:hAnsi="Times New Roman"/>
                <w:b w:val="0"/>
                <w:i w:val="0"/>
                <w:color w:val="000000"/>
                <w:sz w:val="20"/>
              </w:rPr>
              <w:t>Mistral-7B / LLaMA-3 / GPT-4 API</w:t>
            </w:r>
          </w:p>
        </w:tc>
        <w:tc>
          <w:tcPr>
            <w:tcW w:type="dxa" w:w="2140"/>
          </w:tcPr>
          <w:p>
            <w:pPr>
              <w:jc w:val="center"/>
            </w:pPr>
            <w:r/>
            <w:r>
              <w:rPr>
                <w:rFonts w:ascii="Times New Roman" w:hAnsi="Times New Roman"/>
                <w:b w:val="0"/>
                <w:i w:val="0"/>
                <w:color w:val="000000"/>
                <w:sz w:val="20"/>
              </w:rPr>
              <w:t>Real hallucination patterns, true generative behavior</w:t>
            </w:r>
          </w:p>
        </w:tc>
      </w:tr>
      <w:tr>
        <w:tc>
          <w:tcPr>
            <w:tcW w:type="dxa" w:w="2140"/>
          </w:tcPr>
          <w:p>
            <w:pPr>
              <w:jc w:val="center"/>
            </w:pPr>
            <w:r/>
            <w:r>
              <w:rPr>
                <w:rFonts w:ascii="Times New Roman" w:hAnsi="Times New Roman"/>
                <w:b w:val="0"/>
                <w:i w:val="0"/>
                <w:color w:val="000000"/>
                <w:sz w:val="20"/>
              </w:rPr>
              <w:t>Retrieval</w:t>
            </w:r>
          </w:p>
        </w:tc>
        <w:tc>
          <w:tcPr>
            <w:tcW w:type="dxa" w:w="2140"/>
          </w:tcPr>
          <w:p>
            <w:pPr>
              <w:jc w:val="center"/>
            </w:pPr>
            <w:r/>
            <w:r>
              <w:rPr>
                <w:rFonts w:ascii="Times New Roman" w:hAnsi="Times New Roman"/>
                <w:b w:val="0"/>
                <w:i w:val="0"/>
                <w:color w:val="000000"/>
                <w:sz w:val="20"/>
              </w:rPr>
              <w:t>TF-IDF cosine similarity</w:t>
            </w:r>
          </w:p>
        </w:tc>
        <w:tc>
          <w:tcPr>
            <w:tcW w:type="dxa" w:w="2140"/>
          </w:tcPr>
          <w:p>
            <w:pPr>
              <w:jc w:val="center"/>
            </w:pPr>
            <w:r/>
            <w:r>
              <w:rPr>
                <w:rFonts w:ascii="Times New Roman" w:hAnsi="Times New Roman"/>
                <w:b w:val="0"/>
                <w:i w:val="0"/>
                <w:color w:val="000000"/>
                <w:sz w:val="20"/>
              </w:rPr>
              <w:t>sentence-transformers + FAISS vector index</w:t>
            </w:r>
          </w:p>
        </w:tc>
        <w:tc>
          <w:tcPr>
            <w:tcW w:type="dxa" w:w="2140"/>
          </w:tcPr>
          <w:p>
            <w:pPr>
              <w:jc w:val="center"/>
            </w:pPr>
            <w:r/>
            <w:r>
              <w:rPr>
                <w:rFonts w:ascii="Times New Roman" w:hAnsi="Times New Roman"/>
                <w:b w:val="0"/>
                <w:i w:val="0"/>
                <w:color w:val="000000"/>
                <w:sz w:val="20"/>
              </w:rPr>
              <w:t>+10-15% retrieval precision, semantic matching</w:t>
            </w:r>
          </w:p>
        </w:tc>
      </w:tr>
      <w:tr>
        <w:tc>
          <w:tcPr>
            <w:tcW w:type="dxa" w:w="2140"/>
          </w:tcPr>
          <w:p>
            <w:pPr>
              <w:jc w:val="center"/>
            </w:pPr>
            <w:r/>
            <w:r>
              <w:rPr>
                <w:rFonts w:ascii="Times New Roman" w:hAnsi="Times New Roman"/>
                <w:b w:val="0"/>
                <w:i w:val="0"/>
                <w:color w:val="000000"/>
                <w:sz w:val="20"/>
              </w:rPr>
              <w:t>NLI Verification</w:t>
            </w:r>
          </w:p>
        </w:tc>
        <w:tc>
          <w:tcPr>
            <w:tcW w:type="dxa" w:w="2140"/>
          </w:tcPr>
          <w:p>
            <w:pPr>
              <w:jc w:val="center"/>
            </w:pPr>
            <w:r/>
            <w:r>
              <w:rPr>
                <w:rFonts w:ascii="Times New Roman" w:hAnsi="Times New Roman"/>
                <w:b w:val="0"/>
                <w:i w:val="0"/>
                <w:color w:val="000000"/>
                <w:sz w:val="20"/>
              </w:rPr>
              <w:t>Lexical token overlap</w:t>
            </w:r>
          </w:p>
        </w:tc>
        <w:tc>
          <w:tcPr>
            <w:tcW w:type="dxa" w:w="2140"/>
          </w:tcPr>
          <w:p>
            <w:pPr>
              <w:jc w:val="center"/>
            </w:pPr>
            <w:r/>
            <w:r>
              <w:rPr>
                <w:rFonts w:ascii="Times New Roman" w:hAnsi="Times New Roman"/>
                <w:b w:val="0"/>
                <w:i w:val="0"/>
                <w:color w:val="000000"/>
                <w:sz w:val="20"/>
              </w:rPr>
              <w:t>cross-encoder/nli-deberta-v3-base</w:t>
            </w:r>
          </w:p>
        </w:tc>
        <w:tc>
          <w:tcPr>
            <w:tcW w:type="dxa" w:w="2140"/>
          </w:tcPr>
          <w:p>
            <w:pPr>
              <w:jc w:val="center"/>
            </w:pPr>
            <w:r/>
            <w:r>
              <w:rPr>
                <w:rFonts w:ascii="Times New Roman" w:hAnsi="Times New Roman"/>
                <w:b w:val="0"/>
                <w:i w:val="0"/>
                <w:color w:val="000000"/>
                <w:sz w:val="20"/>
              </w:rPr>
              <w:t>+20-30% flag precision, semantic entailment</w:t>
            </w:r>
          </w:p>
        </w:tc>
      </w:tr>
      <w:tr>
        <w:tc>
          <w:tcPr>
            <w:tcW w:type="dxa" w:w="2140"/>
          </w:tcPr>
          <w:p>
            <w:pPr>
              <w:jc w:val="center"/>
            </w:pPr>
            <w:r/>
            <w:r>
              <w:rPr>
                <w:rFonts w:ascii="Times New Roman" w:hAnsi="Times New Roman"/>
                <w:b w:val="0"/>
                <w:i w:val="0"/>
                <w:color w:val="000000"/>
                <w:sz w:val="20"/>
              </w:rPr>
              <w:t>Embeddings</w:t>
            </w:r>
          </w:p>
        </w:tc>
        <w:tc>
          <w:tcPr>
            <w:tcW w:type="dxa" w:w="2140"/>
          </w:tcPr>
          <w:p>
            <w:pPr>
              <w:jc w:val="center"/>
            </w:pPr>
            <w:r/>
            <w:r>
              <w:rPr>
                <w:rFonts w:ascii="Times New Roman" w:hAnsi="Times New Roman"/>
                <w:b w:val="0"/>
                <w:i w:val="0"/>
                <w:color w:val="000000"/>
                <w:sz w:val="20"/>
              </w:rPr>
              <w:t>Bag-of-words TF-IDF</w:t>
            </w:r>
          </w:p>
        </w:tc>
        <w:tc>
          <w:tcPr>
            <w:tcW w:type="dxa" w:w="2140"/>
          </w:tcPr>
          <w:p>
            <w:pPr>
              <w:jc w:val="center"/>
            </w:pPr>
            <w:r/>
            <w:r>
              <w:rPr>
                <w:rFonts w:ascii="Times New Roman" w:hAnsi="Times New Roman"/>
                <w:b w:val="0"/>
                <w:i w:val="0"/>
                <w:color w:val="000000"/>
                <w:sz w:val="20"/>
              </w:rPr>
              <w:t>all-MiniLM-L6-v2 dense embeddings</w:t>
            </w:r>
          </w:p>
        </w:tc>
        <w:tc>
          <w:tcPr>
            <w:tcW w:type="dxa" w:w="2140"/>
          </w:tcPr>
          <w:p>
            <w:pPr>
              <w:jc w:val="center"/>
            </w:pPr>
            <w:r/>
            <w:r>
              <w:rPr>
                <w:rFonts w:ascii="Times New Roman" w:hAnsi="Times New Roman"/>
                <w:b w:val="0"/>
                <w:i w:val="0"/>
                <w:color w:val="000000"/>
                <w:sz w:val="20"/>
              </w:rPr>
              <w:t>Better semantic similarity</w:t>
            </w:r>
          </w:p>
        </w:tc>
      </w:tr>
      <w:tr>
        <w:tc>
          <w:tcPr>
            <w:tcW w:type="dxa" w:w="2140"/>
          </w:tcPr>
          <w:p>
            <w:pPr>
              <w:jc w:val="center"/>
            </w:pPr>
            <w:r/>
            <w:r>
              <w:rPr>
                <w:rFonts w:ascii="Times New Roman" w:hAnsi="Times New Roman"/>
                <w:b w:val="0"/>
                <w:i w:val="0"/>
                <w:color w:val="000000"/>
                <w:sz w:val="20"/>
              </w:rPr>
              <w:t>H-Score Weights</w:t>
            </w:r>
          </w:p>
        </w:tc>
        <w:tc>
          <w:tcPr>
            <w:tcW w:type="dxa" w:w="2140"/>
          </w:tcPr>
          <w:p>
            <w:pPr>
              <w:jc w:val="center"/>
            </w:pPr>
            <w:r/>
            <w:r>
              <w:rPr>
                <w:rFonts w:ascii="Times New Roman" w:hAnsi="Times New Roman"/>
                <w:b w:val="0"/>
                <w:i w:val="0"/>
                <w:color w:val="000000"/>
                <w:sz w:val="20"/>
              </w:rPr>
              <w:t>Fixed 50/50 split</w:t>
            </w:r>
          </w:p>
        </w:tc>
        <w:tc>
          <w:tcPr>
            <w:tcW w:type="dxa" w:w="2140"/>
          </w:tcPr>
          <w:p>
            <w:pPr>
              <w:jc w:val="center"/>
            </w:pPr>
            <w:r/>
            <w:r>
              <w:rPr>
                <w:rFonts w:ascii="Times New Roman" w:hAnsi="Times New Roman"/>
                <w:b w:val="0"/>
                <w:i w:val="0"/>
                <w:color w:val="000000"/>
                <w:sz w:val="20"/>
              </w:rPr>
              <w:t>Learned via logistic regression</w:t>
            </w:r>
          </w:p>
        </w:tc>
        <w:tc>
          <w:tcPr>
            <w:tcW w:type="dxa" w:w="2140"/>
          </w:tcPr>
          <w:p>
            <w:pPr>
              <w:jc w:val="center"/>
            </w:pPr>
            <w:r/>
            <w:r>
              <w:rPr>
                <w:rFonts w:ascii="Times New Roman" w:hAnsi="Times New Roman"/>
                <w:b w:val="0"/>
                <w:i w:val="0"/>
                <w:color w:val="000000"/>
                <w:sz w:val="20"/>
              </w:rPr>
              <w:t>Optimized precision-recall trade-off</w:t>
            </w:r>
          </w:p>
        </w:tc>
      </w:tr>
    </w:tbl>
    <w:p/>
    <w:p>
      <w:pPr>
        <w:pStyle w:val="Heading2"/>
        <w:jc w:val="left"/>
      </w:pPr>
      <w:r>
        <w:rPr>
          <w:rFonts w:ascii="Times New Roman" w:hAnsi="Times New Roman"/>
          <w:color w:val="000000"/>
          <w:sz w:val="28"/>
        </w:rPr>
        <w:t>5.2 Short-Term Enhancements (3–6 Months)</w:t>
      </w:r>
    </w:p>
    <w:p>
      <w:pPr>
        <w:spacing w:after="80" w:line="360" w:lineRule="auto"/>
        <w:jc w:val="both"/>
      </w:pPr>
      <w:r>
        <w:rPr>
          <w:rFonts w:ascii="Times New Roman" w:hAnsi="Times New Roman"/>
          <w:b/>
          <w:i w:val="0"/>
          <w:color w:val="000000"/>
          <w:sz w:val="24"/>
        </w:rPr>
        <w:t xml:space="preserve">1. Real LLM Integration: </w:t>
      </w:r>
      <w:r>
        <w:rPr>
          <w:rFonts w:ascii="Times New Roman" w:hAnsi="Times New Roman"/>
          <w:b w:val="0"/>
          <w:i w:val="0"/>
          <w:color w:val="000000"/>
          <w:sz w:val="24"/>
        </w:rPr>
        <w:t>Replace the SimulatedLLM with actual LLM API calls (OpenAI GPT-4, Mistral-7B via HuggingFace, or locally-hosted LLaMA-3). This will capture real hallucination patterns including token-level uncertainty, context window overflow, and knowledge cutoff effects.</w:t>
      </w:r>
    </w:p>
    <w:p>
      <w:pPr>
        <w:spacing w:after="80" w:line="360" w:lineRule="auto"/>
        <w:jc w:val="both"/>
      </w:pPr>
      <w:r>
        <w:rPr>
          <w:rFonts w:ascii="Times New Roman" w:hAnsi="Times New Roman"/>
          <w:b/>
          <w:i w:val="0"/>
          <w:color w:val="000000"/>
          <w:sz w:val="24"/>
        </w:rPr>
        <w:t xml:space="preserve">2. Semantic NLI Model: </w:t>
      </w:r>
      <w:r>
        <w:rPr>
          <w:rFonts w:ascii="Times New Roman" w:hAnsi="Times New Roman"/>
          <w:b w:val="0"/>
          <w:i w:val="0"/>
          <w:color w:val="000000"/>
          <w:sz w:val="24"/>
        </w:rPr>
        <w:t>Integrate DeBERTa-v3-NLI for semantic entailment checking. This would dramatically reduce false positives by understanding paraphrases, negations, and implicit entailment that lexical overlap misses.</w:t>
      </w:r>
    </w:p>
    <w:p>
      <w:pPr>
        <w:spacing w:after="80" w:line="360" w:lineRule="auto"/>
        <w:jc w:val="both"/>
      </w:pPr>
      <w:r>
        <w:rPr>
          <w:rFonts w:ascii="Times New Roman" w:hAnsi="Times New Roman"/>
          <w:b/>
          <w:i w:val="0"/>
          <w:color w:val="000000"/>
          <w:sz w:val="24"/>
        </w:rPr>
        <w:t xml:space="preserve">3. Multi-Query RAG: </w:t>
      </w:r>
      <w:r>
        <w:rPr>
          <w:rFonts w:ascii="Times New Roman" w:hAnsi="Times New Roman"/>
          <w:b w:val="0"/>
          <w:i w:val="0"/>
          <w:color w:val="000000"/>
          <w:sz w:val="24"/>
        </w:rPr>
        <w:t>Implement query decomposition and multi-hop retrieval, where complex questions are broken into sub-queries, each retrieving relevant context independently before synthesis.</w:t>
      </w:r>
    </w:p>
    <w:p>
      <w:pPr>
        <w:spacing w:after="80" w:line="360" w:lineRule="auto"/>
        <w:jc w:val="both"/>
      </w:pPr>
      <w:r>
        <w:rPr>
          <w:rFonts w:ascii="Times New Roman" w:hAnsi="Times New Roman"/>
          <w:b/>
          <w:i w:val="0"/>
          <w:color w:val="000000"/>
          <w:sz w:val="24"/>
        </w:rPr>
        <w:t xml:space="preserve">4. Confidence Calibration: </w:t>
      </w:r>
      <w:r>
        <w:rPr>
          <w:rFonts w:ascii="Times New Roman" w:hAnsi="Times New Roman"/>
          <w:b w:val="0"/>
          <w:i w:val="0"/>
          <w:color w:val="000000"/>
          <w:sz w:val="24"/>
        </w:rPr>
        <w:t>Add temperature scaling and Platt scaling to calibrate the H-score into true probability estimates, enabling statements like 'this response has a 15% chance of being hallucinated.'</w:t>
      </w:r>
    </w:p>
    <w:p>
      <w:pPr>
        <w:spacing w:after="80" w:line="360" w:lineRule="auto"/>
        <w:jc w:val="both"/>
      </w:pPr>
      <w:r>
        <w:rPr>
          <w:rFonts w:ascii="Times New Roman" w:hAnsi="Times New Roman"/>
          <w:b/>
          <w:i w:val="0"/>
          <w:color w:val="000000"/>
          <w:sz w:val="24"/>
        </w:rPr>
        <w:t xml:space="preserve">5. Domain-Specific Knowledge Bases: </w:t>
      </w:r>
      <w:r>
        <w:rPr>
          <w:rFonts w:ascii="Times New Roman" w:hAnsi="Times New Roman"/>
          <w:b w:val="0"/>
          <w:i w:val="0"/>
          <w:color w:val="000000"/>
          <w:sz w:val="24"/>
        </w:rPr>
        <w:t>Build specialized RAG indices for specific domains — medical (PubMed), legal (case law databases), financial (SEC filings) — to provide more precise grounding for domain-specific queries.</w:t>
      </w:r>
    </w:p>
    <w:p>
      <w:pPr>
        <w:pStyle w:val="Heading2"/>
        <w:jc w:val="left"/>
      </w:pPr>
      <w:r>
        <w:rPr>
          <w:rFonts w:ascii="Times New Roman" w:hAnsi="Times New Roman"/>
          <w:color w:val="000000"/>
          <w:sz w:val="28"/>
        </w:rPr>
        <w:t>5.3 Medium-Term Research Directions (6–12 Months)</w:t>
      </w:r>
    </w:p>
    <w:p>
      <w:pPr>
        <w:spacing w:after="80" w:line="360" w:lineRule="auto"/>
        <w:jc w:val="both"/>
      </w:pPr>
      <w:r>
        <w:rPr>
          <w:rFonts w:ascii="Times New Roman" w:hAnsi="Times New Roman"/>
          <w:b/>
          <w:i w:val="0"/>
          <w:color w:val="000000"/>
          <w:sz w:val="24"/>
        </w:rPr>
        <w:t xml:space="preserve">1. Multi-Modal Hallucination Detection: </w:t>
      </w:r>
      <w:r>
        <w:rPr>
          <w:rFonts w:ascii="Times New Roman" w:hAnsi="Times New Roman"/>
          <w:b w:val="0"/>
          <w:i w:val="0"/>
          <w:color w:val="000000"/>
          <w:sz w:val="24"/>
        </w:rPr>
        <w:t>Extend the pipeline to handle image-text, video-text, and multi-modal claims. For example, verifying that an image caption accurately describes the image content, or that a video summary matches the actual video.</w:t>
      </w:r>
    </w:p>
    <w:p>
      <w:pPr>
        <w:spacing w:after="80" w:line="360" w:lineRule="auto"/>
        <w:jc w:val="both"/>
      </w:pPr>
      <w:r>
        <w:rPr>
          <w:rFonts w:ascii="Times New Roman" w:hAnsi="Times New Roman"/>
          <w:b/>
          <w:i w:val="0"/>
          <w:color w:val="000000"/>
          <w:sz w:val="24"/>
        </w:rPr>
        <w:t xml:space="preserve">2. Real-Time Streaming Integration: </w:t>
      </w:r>
      <w:r>
        <w:rPr>
          <w:rFonts w:ascii="Times New Roman" w:hAnsi="Times New Roman"/>
          <w:b w:val="0"/>
          <w:i w:val="0"/>
          <w:color w:val="000000"/>
          <w:sz w:val="24"/>
        </w:rPr>
        <w:t>Build a middleware layer that sits between the LLM API and the end user, processing responses in real-time with sub-100ms latency. This would enable live hallucination detection in production chatbots and copilots.</w:t>
      </w:r>
    </w:p>
    <w:p>
      <w:pPr>
        <w:spacing w:after="80" w:line="360" w:lineRule="auto"/>
        <w:jc w:val="both"/>
      </w:pPr>
      <w:r>
        <w:rPr>
          <w:rFonts w:ascii="Times New Roman" w:hAnsi="Times New Roman"/>
          <w:b/>
          <w:i w:val="0"/>
          <w:color w:val="000000"/>
          <w:sz w:val="24"/>
        </w:rPr>
        <w:t xml:space="preserve">3. Chain-of-Thought Verification: </w:t>
      </w:r>
      <w:r>
        <w:rPr>
          <w:rFonts w:ascii="Times New Roman" w:hAnsi="Times New Roman"/>
          <w:b w:val="0"/>
          <w:i w:val="0"/>
          <w:color w:val="000000"/>
          <w:sz w:val="24"/>
        </w:rPr>
        <w:t>Analyze not just the final answer but the reasoning chain. Verify each step of the LLM's reasoning against retrieved facts, catching errors in intermediate logic even when the final answer happens to be correct.</w:t>
      </w:r>
    </w:p>
    <w:p>
      <w:pPr>
        <w:spacing w:after="80" w:line="360" w:lineRule="auto"/>
        <w:jc w:val="both"/>
      </w:pPr>
      <w:r>
        <w:rPr>
          <w:rFonts w:ascii="Times New Roman" w:hAnsi="Times New Roman"/>
          <w:b/>
          <w:i w:val="0"/>
          <w:color w:val="000000"/>
          <w:sz w:val="24"/>
        </w:rPr>
        <w:t xml:space="preserve">4. Adversarial Robustness Testing: </w:t>
      </w:r>
      <w:r>
        <w:rPr>
          <w:rFonts w:ascii="Times New Roman" w:hAnsi="Times New Roman"/>
          <w:b w:val="0"/>
          <w:i w:val="0"/>
          <w:color w:val="000000"/>
          <w:sz w:val="24"/>
        </w:rPr>
        <w:t>Develop a suite of adversarial prompts designed to bypass hallucination detection — e.g., prompts that induce confident but wrong answers with high NLI overlap. Use these to stress-test and harden the pipeline.</w:t>
      </w:r>
    </w:p>
    <w:p>
      <w:pPr>
        <w:spacing w:after="80" w:line="360" w:lineRule="auto"/>
        <w:jc w:val="both"/>
      </w:pPr>
      <w:r>
        <w:rPr>
          <w:rFonts w:ascii="Times New Roman" w:hAnsi="Times New Roman"/>
          <w:b/>
          <w:i w:val="0"/>
          <w:color w:val="000000"/>
          <w:sz w:val="24"/>
        </w:rPr>
        <w:t xml:space="preserve">5. Federated Knowledge Bases: </w:t>
      </w:r>
      <w:r>
        <w:rPr>
          <w:rFonts w:ascii="Times New Roman" w:hAnsi="Times New Roman"/>
          <w:b w:val="0"/>
          <w:i w:val="0"/>
          <w:color w:val="000000"/>
          <w:sz w:val="24"/>
        </w:rPr>
        <w:t>Enable multiple organizations to contribute to a shared, privacy-preserving knowledge base for RAG grounding, improving coverage without exposing proprietary data.</w:t>
      </w:r>
    </w:p>
    <w:p>
      <w:pPr>
        <w:pStyle w:val="Heading2"/>
        <w:jc w:val="left"/>
      </w:pPr>
      <w:r>
        <w:rPr>
          <w:rFonts w:ascii="Times New Roman" w:hAnsi="Times New Roman"/>
          <w:color w:val="000000"/>
          <w:sz w:val="28"/>
        </w:rPr>
        <w:t>5.4 Long-Term Vision (1–2 Years)</w:t>
      </w:r>
    </w:p>
    <w:p>
      <w:pPr>
        <w:spacing w:after="80" w:line="360" w:lineRule="auto"/>
        <w:jc w:val="both"/>
      </w:pPr>
      <w:r>
        <w:rPr>
          <w:rFonts w:ascii="Times New Roman" w:hAnsi="Times New Roman"/>
          <w:b/>
          <w:i w:val="0"/>
          <w:color w:val="000000"/>
          <w:sz w:val="24"/>
        </w:rPr>
        <w:t xml:space="preserve">1. Self-Improving Pipeline: </w:t>
      </w:r>
      <w:r>
        <w:rPr>
          <w:rFonts w:ascii="Times New Roman" w:hAnsi="Times New Roman"/>
          <w:b w:val="0"/>
          <w:i w:val="0"/>
          <w:color w:val="000000"/>
          <w:sz w:val="24"/>
        </w:rPr>
        <w:t>Implement a feedback loop where human corrections to flagged responses are used to fine-tune both the LLM and the detection models, creating a system that improves over time.</w:t>
      </w:r>
    </w:p>
    <w:p>
      <w:pPr>
        <w:spacing w:after="80" w:line="360" w:lineRule="auto"/>
        <w:jc w:val="both"/>
      </w:pPr>
      <w:r>
        <w:rPr>
          <w:rFonts w:ascii="Times New Roman" w:hAnsi="Times New Roman"/>
          <w:b/>
          <w:i w:val="0"/>
          <w:color w:val="000000"/>
          <w:sz w:val="24"/>
        </w:rPr>
        <w:t xml:space="preserve">2. Regulatory Compliance Module: </w:t>
      </w:r>
      <w:r>
        <w:rPr>
          <w:rFonts w:ascii="Times New Roman" w:hAnsi="Times New Roman"/>
          <w:b w:val="0"/>
          <w:i w:val="0"/>
          <w:color w:val="000000"/>
          <w:sz w:val="24"/>
        </w:rPr>
        <w:t>Build an EU AI Act / NIST AI RMF compliance module that automatically generates risk assessment reports for LLM deployments, using hallucination metrics as key safety indicators.</w:t>
      </w:r>
    </w:p>
    <w:p>
      <w:pPr>
        <w:spacing w:after="80" w:line="360" w:lineRule="auto"/>
        <w:jc w:val="both"/>
      </w:pPr>
      <w:r>
        <w:rPr>
          <w:rFonts w:ascii="Times New Roman" w:hAnsi="Times New Roman"/>
          <w:b/>
          <w:i w:val="0"/>
          <w:color w:val="000000"/>
          <w:sz w:val="24"/>
        </w:rPr>
        <w:t xml:space="preserve">3. Multi-Agent Verification: </w:t>
      </w:r>
      <w:r>
        <w:rPr>
          <w:rFonts w:ascii="Times New Roman" w:hAnsi="Times New Roman"/>
          <w:b w:val="0"/>
          <w:i w:val="0"/>
          <w:color w:val="000000"/>
          <w:sz w:val="24"/>
        </w:rPr>
        <w:t>Deploy multiple LLMs as cross-verifiers — each model checks the others' responses for consistency, creating a consensus mechanism that's more robust than single-model self-consistency.</w:t>
      </w:r>
    </w:p>
    <w:p>
      <w:pPr>
        <w:spacing w:after="80" w:line="360" w:lineRule="auto"/>
        <w:jc w:val="both"/>
      </w:pPr>
      <w:r>
        <w:rPr>
          <w:rFonts w:ascii="Times New Roman" w:hAnsi="Times New Roman"/>
          <w:b/>
          <w:i w:val="0"/>
          <w:color w:val="000000"/>
          <w:sz w:val="24"/>
        </w:rPr>
        <w:t xml:space="preserve">4. Hallucination Taxonomy Engine: </w:t>
      </w:r>
      <w:r>
        <w:rPr>
          <w:rFonts w:ascii="Times New Roman" w:hAnsi="Times New Roman"/>
          <w:b w:val="0"/>
          <w:i w:val="0"/>
          <w:color w:val="000000"/>
          <w:sz w:val="24"/>
        </w:rPr>
        <w:t>Automatically classify detected hallucinations by type (factual, temporal, fabricated entity, logical error) to provide actionable insights for model improvement.</w:t>
      </w:r>
    </w:p>
    <w:p>
      <w:pPr>
        <w:spacing w:after="80" w:line="360" w:lineRule="auto"/>
        <w:jc w:val="both"/>
      </w:pPr>
      <w:r>
        <w:rPr>
          <w:rFonts w:ascii="Times New Roman" w:hAnsi="Times New Roman"/>
          <w:b/>
          <w:i w:val="0"/>
          <w:color w:val="000000"/>
          <w:sz w:val="24"/>
        </w:rPr>
        <w:t xml:space="preserve">5. Industry Benchmark Suite: </w:t>
      </w:r>
      <w:r>
        <w:rPr>
          <w:rFonts w:ascii="Times New Roman" w:hAnsi="Times New Roman"/>
          <w:b w:val="0"/>
          <w:i w:val="0"/>
          <w:color w:val="000000"/>
          <w:sz w:val="24"/>
        </w:rPr>
        <w:t>Extend beyond TruthfulQA to create a comprehensive multi-domain hallucination benchmark covering medical, legal, financial, and scientific domains with verified ground truth.</w:t>
      </w:r>
    </w:p>
    <w:p>
      <w:pPr>
        <w:pStyle w:val="Heading2"/>
        <w:jc w:val="left"/>
      </w:pPr>
      <w:r>
        <w:rPr>
          <w:rFonts w:ascii="Times New Roman" w:hAnsi="Times New Roman"/>
          <w:color w:val="000000"/>
          <w:sz w:val="28"/>
        </w:rPr>
        <w:t>5.5 Open Research Questions</w:t>
      </w:r>
    </w:p>
    <w:p>
      <w:pPr>
        <w:pStyle w:val="ListBullet"/>
        <w:spacing w:line="360" w:lineRule="auto"/>
      </w:pPr>
      <w:r>
        <w:rPr>
          <w:rFonts w:ascii="Times New Roman" w:hAnsi="Times New Roman"/>
          <w:b w:val="0"/>
          <w:i w:val="0"/>
          <w:color w:val="000000"/>
          <w:sz w:val="24"/>
        </w:rPr>
        <w:t>Can uncertainty estimation alone replace NLI for hallucination detection, or are both signals fundamentally necessary?</w:t>
      </w:r>
    </w:p>
    <w:p>
      <w:pPr>
        <w:pStyle w:val="ListBullet"/>
        <w:spacing w:line="360" w:lineRule="auto"/>
      </w:pPr>
      <w:r>
        <w:rPr>
          <w:rFonts w:ascii="Times New Roman" w:hAnsi="Times New Roman"/>
          <w:b w:val="0"/>
          <w:i w:val="0"/>
          <w:color w:val="000000"/>
          <w:sz w:val="24"/>
        </w:rPr>
        <w:t>What is the optimal balance between false positive rate and false negative rate for different application domains?</w:t>
      </w:r>
    </w:p>
    <w:p>
      <w:pPr>
        <w:pStyle w:val="ListBullet"/>
        <w:spacing w:line="360" w:lineRule="auto"/>
      </w:pPr>
      <w:r>
        <w:rPr>
          <w:rFonts w:ascii="Times New Roman" w:hAnsi="Times New Roman"/>
          <w:b w:val="0"/>
          <w:i w:val="0"/>
          <w:color w:val="000000"/>
          <w:sz w:val="24"/>
        </w:rPr>
        <w:t>How does hallucination rate scale with model size — do larger models hallucinate less frequently but more convincingly?</w:t>
      </w:r>
    </w:p>
    <w:p>
      <w:pPr>
        <w:pStyle w:val="ListBullet"/>
        <w:spacing w:line="360" w:lineRule="auto"/>
      </w:pPr>
      <w:r>
        <w:rPr>
          <w:rFonts w:ascii="Times New Roman" w:hAnsi="Times New Roman"/>
          <w:b w:val="0"/>
          <w:i w:val="0"/>
          <w:color w:val="000000"/>
          <w:sz w:val="24"/>
        </w:rPr>
        <w:t>Can hallucination detection be made language-agnostic, or does each language require specialized knowledge bases?</w:t>
      </w:r>
    </w:p>
    <w:p>
      <w:pPr>
        <w:pStyle w:val="ListBullet"/>
        <w:spacing w:line="360" w:lineRule="auto"/>
      </w:pPr>
      <w:r>
        <w:rPr>
          <w:rFonts w:ascii="Times New Roman" w:hAnsi="Times New Roman"/>
          <w:b w:val="0"/>
          <w:i w:val="0"/>
          <w:color w:val="000000"/>
          <w:sz w:val="24"/>
        </w:rPr>
        <w:t>Is there a theoretical lower bound on hallucination rates for autoregressive language models?</w:t>
      </w:r>
    </w:p>
    <w:p>
      <w:r>
        <w:br w:type="page"/>
      </w:r>
    </w:p>
    <w:p>
      <w:pPr>
        <w:spacing w:before="600"/>
        <w:jc w:val="center"/>
      </w:pPr>
      <w:r>
        <w:rPr>
          <w:rFonts w:ascii="Times New Roman" w:hAnsi="Times New Roman"/>
          <w:b/>
          <w:i w:val="0"/>
          <w:color w:val="000000"/>
          <w:sz w:val="44"/>
        </w:rPr>
        <w:t>CHAPTER 6</w:t>
      </w:r>
    </w:p>
    <w:p>
      <w:pPr>
        <w:spacing w:after="400"/>
        <w:jc w:val="center"/>
      </w:pPr>
      <w:r>
        <w:rPr>
          <w:rFonts w:ascii="Times New Roman" w:hAnsi="Times New Roman"/>
          <w:b/>
          <w:i w:val="0"/>
          <w:color w:val="000000"/>
          <w:sz w:val="36"/>
        </w:rPr>
        <w:t>CONCLUSION</w:t>
      </w:r>
    </w:p>
    <w:p>
      <w:pPr>
        <w:spacing w:after="120" w:line="360" w:lineRule="auto"/>
        <w:jc w:val="both"/>
      </w:pPr>
      <w:r>
        <w:rPr>
          <w:rFonts w:ascii="Times New Roman" w:hAnsi="Times New Roman"/>
          <w:b w:val="0"/>
          <w:i w:val="0"/>
          <w:color w:val="000000"/>
          <w:sz w:val="24"/>
        </w:rPr>
        <w:t>HalluciGuard demonstrates that a hybrid, multi-stage approach to hallucination mitigation achieves significantly better results than any individual technique. The 4-stage pipeline — combining RAG retrieval, self-consistency sampling, uncertainty estimation, and NLI verification — improves accuracy from 83.0% (baseline) to 90.5% on the full TruthfulQA benchmark, with the ablation study showing up to 98.5% accuracy under optimal conditions.</w:t>
      </w:r>
    </w:p>
    <w:p>
      <w:pPr>
        <w:spacing w:after="120" w:line="360" w:lineRule="auto"/>
        <w:jc w:val="both"/>
      </w:pPr>
      <w:r>
        <w:rPr>
          <w:rFonts w:ascii="Times New Roman" w:hAnsi="Times New Roman"/>
          <w:b w:val="0"/>
          <w:i w:val="0"/>
          <w:color w:val="000000"/>
          <w:sz w:val="24"/>
        </w:rPr>
        <w:t>The project's modular architecture ensures that each component can be independently upgraded as more advanced models and techniques become available. The immediate priority upgrades — real LLM integration, semantic NLI, and dense retrieval — are expected to substantially improve both accuracy and detection precision.</w:t>
      </w:r>
    </w:p>
    <w:p>
      <w:pPr>
        <w:spacing w:after="120" w:line="360" w:lineRule="auto"/>
        <w:jc w:val="both"/>
      </w:pPr>
      <w:r>
        <w:rPr>
          <w:rFonts w:ascii="Times New Roman" w:hAnsi="Times New Roman"/>
          <w:b w:val="0"/>
          <w:i w:val="0"/>
          <w:color w:val="000000"/>
          <w:sz w:val="24"/>
        </w:rPr>
        <w:t>As LLMs become ubiquitous in critical applications, systems like HalluciGuard will be essential for ensuring AI trustworthiness. The pipeline provides not just mitigation but also transparency — every response comes with interpretable confidence scores that enable informed decision-making by both automated systems and human operators.</w:t>
      </w:r>
    </w:p>
    <w:p>
      <w:pPr>
        <w:spacing w:after="120" w:line="360" w:lineRule="auto"/>
        <w:jc w:val="both"/>
      </w:pPr>
      <w:r>
        <w:rPr>
          <w:rFonts w:ascii="Times New Roman" w:hAnsi="Times New Roman"/>
          <w:b w:val="0"/>
          <w:i w:val="0"/>
          <w:color w:val="000000"/>
          <w:sz w:val="24"/>
        </w:rPr>
        <w:t>This project contributes a practical, extensible framework for hallucination mitigation that bridges the gap between academic survey findings and real-world deployment requirements.</w:t>
      </w:r>
    </w:p>
    <w:p/>
    <w:p>
      <w:pPr>
        <w:pStyle w:val="Heading1"/>
        <w:jc w:val="left"/>
      </w:pPr>
      <w:r>
        <w:rPr>
          <w:rFonts w:ascii="Times New Roman" w:hAnsi="Times New Roman"/>
          <w:color w:val="000000"/>
          <w:sz w:val="32"/>
        </w:rPr>
        <w:t>References</w:t>
      </w:r>
    </w:p>
    <w:p>
      <w:pPr>
        <w:spacing w:line="360" w:lineRule="auto"/>
      </w:pPr>
      <w:r>
        <w:rPr>
          <w:rFonts w:ascii="Times New Roman" w:hAnsi="Times New Roman"/>
          <w:b w:val="0"/>
          <w:i w:val="0"/>
          <w:color w:val="000000"/>
          <w:sz w:val="22"/>
        </w:rPr>
        <w:t>[1] Lin, S., Hilton, J., &amp; Evans, O. (2022). TruthfulQA: Measuring How Models Mimic Human Falsehoods. ACL 2022.</w:t>
      </w:r>
    </w:p>
    <w:p>
      <w:pPr>
        <w:spacing w:line="360" w:lineRule="auto"/>
      </w:pPr>
      <w:r>
        <w:rPr>
          <w:rFonts w:ascii="Times New Roman" w:hAnsi="Times New Roman"/>
          <w:b w:val="0"/>
          <w:i w:val="0"/>
          <w:color w:val="000000"/>
          <w:sz w:val="22"/>
        </w:rPr>
        <w:t>[2] Lewis, P., et al. (2020). Retrieval-Augmented Generation for Knowledge-Intensive NLP Tasks. NeurIPS 2020.</w:t>
      </w:r>
    </w:p>
    <w:p>
      <w:pPr>
        <w:spacing w:line="360" w:lineRule="auto"/>
      </w:pPr>
      <w:r>
        <w:rPr>
          <w:rFonts w:ascii="Times New Roman" w:hAnsi="Times New Roman"/>
          <w:b w:val="0"/>
          <w:i w:val="0"/>
          <w:color w:val="000000"/>
          <w:sz w:val="22"/>
        </w:rPr>
        <w:t>[3] Li, J., et al. (2023). HaluEval: A Large-Scale Hallucination Evaluation Benchmark for LLMs.</w:t>
      </w:r>
    </w:p>
    <w:p>
      <w:pPr>
        <w:spacing w:line="360" w:lineRule="auto"/>
      </w:pPr>
      <w:r>
        <w:rPr>
          <w:rFonts w:ascii="Times New Roman" w:hAnsi="Times New Roman"/>
          <w:b w:val="0"/>
          <w:i w:val="0"/>
          <w:color w:val="000000"/>
          <w:sz w:val="22"/>
        </w:rPr>
        <w:t>[4] Manakul, P., et al. (2023). SelfCheckGPT: Zero-Resource Black-Box Hallucination Detection for Generative LLMs.</w:t>
      </w:r>
    </w:p>
    <w:p>
      <w:pPr>
        <w:spacing w:line="360" w:lineRule="auto"/>
      </w:pPr>
      <w:r>
        <w:rPr>
          <w:rFonts w:ascii="Times New Roman" w:hAnsi="Times New Roman"/>
          <w:b w:val="0"/>
          <w:i w:val="0"/>
          <w:color w:val="000000"/>
          <w:sz w:val="22"/>
        </w:rPr>
        <w:t>[5] Jiang, A. Q., et al. (2023). Mistral 7B. Mistral AI Technical Report.</w:t>
      </w:r>
    </w:p>
    <w:p>
      <w:pPr>
        <w:spacing w:line="360" w:lineRule="auto"/>
      </w:pPr>
      <w:r>
        <w:rPr>
          <w:rFonts w:ascii="Times New Roman" w:hAnsi="Times New Roman"/>
          <w:b w:val="0"/>
          <w:i w:val="0"/>
          <w:color w:val="000000"/>
          <w:sz w:val="22"/>
        </w:rPr>
        <w:t>[6] He, P., et al. (2021). DeBERTa: Decoding-enhanced BERT with Disentangled Attention. Microsoft Research.</w:t>
      </w:r>
    </w:p>
    <w:p>
      <w:pPr>
        <w:spacing w:line="360" w:lineRule="auto"/>
      </w:pPr>
      <w:r>
        <w:rPr>
          <w:rFonts w:ascii="Times New Roman" w:hAnsi="Times New Roman"/>
          <w:b w:val="0"/>
          <w:i w:val="0"/>
          <w:color w:val="000000"/>
          <w:sz w:val="22"/>
        </w:rPr>
        <w:t>[7] Barad, K., et al. (2025). Demystifying Machine Imagination: A Comprehensive Review of Hallucination Control in LLMs. IEEE Conference.</w:t>
      </w:r>
    </w:p>
    <w:p/>
    <w:p>
      <w:pPr>
        <w:jc w:val="center"/>
      </w:pPr>
      <w:r>
        <w:rPr>
          <w:rFonts w:ascii="Times New Roman" w:hAnsi="Times New Roman"/>
          <w:b/>
          <w:i w:val="0"/>
          <w:color w:val="000000"/>
          <w:sz w:val="20"/>
        </w:rPr>
        <w:t>MIT-ADT University | 2nd Semester Mini Project | Department of Computer Science and Engineering</w:t>
      </w:r>
    </w:p>
    <w:sectPr w:rsidR="00FC693F" w:rsidRPr="0006063C" w:rsidSect="00034616">
      <w:pgSz w:w="11906" w:h="16838"/>
      <w:pgMar w:top="1361" w:right="1361" w:bottom="1701"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