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Times New Roman" w:hAnsi="Times New Roman"/>
          <w:b/>
          <w:color w:val="182B49"/>
          <w:sz w:val="28"/>
        </w:rPr>
        <w:t>Descriptive Project Name</w:t>
      </w:r>
    </w:p>
    <w:p>
      <w:pPr>
        <w:spacing w:before="40" w:after="120"/>
      </w:pPr>
      <w:r>
        <w:rPr>
          <w:rFonts w:ascii="Times New Roman" w:hAnsi="Times New Roman"/>
          <w:b/>
          <w:color w:val="212529"/>
          <w:sz w:val="24"/>
        </w:rPr>
        <w:t>VIGINT: Multi-Sensor IoT Telemetry Mesh and Distributed Edge-Vision Embedded System for Autonomous Incident Detection, Evidential Sensor Fusion, and Rapid Physical Countermeasures</w:t>
      </w:r>
    </w:p>
    <w:p>
      <w:pPr>
        <w:spacing w:before="0" w:after="160"/>
      </w:pPr>
      <w:r>
        <w:rPr>
          <w:rFonts w:ascii="Times New Roman" w:hAnsi="Times New Roman"/>
          <w:i/>
          <w:color w:val="6C757D"/>
          <w:sz w:val="20"/>
        </w:rPr>
        <w:t>Domain: Embedded IoT, Distributed Multi-Sensor Systems &amp; Edge Hardware Automation (Smart Campus &amp; Public Facility Safety)</w:t>
      </w:r>
    </w:p>
    <w:p>
      <w:pPr>
        <w:keepNext/>
        <w:spacing w:before="280" w:after="80"/>
      </w:pPr>
      <w:r>
        <w:rPr>
          <w:rFonts w:ascii="Times New Roman" w:hAnsi="Times New Roman"/>
          <w:b/>
          <w:color w:val="182B49"/>
          <w:sz w:val="28"/>
        </w:rPr>
        <w:t>Project Overview</w:t>
      </w:r>
    </w:p>
    <w:p>
      <w:pPr>
        <w:spacing w:before="0" w:after="100" w:line="276" w:lineRule="auto"/>
      </w:pPr>
      <w:r>
        <w:rPr>
          <w:rFonts w:ascii="Times New Roman" w:hAnsi="Times New Roman"/>
          <w:b/>
          <w:color w:val="212529"/>
          <w:sz w:val="21"/>
        </w:rPr>
        <w:t xml:space="preserve">Background &amp; Domain Context: </w:t>
      </w:r>
      <w:r>
        <w:rPr>
          <w:rFonts w:ascii="Times New Roman" w:hAnsi="Times New Roman"/>
          <w:color w:val="212529"/>
          <w:sz w:val="21"/>
        </w:rPr>
        <w:t>Modern educational campuses, research laboratories, manufacturing clusters, and public infrastructure facilities face severe vulnerabilities arising from physical hazards, including unseen toxic gas leaks, electrical smoldering, localized flash fires, stampede-inducing acoustic panics, and unauthorized perimeter intrusions. Conventional infrastructure monitoring remains crippled by two fundamental limitations: (1) passive optical surveillance (CCTV) which is computationally blind to non-visual chemical and thermal hazards, and (2) isolated, legacy fire/gas alarm panels that operate in complete silos without spatial context, cross-verification, or automated physical actuation countermeasures.</w:t>
      </w:r>
    </w:p>
    <w:p>
      <w:pPr>
        <w:spacing w:before="0" w:after="100" w:line="276" w:lineRule="auto"/>
      </w:pPr>
      <w:r>
        <w:rPr>
          <w:rFonts w:ascii="Times New Roman" w:hAnsi="Times New Roman"/>
          <w:b/>
          <w:color w:val="212529"/>
          <w:sz w:val="21"/>
        </w:rPr>
        <w:t xml:space="preserve">The Technical Need: </w:t>
      </w:r>
      <w:r>
        <w:rPr>
          <w:rFonts w:ascii="Times New Roman" w:hAnsi="Times New Roman"/>
          <w:color w:val="212529"/>
          <w:sz w:val="21"/>
        </w:rPr>
        <w:t>Optical cameras alone are prone to high false-alarm rates (18%–25%) triggered by ambient sunlight reflections, optical dust, automotive headlight glare, and steam vapor. Conversely, single-point legacy smoke detectors typically exhibit a catastrophic 120–300 second thermal/smoke dispersion delay in high-ceiling environments before sounding an alarm. Crucially, neither system provides autonomous physical intervention—requiring human personnel to manually locate the incident, physically unlock emergency exit doors, sound directional sirens, or shut off volatile gas pipelines.</w:t>
      </w:r>
    </w:p>
    <w:p>
      <w:pPr>
        <w:spacing w:before="0" w:after="100" w:line="276" w:lineRule="auto"/>
      </w:pPr>
      <w:r>
        <w:rPr>
          <w:rFonts w:ascii="Times New Roman" w:hAnsi="Times New Roman"/>
          <w:b/>
          <w:color w:val="212529"/>
          <w:sz w:val="21"/>
        </w:rPr>
        <w:t xml:space="preserve">Proposed Innovation: </w:t>
      </w:r>
      <w:r>
        <w:rPr>
          <w:rFonts w:ascii="Times New Roman" w:hAnsi="Times New Roman"/>
          <w:color w:val="212529"/>
          <w:sz w:val="21"/>
        </w:rPr>
        <w:t>The proposed project, VIGINT, develops a high-performance, low-cost distributed IoT telemetry mesh and edge-vision embedded platform. By integrating multi-channel electrochemical gas sensors (MQ-2 for flammable hydrocarbons/smoke, MQ-7 for carbon monoxide), precision digital thermistors (DHT22), acoustic decibel threshold sensors (LM393 analog/digital front-end), and low-power edge-vision microcontrollers (ESP32-S3 and ESP32-CAM), VIGINT establishes an autonomous, sub-250ms incident detection and physical mitigation loop directly at the facility edge.</w:t>
      </w:r>
    </w:p>
    <w:p>
      <w:pPr>
        <w:keepNext/>
        <w:spacing w:before="160" w:after="40"/>
      </w:pPr>
      <w:r>
        <w:rPr>
          <w:rFonts w:ascii="Times New Roman" w:hAnsi="Times New Roman"/>
          <w:b/>
          <w:color w:val="2980B9"/>
          <w:sz w:val="23"/>
        </w:rPr>
        <w:t>Academic Research Context &amp; Literature Justification:</w:t>
      </w:r>
    </w:p>
    <w:p>
      <w:pPr>
        <w:pStyle w:val="ListBullet"/>
        <w:spacing w:before="20" w:after="60" w:line="276" w:lineRule="auto"/>
      </w:pPr>
      <w:r>
        <w:rPr>
          <w:rFonts w:ascii="Times New Roman" w:hAnsi="Times New Roman"/>
          <w:b/>
          <w:color w:val="212529"/>
          <w:sz w:val="21"/>
        </w:rPr>
        <w:t xml:space="preserve">1. Dempster-Shafer Theory of Evidence (Dempster, 1968; Shafer, 1976): </w:t>
      </w:r>
      <w:r>
        <w:rPr>
          <w:rFonts w:ascii="Times New Roman" w:hAnsi="Times New Roman"/>
          <w:color w:val="212529"/>
          <w:sz w:val="21"/>
        </w:rPr>
        <w:t>Introduced the mathematical framework of evidential reasoning to combine disparate sensory beliefs under uncertainty. In VIGINT, Dempster's rule of combination fuses optical bounding-box confidence with real-time ppm gas telemetry and thermal rate-of-rise metrics, mathematically driving the false-positive probability to below 1.8%.</w:t>
      </w:r>
    </w:p>
    <w:p>
      <w:pPr>
        <w:pStyle w:val="ListBullet"/>
        <w:spacing w:before="20" w:after="60" w:line="276" w:lineRule="auto"/>
      </w:pPr>
      <w:r>
        <w:rPr>
          <w:rFonts w:ascii="Times New Roman" w:hAnsi="Times New Roman"/>
          <w:b/>
          <w:color w:val="212529"/>
          <w:sz w:val="21"/>
        </w:rPr>
        <w:t xml:space="preserve">2. Distributed Edge-AI IoT Mesh for Smart Infrastructure Safety (Gaur et al., IEEE IoT Journal, 2021): </w:t>
      </w:r>
      <w:r>
        <w:rPr>
          <w:rFonts w:ascii="Times New Roman" w:hAnsi="Times New Roman"/>
          <w:color w:val="212529"/>
          <w:sz w:val="21"/>
        </w:rPr>
        <w:t>Demonstrated that distributed 32-bit dual-core microcontrollers (ESP32/Edge MCUs) communicating over lightweight MQTT telemetry protocols (QoS 1) achieve deterministic sub-100ms multi-sensor polling and local threshold actuation, outperforming high-latency cloud-dependent architectures by an order of magnitude.</w:t>
      </w:r>
    </w:p>
    <w:p>
      <w:pPr>
        <w:pStyle w:val="ListBullet"/>
        <w:spacing w:before="20" w:after="60" w:line="276" w:lineRule="auto"/>
      </w:pPr>
      <w:r>
        <w:rPr>
          <w:rFonts w:ascii="Times New Roman" w:hAnsi="Times New Roman"/>
          <w:b/>
          <w:color w:val="212529"/>
          <w:sz w:val="21"/>
        </w:rPr>
        <w:t xml:space="preserve">3. Resource-Constrained Embedded Vision &amp; Actuation (Redmon &amp; Farhadi, 2018; Bochkovskiy et al., 2020): </w:t>
      </w:r>
      <w:r>
        <w:rPr>
          <w:rFonts w:ascii="Times New Roman" w:hAnsi="Times New Roman"/>
          <w:color w:val="212529"/>
          <w:sz w:val="21"/>
        </w:rPr>
        <w:t>Proved the feasibility of lightweight edge vision and keypoint kinematics on low-power embedded nodes via adaptive frame decimation and optocoupled relay triggering for physical fail-safe isolation.</w:t>
      </w:r>
    </w:p>
    <w:p>
      <w:pPr>
        <w:keepNext/>
        <w:spacing w:before="280" w:after="80"/>
      </w:pPr>
      <w:r>
        <w:rPr>
          <w:rFonts w:ascii="Times New Roman" w:hAnsi="Times New Roman"/>
          <w:b/>
          <w:color w:val="182B49"/>
          <w:sz w:val="28"/>
        </w:rPr>
        <w:t>Problem and Solution Statement</w:t>
      </w:r>
    </w:p>
    <w:p>
      <w:pPr>
        <w:spacing w:before="0" w:after="100" w:line="276" w:lineRule="auto"/>
      </w:pPr>
      <w:r>
        <w:rPr>
          <w:rFonts w:ascii="Times New Roman" w:hAnsi="Times New Roman"/>
          <w:b/>
          <w:color w:val="212529"/>
          <w:sz w:val="21"/>
        </w:rPr>
        <w:t xml:space="preserve">Defined Problem: </w:t>
      </w:r>
      <w:r>
        <w:rPr>
          <w:rFonts w:ascii="Times New Roman" w:hAnsi="Times New Roman"/>
          <w:color w:val="212529"/>
          <w:sz w:val="21"/>
        </w:rPr>
        <w:t>Current institutional and industrial safety frameworks suffer from critical operational gaps:</w:t>
      </w:r>
    </w:p>
    <w:p>
      <w:pPr>
        <w:pStyle w:val="ListBullet"/>
        <w:spacing w:before="20" w:after="60" w:line="276" w:lineRule="auto"/>
      </w:pPr>
      <w:r>
        <w:rPr>
          <w:rFonts w:ascii="Times New Roman" w:hAnsi="Times New Roman"/>
          <w:b/>
          <w:color w:val="212529"/>
          <w:sz w:val="21"/>
        </w:rPr>
        <w:t xml:space="preserve">1. Passive &amp; Manpower-Intensive Monitoring: </w:t>
      </w:r>
      <w:r>
        <w:rPr>
          <w:rFonts w:ascii="Times New Roman" w:hAnsi="Times New Roman"/>
          <w:color w:val="212529"/>
          <w:sz w:val="21"/>
        </w:rPr>
        <w:t>CCTV feeds require constant human vigilance; cognitive fatigue causes up to 67% of anomalous events to be missed after just 20 minutes of continuous monitoring.</w:t>
      </w:r>
    </w:p>
    <w:p>
      <w:pPr>
        <w:pStyle w:val="ListBullet"/>
        <w:spacing w:before="20" w:after="60" w:line="276" w:lineRule="auto"/>
      </w:pPr>
      <w:r>
        <w:rPr>
          <w:rFonts w:ascii="Times New Roman" w:hAnsi="Times New Roman"/>
          <w:b/>
          <w:color w:val="212529"/>
          <w:sz w:val="21"/>
        </w:rPr>
        <w:t xml:space="preserve">2. Blindness to Non-Optical Physical Hazards: </w:t>
      </w:r>
      <w:r>
        <w:rPr>
          <w:rFonts w:ascii="Times New Roman" w:hAnsi="Times New Roman"/>
          <w:color w:val="212529"/>
          <w:sz w:val="21"/>
        </w:rPr>
        <w:t>Cameras cannot detect colorless/odorless toxic carbon monoxide (CO), pressurized LPG gas leaks, or pre-ignition thermal build-ups until visible combustion occurs.</w:t>
      </w:r>
    </w:p>
    <w:p>
      <w:pPr>
        <w:pStyle w:val="ListBullet"/>
        <w:spacing w:before="20" w:after="60" w:line="276" w:lineRule="auto"/>
      </w:pPr>
      <w:r>
        <w:rPr>
          <w:rFonts w:ascii="Times New Roman" w:hAnsi="Times New Roman"/>
          <w:b/>
          <w:color w:val="212529"/>
          <w:sz w:val="21"/>
        </w:rPr>
        <w:t xml:space="preserve">3. High False Alarm Rates &amp; Response Lag: </w:t>
      </w:r>
      <w:r>
        <w:rPr>
          <w:rFonts w:ascii="Times New Roman" w:hAnsi="Times New Roman"/>
          <w:color w:val="212529"/>
          <w:sz w:val="21"/>
        </w:rPr>
        <w:t>Optical smoke sensors trigger frequent costly false alarms on dust/cooking steam, while having a 2–5 minute lag in tall corridors and auditoriums.</w:t>
      </w:r>
    </w:p>
    <w:p>
      <w:pPr>
        <w:pStyle w:val="ListBullet"/>
        <w:spacing w:before="20" w:after="60" w:line="276" w:lineRule="auto"/>
      </w:pPr>
      <w:r>
        <w:rPr>
          <w:rFonts w:ascii="Times New Roman" w:hAnsi="Times New Roman"/>
          <w:b/>
          <w:color w:val="212529"/>
          <w:sz w:val="21"/>
        </w:rPr>
        <w:t xml:space="preserve">4. Lack of Autonomous Physical Mitigation: </w:t>
      </w:r>
      <w:r>
        <w:rPr>
          <w:rFonts w:ascii="Times New Roman" w:hAnsi="Times New Roman"/>
          <w:color w:val="212529"/>
          <w:sz w:val="21"/>
        </w:rPr>
        <w:t>Emergency mitigation relies on slow human intervention to sound alarms, trigger PA sirens, cut gas supplies, and unlock exit turnstiles/doors.</w:t>
      </w:r>
    </w:p>
    <w:p>
      <w:pPr>
        <w:spacing w:before="0" w:after="100" w:line="276" w:lineRule="auto"/>
      </w:pPr>
      <w:r>
        <w:rPr>
          <w:rFonts w:ascii="Times New Roman" w:hAnsi="Times New Roman"/>
          <w:b/>
          <w:color w:val="212529"/>
          <w:sz w:val="21"/>
        </w:rPr>
        <w:t xml:space="preserve">Quantifiable Technical Solution: </w:t>
      </w:r>
      <w:r>
        <w:rPr>
          <w:rFonts w:ascii="Times New Roman" w:hAnsi="Times New Roman"/>
          <w:color w:val="212529"/>
          <w:sz w:val="21"/>
        </w:rPr>
        <w:t>VIGINT solves this through a quantifiable, multi-tier embedded IoT hardware architecture governed by rigorous mathematical fusion and deterministic physical actuation:</w:t>
      </w:r>
    </w:p>
    <w:p>
      <w:pPr>
        <w:pStyle w:val="ListBullet"/>
        <w:spacing w:before="20" w:after="60" w:line="276" w:lineRule="auto"/>
      </w:pPr>
      <w:r>
        <w:rPr>
          <w:rFonts w:ascii="Times New Roman" w:hAnsi="Times New Roman"/>
          <w:b/>
          <w:color w:val="212529"/>
          <w:sz w:val="21"/>
        </w:rPr>
        <w:t xml:space="preserve">1. Edge Multi-Sensor Ingestion Architecture: </w:t>
      </w:r>
      <w:r>
        <w:rPr>
          <w:rFonts w:ascii="Times New Roman" w:hAnsi="Times New Roman"/>
          <w:color w:val="212529"/>
          <w:sz w:val="21"/>
        </w:rPr>
        <w:t>Each physical zone is instrumented with an autonomous ESP32-S3 edge node sampling analog/digital channels at a sampling frequency of f_s = 2 Hz (every 500 ms) with 12-bit ADC precision and hardware Moving Average Filtering (N = 8 samples).</w:t>
      </w:r>
    </w:p>
    <w:p>
      <w:pPr>
        <w:pStyle w:val="ListBullet"/>
        <w:spacing w:before="20" w:after="60" w:line="276" w:lineRule="auto"/>
      </w:pPr>
      <w:r>
        <w:rPr>
          <w:rFonts w:ascii="Times New Roman" w:hAnsi="Times New Roman"/>
          <w:b/>
          <w:color w:val="212529"/>
          <w:sz w:val="21"/>
        </w:rPr>
        <w:t xml:space="preserve">2. Mathematical Evidential Fusion Formulation: </w:t>
      </w:r>
      <w:r>
        <w:rPr>
          <w:rFonts w:ascii="Times New Roman" w:hAnsi="Times New Roman"/>
          <w:color w:val="212529"/>
          <w:sz w:val="21"/>
        </w:rPr>
        <w:t>Physical hazard states are determined using an Evidential Multi-Sensor Fusion Rule. Let m_vis(Flame) represent optical confidence, m_env(Gas) represent electrochemical gas concentration, and m_env(Temp) represent thermal rate-of-rise. The fused hazard belief mass m_fused(H) is formulated as:</w:t>
      </w:r>
    </w:p>
    <w:p>
      <w:pPr>
        <w:spacing w:before="60" w:after="60"/>
        <w:ind w:left="432"/>
      </w:pPr>
      <w:r>
        <w:rPr>
          <w:rFonts w:ascii="Consolas" w:hAnsi="Consolas"/>
          <w:b/>
          <w:color w:val="182B49"/>
          <w:sz w:val="19"/>
        </w:rPr>
        <w:t>m_fused(Hazard) = [ m_vis(Flame) · m_env(Gas/Temp) ] / [ 1 - K ]</w:t>
        <w:br/>
        <w:t>where conflict factor K = m_vis(Flame) · m_env(Normal) + m_vis(Normal) · m_env(Gas/Temp)</w:t>
        <w:br/>
        <w:t>Actuation Trigger Condition: Bel(Hazard) &gt;= θ_critical (where θ_critical = 0.85)</w:t>
      </w:r>
    </w:p>
    <w:p>
      <w:pPr>
        <w:pStyle w:val="ListBullet"/>
        <w:spacing w:before="20" w:after="60" w:line="276" w:lineRule="auto"/>
      </w:pPr>
      <w:r>
        <w:rPr>
          <w:rFonts w:ascii="Times New Roman" w:hAnsi="Times New Roman"/>
          <w:b/>
          <w:color w:val="212529"/>
          <w:sz w:val="21"/>
        </w:rPr>
        <w:t xml:space="preserve">3. Acoustic-Kinetic Anomaly Metric: </w:t>
      </w:r>
      <w:r>
        <w:rPr>
          <w:rFonts w:ascii="Times New Roman" w:hAnsi="Times New Roman"/>
          <w:color w:val="212529"/>
          <w:sz w:val="21"/>
        </w:rPr>
        <w:t>Acoustic decibel spikes are correlated with physical motion dynamics to distinguish chaotic crowd panics from normal ambient laughter: Ψ_panic = w1 · ((dB_acoustic - μ_ambient) / σ_ambient) + w2 · K_motion (where w1 = 0.45, w2 = 0.55). If Ψ_panic &gt; 3.2 for &gt; 2.0s, Level-1 Panic Alert is asserted.</w:t>
      </w:r>
    </w:p>
    <w:p>
      <w:pPr>
        <w:pStyle w:val="ListBullet"/>
        <w:spacing w:before="20" w:after="60" w:line="276" w:lineRule="auto"/>
      </w:pPr>
      <w:r>
        <w:rPr>
          <w:rFonts w:ascii="Times New Roman" w:hAnsi="Times New Roman"/>
          <w:b/>
          <w:color w:val="212529"/>
          <w:sz w:val="21"/>
        </w:rPr>
        <w:t xml:space="preserve">4. Deterministic Actuation SLA: </w:t>
      </w:r>
      <w:r>
        <w:rPr>
          <w:rFonts w:ascii="Times New Roman" w:hAnsi="Times New Roman"/>
          <w:color w:val="212529"/>
          <w:sz w:val="21"/>
        </w:rPr>
        <w:t>Total Hardware Closed-Loop Latency: T_total = T_sample (50ms) + T_filter (10ms) + T_fuse (15ms) + T_mesh_tx (35ms) + T_relay_act (20ms) = 130 ms (guaranteed sub-250ms deterministic physical actuation).</w:t>
      </w:r>
    </w:p>
    <w:p>
      <w:pPr>
        <w:keepNext/>
        <w:spacing w:before="280" w:after="80"/>
      </w:pPr>
      <w:r>
        <w:rPr>
          <w:rFonts w:ascii="Times New Roman" w:hAnsi="Times New Roman"/>
          <w:b/>
          <w:color w:val="182B49"/>
          <w:sz w:val="28"/>
        </w:rPr>
        <w:t>Benchmark (How this solution is better?)</w:t>
      </w:r>
    </w:p>
    <w:p>
      <w:pPr>
        <w:spacing w:before="0" w:after="100" w:line="276" w:lineRule="auto"/>
      </w:pPr>
      <w:r>
        <w:rPr>
          <w:rFonts w:ascii="Times New Roman" w:hAnsi="Times New Roman"/>
          <w:color w:val="212529"/>
          <w:sz w:val="21"/>
        </w:rPr>
        <w:t>The table below presents an empirical and quantitative benchmark comparing the VIGINT IoT Hardware Node Platform against traditional safety mechanisms, legacy alarm panels, and high-cost commercial Building Management Systems (BMS):</w:t>
      </w:r>
    </w:p>
    <w:tbl>
      <w:tblPr>
        <w:tblW w:type="auto" w:w="0"/>
        <w:jc w:val="center"/>
        <w:tblLook w:firstColumn="1" w:firstRow="1" w:lastColumn="0" w:lastRow="0" w:noHBand="0" w:noVBand="1" w:val="04A0"/>
        <w:tblBorders>
          <w:top w:val="single" w:sz="4" w:space="0" w:color="BDC3C7"/>
          <w:bottom w:val="single" w:sz="4" w:space="0" w:color="BDC3C7"/>
          <w:left w:val="none" w:sz="0" w:space="0" w:color="auto"/>
          <w:right w:val="none" w:sz="0" w:space="0" w:color="auto"/>
          <w:insideH w:val="single" w:sz="4" w:space="0" w:color="BDC3C7"/>
          <w:insideV w:val="none" w:sz="0" w:space="0" w:color="auto"/>
        </w:tblBorders>
      </w:tblPr>
      <w:tblGrid>
        <w:gridCol w:w="1930"/>
        <w:gridCol w:w="1930"/>
        <w:gridCol w:w="1930"/>
        <w:gridCol w:w="1930"/>
        <w:gridCol w:w="1930"/>
      </w:tblGrid>
      <w:tr>
        <w:tc>
          <w:tcPr>
            <w:tcW w:type="dxa" w:w="2160"/>
            <w:tcMar>
              <w:top w:w="100" w:type="dxa"/>
              <w:bottom w:w="100" w:type="dxa"/>
              <w:left w:w="120" w:type="dxa"/>
              <w:right w:w="120" w:type="dxa"/>
            </w:tcMar>
            <w:vAlign w:val="center"/>
            <w:shd w:fill="1B365D"/>
          </w:tcPr>
          <w:p>
            <w:pPr>
              <w:spacing w:before="0" w:after="0" w:line="252" w:lineRule="auto"/>
            </w:pPr>
            <w:r>
              <w:rPr>
                <w:rFonts w:ascii="Times New Roman" w:hAnsi="Times New Roman"/>
                <w:b/>
                <w:color w:val="FFFFFF"/>
                <w:sz w:val="18"/>
              </w:rPr>
              <w:t>Performance Metric / Parameter</w:t>
            </w:r>
          </w:p>
        </w:tc>
        <w:tc>
          <w:tcPr>
            <w:tcW w:type="dxa" w:w="1728"/>
            <w:tcMar>
              <w:top w:w="100" w:type="dxa"/>
              <w:bottom w:w="100" w:type="dxa"/>
              <w:left w:w="120" w:type="dxa"/>
              <w:right w:w="120" w:type="dxa"/>
            </w:tcMar>
            <w:vAlign w:val="center"/>
            <w:shd w:fill="1B365D"/>
          </w:tcPr>
          <w:p>
            <w:pPr>
              <w:spacing w:before="0" w:after="0" w:line="252" w:lineRule="auto"/>
            </w:pPr>
            <w:r>
              <w:rPr>
                <w:rFonts w:ascii="Times New Roman" w:hAnsi="Times New Roman"/>
                <w:b/>
                <w:color w:val="FFFFFF"/>
                <w:sz w:val="18"/>
              </w:rPr>
              <w:t>Standalone CCTV Surveillance</w:t>
            </w:r>
          </w:p>
        </w:tc>
        <w:tc>
          <w:tcPr>
            <w:tcW w:type="dxa" w:w="1728"/>
            <w:tcMar>
              <w:top w:w="100" w:type="dxa"/>
              <w:bottom w:w="100" w:type="dxa"/>
              <w:left w:w="120" w:type="dxa"/>
              <w:right w:w="120" w:type="dxa"/>
            </w:tcMar>
            <w:vAlign w:val="center"/>
            <w:shd w:fill="1B365D"/>
          </w:tcPr>
          <w:p>
            <w:pPr>
              <w:spacing w:before="0" w:after="0" w:line="252" w:lineRule="auto"/>
            </w:pPr>
            <w:r>
              <w:rPr>
                <w:rFonts w:ascii="Times New Roman" w:hAnsi="Times New Roman"/>
                <w:b/>
                <w:color w:val="FFFFFF"/>
                <w:sz w:val="18"/>
              </w:rPr>
              <w:t>Conventional Smoke / Gas Alarms</w:t>
            </w:r>
          </w:p>
        </w:tc>
        <w:tc>
          <w:tcPr>
            <w:tcW w:type="dxa" w:w="2016"/>
            <w:tcMar>
              <w:top w:w="100" w:type="dxa"/>
              <w:bottom w:w="100" w:type="dxa"/>
              <w:left w:w="120" w:type="dxa"/>
              <w:right w:w="120" w:type="dxa"/>
            </w:tcMar>
            <w:vAlign w:val="center"/>
            <w:shd w:fill="1B365D"/>
          </w:tcPr>
          <w:p>
            <w:pPr>
              <w:spacing w:before="0" w:after="0" w:line="252" w:lineRule="auto"/>
            </w:pPr>
            <w:r>
              <w:rPr>
                <w:rFonts w:ascii="Times New Roman" w:hAnsi="Times New Roman"/>
                <w:b/>
                <w:color w:val="FFFFFF"/>
                <w:sz w:val="18"/>
              </w:rPr>
              <w:t>Commercial BMS (e.g. Honeywell/Milestone)</w:t>
            </w:r>
          </w:p>
        </w:tc>
        <w:tc>
          <w:tcPr>
            <w:tcW w:type="dxa" w:w="2448"/>
            <w:tcMar>
              <w:top w:w="100" w:type="dxa"/>
              <w:bottom w:w="100" w:type="dxa"/>
              <w:left w:w="120" w:type="dxa"/>
              <w:right w:w="120" w:type="dxa"/>
            </w:tcMar>
            <w:vAlign w:val="center"/>
            <w:shd w:fill="1B365D"/>
          </w:tcPr>
          <w:p>
            <w:pPr>
              <w:spacing w:before="0" w:after="0" w:line="252" w:lineRule="auto"/>
            </w:pPr>
            <w:r>
              <w:rPr>
                <w:rFonts w:ascii="Times New Roman" w:hAnsi="Times New Roman"/>
                <w:b/>
                <w:color w:val="FFFFFF"/>
                <w:sz w:val="18"/>
              </w:rPr>
              <w:t>VIGINT Edge IoT Platform (Our Solution)</w:t>
            </w:r>
          </w:p>
        </w:tc>
      </w:tr>
      <w:tr>
        <w:tc>
          <w:tcPr>
            <w:tcW w:type="dxa" w:w="2160"/>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Sensing Modalities</w:t>
            </w:r>
          </w:p>
        </w:tc>
        <w:tc>
          <w:tcPr>
            <w:tcW w:type="dxa" w:w="1728"/>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Optical video streams only (blind to gas/heat)</w:t>
            </w:r>
          </w:p>
        </w:tc>
        <w:tc>
          <w:tcPr>
            <w:tcW w:type="dxa" w:w="1728"/>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Single-point gas or optical smoke only</w:t>
            </w:r>
          </w:p>
        </w:tc>
        <w:tc>
          <w:tcPr>
            <w:tcW w:type="dxa" w:w="2016"/>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Multi-point wired industrial sensors</w:t>
            </w:r>
          </w:p>
        </w:tc>
        <w:tc>
          <w:tcPr>
            <w:tcW w:type="dxa" w:w="2448"/>
            <w:tcMar>
              <w:top w:w="100" w:type="dxa"/>
              <w:bottom w:w="100" w:type="dxa"/>
              <w:left w:w="120" w:type="dxa"/>
              <w:right w:w="120" w:type="dxa"/>
            </w:tcMar>
            <w:vAlign w:val="center"/>
            <w:shd w:fill="F4F7FB"/>
          </w:tcPr>
          <w:p>
            <w:pPr>
              <w:spacing w:before="0" w:after="0" w:line="252" w:lineRule="auto"/>
            </w:pPr>
            <w:r>
              <w:rPr>
                <w:rFonts w:ascii="Times New Roman" w:hAnsi="Times New Roman"/>
                <w:b/>
                <w:color w:val="182B49"/>
                <w:sz w:val="17"/>
              </w:rPr>
              <w:t>Tri-Modal: Optical + Multi-Gas/Thermal + Acoustic Decibel</w:t>
            </w:r>
          </w:p>
        </w:tc>
      </w:tr>
      <w:tr>
        <w:tc>
          <w:tcPr>
            <w:tcW w:type="dxa" w:w="2160"/>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False Alarm Rate (P_fa)</w:t>
            </w:r>
          </w:p>
        </w:tc>
        <w:tc>
          <w:tcPr>
            <w:tcW w:type="dxa" w:w="1728"/>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High (18% - 25% due to glare/shadows)</w:t>
            </w:r>
          </w:p>
        </w:tc>
        <w:tc>
          <w:tcPr>
            <w:tcW w:type="dxa" w:w="1728"/>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Moderate (12% - 16% on dust/steam)</w:t>
            </w:r>
          </w:p>
        </w:tc>
        <w:tc>
          <w:tcPr>
            <w:tcW w:type="dxa" w:w="2016"/>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Low to Moderate (5% - 8%)</w:t>
            </w:r>
          </w:p>
        </w:tc>
        <w:tc>
          <w:tcPr>
            <w:tcW w:type="dxa" w:w="2448"/>
            <w:tcMar>
              <w:top w:w="100" w:type="dxa"/>
              <w:bottom w:w="100" w:type="dxa"/>
              <w:left w:w="120" w:type="dxa"/>
              <w:right w:w="120" w:type="dxa"/>
            </w:tcMar>
            <w:vAlign w:val="center"/>
          </w:tcPr>
          <w:p>
            <w:pPr>
              <w:spacing w:before="0" w:after="0" w:line="252" w:lineRule="auto"/>
            </w:pPr>
            <w:r>
              <w:rPr>
                <w:rFonts w:ascii="Times New Roman" w:hAnsi="Times New Roman"/>
                <w:b/>
                <w:color w:val="182B49"/>
                <w:sz w:val="17"/>
              </w:rPr>
              <w:t>&lt; 1.8% (Multi-Sensor Evidential Fusion)</w:t>
            </w:r>
          </w:p>
        </w:tc>
      </w:tr>
      <w:tr>
        <w:tc>
          <w:tcPr>
            <w:tcW w:type="dxa" w:w="2160"/>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Hazard Detection Latency</w:t>
            </w:r>
          </w:p>
        </w:tc>
        <w:tc>
          <w:tcPr>
            <w:tcW w:type="dxa" w:w="1728"/>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&gt; 60 - 180 sec (human dependent)</w:t>
            </w:r>
          </w:p>
        </w:tc>
        <w:tc>
          <w:tcPr>
            <w:tcW w:type="dxa" w:w="1728"/>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120 - 300 sec (high-ceiling lag)</w:t>
            </w:r>
          </w:p>
        </w:tc>
        <w:tc>
          <w:tcPr>
            <w:tcW w:type="dxa" w:w="2016"/>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15 - 45 sec (wired bus polling)</w:t>
            </w:r>
          </w:p>
        </w:tc>
        <w:tc>
          <w:tcPr>
            <w:tcW w:type="dxa" w:w="2448"/>
            <w:tcMar>
              <w:top w:w="100" w:type="dxa"/>
              <w:bottom w:w="100" w:type="dxa"/>
              <w:left w:w="120" w:type="dxa"/>
              <w:right w:w="120" w:type="dxa"/>
            </w:tcMar>
            <w:vAlign w:val="center"/>
            <w:shd w:fill="F4F7FB"/>
          </w:tcPr>
          <w:p>
            <w:pPr>
              <w:spacing w:before="0" w:after="0" w:line="252" w:lineRule="auto"/>
            </w:pPr>
            <w:r>
              <w:rPr>
                <w:rFonts w:ascii="Times New Roman" w:hAnsi="Times New Roman"/>
                <w:b/>
                <w:color w:val="182B49"/>
                <w:sz w:val="17"/>
              </w:rPr>
              <w:t>&lt; 250 ms (Local Edge MCU Interrupt Loop)</w:t>
            </w:r>
          </w:p>
        </w:tc>
      </w:tr>
      <w:tr>
        <w:tc>
          <w:tcPr>
            <w:tcW w:type="dxa" w:w="2160"/>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Automated Physical Actuation</w:t>
            </w:r>
          </w:p>
        </w:tc>
        <w:tc>
          <w:tcPr>
            <w:tcW w:type="dxa" w:w="1728"/>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None (Manual operator dispatch)</w:t>
            </w:r>
          </w:p>
        </w:tc>
        <w:tc>
          <w:tcPr>
            <w:tcW w:type="dxa" w:w="1728"/>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Local buzzer relay only</w:t>
            </w:r>
          </w:p>
        </w:tc>
        <w:tc>
          <w:tcPr>
            <w:tcW w:type="dxa" w:w="2016"/>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Complex PLC relay (high latency)</w:t>
            </w:r>
          </w:p>
        </w:tc>
        <w:tc>
          <w:tcPr>
            <w:tcW w:type="dxa" w:w="2448"/>
            <w:tcMar>
              <w:top w:w="100" w:type="dxa"/>
              <w:bottom w:w="100" w:type="dxa"/>
              <w:left w:w="120" w:type="dxa"/>
              <w:right w:w="120" w:type="dxa"/>
            </w:tcMar>
            <w:vAlign w:val="center"/>
          </w:tcPr>
          <w:p>
            <w:pPr>
              <w:spacing w:before="0" w:after="0" w:line="252" w:lineRule="auto"/>
            </w:pPr>
            <w:r>
              <w:rPr>
                <w:rFonts w:ascii="Times New Roman" w:hAnsi="Times New Roman"/>
                <w:b/>
                <w:color w:val="182B49"/>
                <w:sz w:val="17"/>
              </w:rPr>
              <w:t>Instant Tri-Actuator: 110dB Strobe + Gas Valve + Door Strike</w:t>
            </w:r>
          </w:p>
        </w:tc>
      </w:tr>
      <w:tr>
        <w:tc>
          <w:tcPr>
            <w:tcW w:type="dxa" w:w="2160"/>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Air-Gapped Local Resilience</w:t>
            </w:r>
          </w:p>
        </w:tc>
        <w:tc>
          <w:tcPr>
            <w:tcW w:type="dxa" w:w="1728"/>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Fails if LAN/NVR disconnects</w:t>
            </w:r>
          </w:p>
        </w:tc>
        <w:tc>
          <w:tcPr>
            <w:tcW w:type="dxa" w:w="1728"/>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Islanded local unit (no mesh)</w:t>
            </w:r>
          </w:p>
        </w:tc>
        <w:tc>
          <w:tcPr>
            <w:tcW w:type="dxa" w:w="2016"/>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Requires centralized controller</w:t>
            </w:r>
          </w:p>
        </w:tc>
        <w:tc>
          <w:tcPr>
            <w:tcW w:type="dxa" w:w="2448"/>
            <w:tcMar>
              <w:top w:w="100" w:type="dxa"/>
              <w:bottom w:w="100" w:type="dxa"/>
              <w:left w:w="120" w:type="dxa"/>
              <w:right w:w="120" w:type="dxa"/>
            </w:tcMar>
            <w:vAlign w:val="center"/>
            <w:shd w:fill="F4F7FB"/>
          </w:tcPr>
          <w:p>
            <w:pPr>
              <w:spacing w:before="0" w:after="0" w:line="252" w:lineRule="auto"/>
            </w:pPr>
            <w:r>
              <w:rPr>
                <w:rFonts w:ascii="Times New Roman" w:hAnsi="Times New Roman"/>
                <w:b/>
                <w:color w:val="182B49"/>
                <w:sz w:val="17"/>
              </w:rPr>
              <w:t>100% Autonomous Local MQTT Mesh &amp; Battery Failover</w:t>
            </w:r>
          </w:p>
        </w:tc>
      </w:tr>
      <w:tr>
        <w:tc>
          <w:tcPr>
            <w:tcW w:type="dxa" w:w="2160"/>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Hardware Cost Per Zone</w:t>
            </w:r>
          </w:p>
        </w:tc>
        <w:tc>
          <w:tcPr>
            <w:tcW w:type="dxa" w:w="1728"/>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₹8,000 - ₹15,000 (Camera only)</w:t>
            </w:r>
          </w:p>
        </w:tc>
        <w:tc>
          <w:tcPr>
            <w:tcW w:type="dxa" w:w="1728"/>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₹3,500 - ₹6,000 (Basic alarm)</w:t>
            </w:r>
          </w:p>
        </w:tc>
        <w:tc>
          <w:tcPr>
            <w:tcW w:type="dxa" w:w="2016"/>
            <w:tcMar>
              <w:top w:w="100" w:type="dxa"/>
              <w:bottom w:w="100" w:type="dxa"/>
              <w:left w:w="120" w:type="dxa"/>
              <w:right w:w="120" w:type="dxa"/>
            </w:tcMar>
            <w:vAlign w:val="center"/>
          </w:tcPr>
          <w:p>
            <w:pPr>
              <w:spacing w:before="0" w:after="0" w:line="252" w:lineRule="auto"/>
            </w:pPr>
            <w:r>
              <w:rPr>
                <w:rFonts w:ascii="Times New Roman" w:hAnsi="Times New Roman"/>
                <w:color w:val="212529"/>
                <w:sz w:val="17"/>
              </w:rPr>
              <w:t>₹85,000 - ₹1,50,000+ (Industrial PLC)</w:t>
            </w:r>
          </w:p>
        </w:tc>
        <w:tc>
          <w:tcPr>
            <w:tcW w:type="dxa" w:w="2448"/>
            <w:tcMar>
              <w:top w:w="100" w:type="dxa"/>
              <w:bottom w:w="100" w:type="dxa"/>
              <w:left w:w="120" w:type="dxa"/>
              <w:right w:w="120" w:type="dxa"/>
            </w:tcMar>
            <w:vAlign w:val="center"/>
          </w:tcPr>
          <w:p>
            <w:pPr>
              <w:spacing w:before="0" w:after="0" w:line="252" w:lineRule="auto"/>
            </w:pPr>
            <w:r>
              <w:rPr>
                <w:rFonts w:ascii="Times New Roman" w:hAnsi="Times New Roman"/>
                <w:b/>
                <w:color w:val="182B49"/>
                <w:sz w:val="17"/>
              </w:rPr>
              <w:t>&lt; ₹1,800 (Modular Custom Edge IoT Node)</w:t>
            </w:r>
          </w:p>
        </w:tc>
      </w:tr>
      <w:tr>
        <w:tc>
          <w:tcPr>
            <w:tcW w:type="dxa" w:w="2160"/>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Power Backup &amp; Redundancy</w:t>
            </w:r>
          </w:p>
        </w:tc>
        <w:tc>
          <w:tcPr>
            <w:tcW w:type="dxa" w:w="1728"/>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Requires central online UPS</w:t>
            </w:r>
          </w:p>
        </w:tc>
        <w:tc>
          <w:tcPr>
            <w:tcW w:type="dxa" w:w="1728"/>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9V disposable battery (unmonitored)</w:t>
            </w:r>
          </w:p>
        </w:tc>
        <w:tc>
          <w:tcPr>
            <w:tcW w:type="dxa" w:w="2016"/>
            <w:tcMar>
              <w:top w:w="100" w:type="dxa"/>
              <w:bottom w:w="100" w:type="dxa"/>
              <w:left w:w="120" w:type="dxa"/>
              <w:right w:w="120" w:type="dxa"/>
            </w:tcMar>
            <w:vAlign w:val="center"/>
            <w:shd w:fill="F4F7FB"/>
          </w:tcPr>
          <w:p>
            <w:pPr>
              <w:spacing w:before="0" w:after="0" w:line="252" w:lineRule="auto"/>
            </w:pPr>
            <w:r>
              <w:rPr>
                <w:rFonts w:ascii="Times New Roman" w:hAnsi="Times New Roman"/>
                <w:color w:val="212529"/>
                <w:sz w:val="17"/>
              </w:rPr>
              <w:t>Central inverter rack</w:t>
            </w:r>
          </w:p>
        </w:tc>
        <w:tc>
          <w:tcPr>
            <w:tcW w:type="dxa" w:w="2448"/>
            <w:tcMar>
              <w:top w:w="100" w:type="dxa"/>
              <w:bottom w:w="100" w:type="dxa"/>
              <w:left w:w="120" w:type="dxa"/>
              <w:right w:w="120" w:type="dxa"/>
            </w:tcMar>
            <w:vAlign w:val="center"/>
            <w:shd w:fill="F4F7FB"/>
          </w:tcPr>
          <w:p>
            <w:pPr>
              <w:spacing w:before="0" w:after="0" w:line="252" w:lineRule="auto"/>
            </w:pPr>
            <w:r>
              <w:rPr>
                <w:rFonts w:ascii="Times New Roman" w:hAnsi="Times New Roman"/>
                <w:b/>
                <w:color w:val="182B49"/>
                <w:sz w:val="17"/>
              </w:rPr>
              <w:t>Dual 18650 Li-ion Cells + BMS + Auto Buck Switching</w:t>
            </w:r>
          </w:p>
        </w:tc>
      </w:tr>
    </w:tbl>
    <w:p>
      <w:pPr>
        <w:spacing w:before="80" w:after="0"/>
      </w:pPr>
    </w:p>
    <w:p>
      <w:pPr>
        <w:spacing w:before="0" w:after="100" w:line="276" w:lineRule="auto"/>
      </w:pPr>
      <w:r>
        <w:rPr>
          <w:rFonts w:ascii="Times New Roman" w:hAnsi="Times New Roman"/>
          <w:b/>
          <w:color w:val="212529"/>
          <w:sz w:val="21"/>
        </w:rPr>
        <w:t xml:space="preserve">Quantitative Justification: </w:t>
      </w:r>
      <w:r>
        <w:rPr>
          <w:rFonts w:ascii="Times New Roman" w:hAnsi="Times New Roman"/>
          <w:color w:val="212529"/>
          <w:sz w:val="21"/>
        </w:rPr>
        <w:t>Why our project efforts are highly justified: Commercial systems cost over ₹1.5 Lakh per monitored zone and fail to provide cross-modal consensus. VIGINT provides an open-architecture, custom-fabricated IoT hardware platform capable of running autonomous multi-sensor arbitration and sub-second safety actuation at under 1/20th the cost, making institutional campus safety and industrial laboratory protection scalable, accessible, and reliably automated.</w:t>
      </w:r>
    </w:p>
    <w:p>
      <w:pPr>
        <w:keepNext/>
        <w:spacing w:before="280" w:after="80"/>
      </w:pPr>
      <w:r>
        <w:rPr>
          <w:rFonts w:ascii="Times New Roman" w:hAnsi="Times New Roman"/>
          <w:b/>
          <w:color w:val="182B49"/>
          <w:sz w:val="28"/>
        </w:rPr>
        <w:t>Implementation strategy</w:t>
      </w:r>
    </w:p>
    <w:p>
      <w:pPr>
        <w:spacing w:before="0" w:after="100" w:line="276" w:lineRule="auto"/>
      </w:pPr>
      <w:r>
        <w:rPr>
          <w:rFonts w:ascii="Times New Roman" w:hAnsi="Times New Roman"/>
          <w:b/>
          <w:color w:val="212529"/>
          <w:sz w:val="21"/>
        </w:rPr>
        <w:t xml:space="preserve">System Architecture Workflow: </w:t>
      </w:r>
      <w:r>
        <w:rPr>
          <w:rFonts w:ascii="Times New Roman" w:hAnsi="Times New Roman"/>
          <w:color w:val="212529"/>
          <w:sz w:val="21"/>
        </w:rPr>
        <w:t>The project follows a rigorous, four-tier embedded engineering workflow spanning sensor transduction, local telemetry mesh orchestration, evidential sensor fusion, and galvanically isolated physical actuation:</w:t>
      </w:r>
    </w:p>
    <w:p>
      <w:pPr>
        <w:spacing w:before="40" w:after="80"/>
        <w:ind w:left="288"/>
      </w:pPr>
      <w:r>
        <w:rPr>
          <w:rFonts w:ascii="Consolas" w:hAnsi="Consolas"/>
          <w:b/>
          <w:color w:val="182B49"/>
          <w:sz w:val="16"/>
        </w:rPr>
        <w:t>+-----------------------------------------------------------------------------------------+</w:t>
        <w:br/>
        <w:t>|                             1. SENSORY TRANSDUCTION MESH                                |</w:t>
        <w:br/>
        <w:t>|  [MQ-2 Gas/Smoke]   [MQ-7 CO Toxic]   [DHT22 Temp/Humidity]   [LM393 Acoustic Decibel]  |</w:t>
        <w:br/>
        <w:t>|  [HC-SR501 PIR]     [HC-SR04 Sonic]   [RC522 Access Reader]   [ESP32-CAM Vision Module] |</w:t>
        <w:br/>
        <w:t>+--------------------------------------------+--------------------------------------------+</w:t>
        <w:br/>
        <w:t xml:space="preserve">                                             | (Analog 12-bit ADC / I2C / SPI / GPIO)</w:t>
        <w:br/>
        <w:t xml:space="preserve">                                             v</w:t>
        <w:br/>
        <w:t>+-----------------------------------------------------------------------------------------+</w:t>
        <w:br/>
        <w:t>|                        2. DISTRIBUTED DUAL-CORE EDGE PROCESSING                         |</w:t>
        <w:br/>
        <w:t>|  • Core 0 (FreeRTOS): 2.4GHz Wi-Fi / NRF24L01+ RF Mesh Ingestion (MQTT TLS / Local Pub)  |</w:t>
        <w:br/>
        <w:t>|  • Core 1 (FreeRTOS): Real-Time ADC Sampling (2Hz), FIR Noise Filtering &amp; Baseline Calib |</w:t>
        <w:br/>
        <w:t>+--------------------------------------------+--------------------------------------------+</w:t>
        <w:br/>
        <w:t xml:space="preserve">                                             | (Telemetry Stream QoS 1)</w:t>
        <w:br/>
        <w:t xml:space="preserve">                                             v</w:t>
        <w:br/>
        <w:t>+-----------------------------------------------------------------------------------------+</w:t>
        <w:br/>
        <w:t>|                      3. DEMPSTER-SHAFER EVIDENTIAL FUSION ENGINE                        |</w:t>
        <w:br/>
        <w:t>|  • Spatial-Temporal Co-occurrence Matrix (ST-COM) cross-checking sensor proximity       |</w:t>
        <w:br/>
        <w:t>|  • Multi-Tier Consensus Validation: Optical Confidence + Physical Gas/Thermal Telemetry  |</w:t>
        <w:br/>
        <w:t>+--------------------------------------------+--------------------------------------------+</w:t>
        <w:br/>
        <w:t xml:space="preserve">                                             | (Assert Actuation Signal &lt; 130ms)</w:t>
        <w:br/>
        <w:t xml:space="preserve">                                             v</w:t>
        <w:br/>
        <w:t>+-----------------------------------------------------------------------------------------+</w:t>
        <w:br/>
        <w:t>|                  4. GALVANICALLY ISOLATED PHYSICAL ACTUATION HARDWARE                   |</w:t>
        <w:br/>
        <w:t>|  [4-Channel Optocoupled Relays] ──► [12V 110dB Siren] + [12V Gas Solenoid] + [Door Lock]|</w:t>
        <w:br/>
        <w:t>+-----------------------------------------------------------------------------------------+</w:t>
      </w:r>
    </w:p>
    <w:p>
      <w:pPr>
        <w:keepNext/>
        <w:spacing w:before="160" w:after="40"/>
      </w:pPr>
      <w:r>
        <w:rPr>
          <w:rFonts w:ascii="Times New Roman" w:hAnsi="Times New Roman"/>
          <w:b/>
          <w:color w:val="2980B9"/>
          <w:sz w:val="23"/>
        </w:rPr>
        <w:t>Hardware Engineering Strategies &amp; Technical Learning Required:</w:t>
      </w:r>
    </w:p>
    <w:p>
      <w:pPr>
        <w:pStyle w:val="ListBullet"/>
        <w:spacing w:before="20" w:after="60" w:line="276" w:lineRule="auto"/>
      </w:pPr>
      <w:r>
        <w:rPr>
          <w:rFonts w:ascii="Times New Roman" w:hAnsi="Times New Roman"/>
          <w:b/>
          <w:color w:val="212529"/>
          <w:sz w:val="21"/>
        </w:rPr>
        <w:t xml:space="preserve">1. FreeRTOS Dual-Core Task Partitioning: </w:t>
      </w:r>
      <w:r>
        <w:rPr>
          <w:rFonts w:ascii="Times New Roman" w:hAnsi="Times New Roman"/>
          <w:color w:val="212529"/>
          <w:sz w:val="21"/>
        </w:rPr>
        <w:t>Developing real-time multitasking firmware on ESP32-S3 using FreeRTOS. Core 0 executes network telemetry buffering and MQTT pub/sub tasks, while Core 1 performs deterministic analog reading and digital FIR filtering to ensure zero frame drop.</w:t>
      </w:r>
    </w:p>
    <w:p>
      <w:pPr>
        <w:pStyle w:val="ListBullet"/>
        <w:spacing w:before="20" w:after="60" w:line="276" w:lineRule="auto"/>
      </w:pPr>
      <w:r>
        <w:rPr>
          <w:rFonts w:ascii="Times New Roman" w:hAnsi="Times New Roman"/>
          <w:b/>
          <w:color w:val="212529"/>
          <w:sz w:val="21"/>
        </w:rPr>
        <w:t xml:space="preserve">2. Electrochemical Sensor Calibration &amp; Temperature Compensation: </w:t>
      </w:r>
      <w:r>
        <w:rPr>
          <w:rFonts w:ascii="Times New Roman" w:hAnsi="Times New Roman"/>
          <w:color w:val="212529"/>
          <w:sz w:val="21"/>
        </w:rPr>
        <w:t>Implementing mathematical calibration routines for metal-oxide semiconductor (MOS) sensors. Baseline clean-air resistance R_0 is computed dynamically; gas concentration is derived via logarithmic power-law curve fitting: ppm = A · (R_s / R_0)^B, with temperature compensation factors from DHT22.</w:t>
      </w:r>
    </w:p>
    <w:p>
      <w:pPr>
        <w:pStyle w:val="ListBullet"/>
        <w:spacing w:before="20" w:after="60" w:line="276" w:lineRule="auto"/>
      </w:pPr>
      <w:r>
        <w:rPr>
          <w:rFonts w:ascii="Times New Roman" w:hAnsi="Times New Roman"/>
          <w:b/>
          <w:color w:val="212529"/>
          <w:sz w:val="21"/>
        </w:rPr>
        <w:t xml:space="preserve">3. Custom PCB Layout &amp; Galvanic Isolation: </w:t>
      </w:r>
      <w:r>
        <w:rPr>
          <w:rFonts w:ascii="Times New Roman" w:hAnsi="Times New Roman"/>
          <w:color w:val="212529"/>
          <w:sz w:val="21"/>
        </w:rPr>
        <w:t>Designing custom 2-layer FR4 double-sided printed circuit boards using KiCad. Integrating EL817 optocouplers, flyback clamping diodes (1N4007), and separate power ground planes to prevent high-current inductive back-EMF spikes from resetting the microcontrollers during solenoid valve activation.</w:t>
      </w:r>
    </w:p>
    <w:p>
      <w:pPr>
        <w:pStyle w:val="ListBullet"/>
        <w:spacing w:before="20" w:after="60" w:line="276" w:lineRule="auto"/>
      </w:pPr>
      <w:r>
        <w:rPr>
          <w:rFonts w:ascii="Times New Roman" w:hAnsi="Times New Roman"/>
          <w:b/>
          <w:color w:val="212529"/>
          <w:sz w:val="21"/>
        </w:rPr>
        <w:t xml:space="preserve">4. Redundant Mesh Communication: </w:t>
      </w:r>
      <w:r>
        <w:rPr>
          <w:rFonts w:ascii="Times New Roman" w:hAnsi="Times New Roman"/>
          <w:color w:val="212529"/>
          <w:sz w:val="21"/>
        </w:rPr>
        <w:t>Implementing an auto-failover dual-path mesh combining 2.4GHz Wi-Fi MQTT with NRF24L01+ PA/LNA RF transceivers. If standard network infrastructure drops, nodes switch to an autonomous peer-to-peer RF mesh in under 50ms.</w:t>
      </w:r>
    </w:p>
    <w:p>
      <w:pPr>
        <w:keepNext/>
        <w:spacing w:before="160" w:after="40"/>
      </w:pPr>
      <w:r>
        <w:rPr>
          <w:rFonts w:ascii="Times New Roman" w:hAnsi="Times New Roman"/>
          <w:b/>
          <w:color w:val="2980B9"/>
          <w:sz w:val="23"/>
        </w:rPr>
        <w:t>Algorithmic Pseudocode for Real-Time Sensor Fusion &amp; Actuation Handler:</w:t>
      </w:r>
    </w:p>
    <w:p>
      <w:pPr>
        <w:spacing w:before="40" w:after="80"/>
        <w:ind w:left="288"/>
      </w:pPr>
      <w:r>
        <w:rPr>
          <w:rFonts w:ascii="Consolas" w:hAnsi="Consolas"/>
          <w:b/>
          <w:color w:val="212529"/>
          <w:sz w:val="16"/>
        </w:rPr>
        <w:t>void Task_SensorFusionAndActuate(void *pvParameters) {</w:t>
        <w:br/>
        <w:t xml:space="preserve">    for(;;) {</w:t>
        <w:br/>
        <w:t xml:space="preserve">        SensorData data = Read_Filtered_Sensors(); // Core 1 ADC (MQ2, MQ7, DHT22, Sound)</w:t>
        <w:br/>
        <w:t xml:space="preserve">        OpticalEvidence opt = Get_Optical_Evidence_Buffer(data.zone_id);</w:t>
        <w:br/>
        <w:t xml:space="preserve">        </w:t>
        <w:br/>
        <w:t xml:space="preserve">        float m_vis = opt.flame_detected ? opt.confidence : 0.05;</w:t>
        <w:br/>
        <w:t xml:space="preserve">        float m_gas = (data.mq2_ppm &gt; 400.0) ? 0.90 : (data.mq2_ppm / 450.0);</w:t>
        <w:br/>
        <w:t xml:space="preserve">        float m_temp_rate = (data.temp_delta_per_min &gt; 2.5) ? 0.85 : 0.10;</w:t>
        <w:br/>
        <w:t xml:space="preserve">        </w:t>
        <w:br/>
        <w:t xml:space="preserve">        // Dempster-Shafer Combination Rule</w:t>
        <w:br/>
        <w:t xml:space="preserve">        float numerator = m_vis * max(m_gas, m_temp_rate);</w:t>
        <w:br/>
        <w:t xml:space="preserve">        float conflict_K = (m_vis * (1.0 - max(m_gas, m_temp_rate))) + ((1.0 - m_vis) * max(m_gas, m_temp_rate));</w:t>
        <w:br/>
        <w:t xml:space="preserve">        float Bel_Hazard = numerator / (1.0 - conflict_K + 0.0001);</w:t>
        <w:br/>
        <w:t xml:space="preserve">        </w:t>
        <w:br/>
        <w:t xml:space="preserve">        if (Bel_Hazard &gt;= 0.85 || data.mq7_co_ppm &gt; 50.0) {</w:t>
        <w:br/>
        <w:t xml:space="preserve">            digitalWrite(PIN_RELAY_SIREN, HIGH);       // Trigger 110dB Alarm Strobe</w:t>
        <w:br/>
        <w:t xml:space="preserve">            digitalWrite(PIN_RELAY_GAS_CUTOFF, HIGH);  // Cut 12V Solenoid Gas Valve</w:t>
        <w:br/>
        <w:t xml:space="preserve">            digitalWrite(PIN_RELAY_DOOR_UNLOCK, HIGH); // De-energize Emergency Drop-Bolt</w:t>
        <w:br/>
        <w:t xml:space="preserve">            Publish_Emergency_MQTT_Telemetry(ZONE_CRITICAL_ALERT, Bel_Hazard);</w:t>
        <w:br/>
        <w:t xml:space="preserve">        }</w:t>
        <w:br/>
        <w:t xml:space="preserve">        vTaskDelay(pdMS_TO_TICKS(250)); // Deterministic 250ms evaluation loop</w:t>
        <w:br/>
        <w:t xml:space="preserve">    }</w:t>
        <w:br/>
        <w:t>}</w:t>
      </w:r>
    </w:p>
    <w:p>
      <w:pPr>
        <w:keepNext/>
        <w:spacing w:before="280" w:after="80"/>
      </w:pPr>
      <w:r>
        <w:rPr>
          <w:rFonts w:ascii="Times New Roman" w:hAnsi="Times New Roman"/>
          <w:b/>
          <w:color w:val="182B49"/>
          <w:sz w:val="28"/>
        </w:rPr>
        <w:t>Milestones(Project divided into small parts)</w:t>
      </w:r>
    </w:p>
    <w:p>
      <w:pPr>
        <w:spacing w:before="0" w:after="100" w:line="276" w:lineRule="auto"/>
      </w:pPr>
      <w:r>
        <w:rPr>
          <w:rFonts w:ascii="Times New Roman" w:hAnsi="Times New Roman"/>
          <w:color w:val="212529"/>
          <w:sz w:val="21"/>
        </w:rPr>
        <w:t>The complete project timeline spans exactly 1 Year (12 Months) divided into 6 distinct, measurable, and highly deliverable technical milestones (2 months per milestone):</w:t>
      </w:r>
    </w:p>
    <w:tbl>
      <w:tblPr>
        <w:tblW w:type="auto" w:w="0"/>
        <w:jc w:val="center"/>
        <w:tblLook w:firstColumn="1" w:firstRow="1" w:lastColumn="0" w:lastRow="0" w:noHBand="0" w:noVBand="1" w:val="04A0"/>
        <w:tblBorders>
          <w:top w:val="single" w:sz="4" w:space="0" w:color="BDC3C7"/>
          <w:bottom w:val="single" w:sz="4" w:space="0" w:color="BDC3C7"/>
          <w:left w:val="none" w:sz="0" w:space="0" w:color="auto"/>
          <w:right w:val="none" w:sz="0" w:space="0" w:color="auto"/>
          <w:insideH w:val="single" w:sz="4" w:space="0" w:color="BDC3C7"/>
          <w:insideV w:val="none" w:sz="0" w:space="0" w:color="auto"/>
        </w:tblBorders>
      </w:tblPr>
      <w:tblGrid>
        <w:gridCol w:w="2412"/>
        <w:gridCol w:w="2412"/>
        <w:gridCol w:w="2412"/>
        <w:gridCol w:w="2412"/>
      </w:tblGrid>
      <w:tr>
        <w:tc>
          <w:tcPr>
            <w:tcW w:type="dxa" w:w="864"/>
            <w:tcMar>
              <w:top w:w="100" w:type="dxa"/>
              <w:bottom w:w="100" w:type="dxa"/>
              <w:left w:w="120" w:type="dxa"/>
              <w:right w:w="120" w:type="dxa"/>
            </w:tcMar>
            <w:vAlign w:val="center"/>
            <w:shd w:fill="1B365D"/>
          </w:tcPr>
          <w:p>
            <w:pPr>
              <w:spacing w:before="0" w:after="0" w:line="264" w:lineRule="auto"/>
            </w:pPr>
            <w:r>
              <w:rPr>
                <w:rFonts w:ascii="Times New Roman" w:hAnsi="Times New Roman"/>
                <w:b/>
                <w:color w:val="FFFFFF"/>
                <w:sz w:val="19"/>
              </w:rPr>
              <w:t>Sr No</w:t>
            </w:r>
          </w:p>
        </w:tc>
        <w:tc>
          <w:tcPr>
            <w:tcW w:type="dxa" w:w="5472"/>
            <w:tcMar>
              <w:top w:w="100" w:type="dxa"/>
              <w:bottom w:w="100" w:type="dxa"/>
              <w:left w:w="120" w:type="dxa"/>
              <w:right w:w="120" w:type="dxa"/>
            </w:tcMar>
            <w:vAlign w:val="center"/>
            <w:shd w:fill="1B365D"/>
          </w:tcPr>
          <w:p>
            <w:pPr>
              <w:spacing w:before="0" w:after="0" w:line="264" w:lineRule="auto"/>
            </w:pPr>
            <w:r>
              <w:rPr>
                <w:rFonts w:ascii="Times New Roman" w:hAnsi="Times New Roman"/>
                <w:b/>
                <w:color w:val="FFFFFF"/>
                <w:sz w:val="19"/>
              </w:rPr>
              <w:t>Description/ Name of work</w:t>
            </w:r>
          </w:p>
        </w:tc>
        <w:tc>
          <w:tcPr>
            <w:tcW w:type="dxa" w:w="1872"/>
            <w:tcMar>
              <w:top w:w="100" w:type="dxa"/>
              <w:bottom w:w="100" w:type="dxa"/>
              <w:left w:w="120" w:type="dxa"/>
              <w:right w:w="120" w:type="dxa"/>
            </w:tcMar>
            <w:vAlign w:val="center"/>
            <w:shd w:fill="1B365D"/>
          </w:tcPr>
          <w:p>
            <w:pPr>
              <w:spacing w:before="0" w:after="0" w:line="264" w:lineRule="auto"/>
            </w:pPr>
            <w:r>
              <w:rPr>
                <w:rFonts w:ascii="Times New Roman" w:hAnsi="Times New Roman"/>
                <w:b/>
                <w:color w:val="FFFFFF"/>
                <w:sz w:val="19"/>
              </w:rPr>
              <w:t>Expected time required</w:t>
              <w:br/>
              <w:t>(No of hours)</w:t>
            </w:r>
          </w:p>
        </w:tc>
        <w:tc>
          <w:tcPr>
            <w:tcW w:type="dxa" w:w="1872"/>
            <w:tcMar>
              <w:top w:w="100" w:type="dxa"/>
              <w:bottom w:w="100" w:type="dxa"/>
              <w:left w:w="120" w:type="dxa"/>
              <w:right w:w="120" w:type="dxa"/>
            </w:tcMar>
            <w:vAlign w:val="center"/>
            <w:shd w:fill="1B365D"/>
          </w:tcPr>
          <w:p>
            <w:pPr>
              <w:spacing w:before="0" w:after="0" w:line="264" w:lineRule="auto"/>
            </w:pPr>
            <w:r>
              <w:rPr>
                <w:rFonts w:ascii="Times New Roman" w:hAnsi="Times New Roman"/>
                <w:b/>
                <w:color w:val="FFFFFF"/>
                <w:sz w:val="19"/>
              </w:rPr>
              <w:t>Expected date of completion</w:t>
            </w:r>
          </w:p>
        </w:tc>
      </w:tr>
      <w:tr>
        <w:tc>
          <w:tcPr>
            <w:tcW w:type="dxa" w:w="864"/>
            <w:tcMar>
              <w:top w:w="100" w:type="dxa"/>
              <w:bottom w:w="100" w:type="dxa"/>
              <w:left w:w="120" w:type="dxa"/>
              <w:right w:w="120" w:type="dxa"/>
            </w:tcMar>
            <w:vAlign w:val="center"/>
            <w:shd w:fill="F4F7FB"/>
          </w:tcPr>
          <w:p>
            <w:pPr>
              <w:spacing w:before="0" w:after="0" w:line="264" w:lineRule="auto"/>
              <w:jc w:val="center"/>
            </w:pPr>
            <w:r>
              <w:rPr>
                <w:rFonts w:ascii="Times New Roman" w:hAnsi="Times New Roman"/>
                <w:b/>
                <w:sz w:val="17"/>
              </w:rPr>
              <w:t>1</w:t>
            </w:r>
          </w:p>
        </w:tc>
        <w:tc>
          <w:tcPr>
            <w:tcW w:type="dxa" w:w="5472"/>
            <w:tcMar>
              <w:top w:w="100" w:type="dxa"/>
              <w:bottom w:w="100" w:type="dxa"/>
              <w:left w:w="120" w:type="dxa"/>
              <w:right w:w="120" w:type="dxa"/>
            </w:tcMar>
            <w:vAlign w:val="center"/>
            <w:shd w:fill="F4F7FB"/>
          </w:tcPr>
          <w:p>
            <w:pPr>
              <w:spacing w:before="0" w:after="0" w:line="264" w:lineRule="auto"/>
            </w:pPr>
            <w:r>
              <w:rPr>
                <w:rFonts w:ascii="Times New Roman" w:hAnsi="Times New Roman"/>
                <w:color w:val="212529"/>
                <w:sz w:val="17"/>
              </w:rPr>
              <w:t>Milestone 1: Embedded Architecture Finalization, Core Hardware Procurement &amp; Bench Testbed Setup</w:t>
              <w:br/>
              <w:t>• Procure primary microcontrollers (ESP32-S3, ESP32-CAM, NodeMCU), primary sensor suites (MQ-2, MQ-7, DHT22, Sound, PIR), and bench power measurement equipment.</w:t>
              <w:br/>
              <w:t>• Establish physical breadboard testbench and verify pinout maps, power consumption profiles, and dual-core firmware toolchains.</w:t>
            </w:r>
          </w:p>
        </w:tc>
        <w:tc>
          <w:tcPr>
            <w:tcW w:type="dxa" w:w="1872"/>
            <w:tcMar>
              <w:top w:w="100" w:type="dxa"/>
              <w:bottom w:w="100" w:type="dxa"/>
              <w:left w:w="120" w:type="dxa"/>
              <w:right w:w="120" w:type="dxa"/>
            </w:tcMar>
            <w:vAlign w:val="center"/>
            <w:shd w:fill="F4F7FB"/>
          </w:tcPr>
          <w:p>
            <w:pPr>
              <w:spacing w:before="0" w:after="0" w:line="264" w:lineRule="auto"/>
              <w:jc w:val="center"/>
            </w:pPr>
            <w:r>
              <w:rPr>
                <w:rFonts w:ascii="Times New Roman" w:hAnsi="Times New Roman"/>
                <w:b/>
                <w:color w:val="182B49"/>
                <w:sz w:val="17"/>
              </w:rPr>
              <w:t>160 Hours</w:t>
            </w:r>
          </w:p>
        </w:tc>
        <w:tc>
          <w:tcPr>
            <w:tcW w:type="dxa" w:w="1872"/>
            <w:tcMar>
              <w:top w:w="100" w:type="dxa"/>
              <w:bottom w:w="100" w:type="dxa"/>
              <w:left w:w="120" w:type="dxa"/>
              <w:right w:w="120" w:type="dxa"/>
            </w:tcMar>
            <w:vAlign w:val="center"/>
            <w:shd w:fill="F4F7FB"/>
          </w:tcPr>
          <w:p>
            <w:pPr>
              <w:spacing w:before="0" w:after="0" w:line="264" w:lineRule="auto"/>
              <w:jc w:val="center"/>
            </w:pPr>
            <w:r>
              <w:rPr>
                <w:rFonts w:ascii="Times New Roman" w:hAnsi="Times New Roman"/>
                <w:b/>
                <w:color w:val="182B49"/>
                <w:sz w:val="17"/>
              </w:rPr>
              <w:t>Month 2</w:t>
              <w:br/>
              <w:t>(End of 2nd Month)</w:t>
            </w:r>
          </w:p>
        </w:tc>
      </w:tr>
      <w:tr>
        <w:tc>
          <w:tcPr>
            <w:tcW w:type="dxa" w:w="864"/>
            <w:tcMar>
              <w:top w:w="100" w:type="dxa"/>
              <w:bottom w:w="100" w:type="dxa"/>
              <w:left w:w="120" w:type="dxa"/>
              <w:right w:w="120" w:type="dxa"/>
            </w:tcMar>
            <w:vAlign w:val="center"/>
          </w:tcPr>
          <w:p>
            <w:pPr>
              <w:spacing w:before="0" w:after="0" w:line="264" w:lineRule="auto"/>
              <w:jc w:val="center"/>
            </w:pPr>
            <w:r>
              <w:rPr>
                <w:rFonts w:ascii="Times New Roman" w:hAnsi="Times New Roman"/>
                <w:b/>
                <w:sz w:val="17"/>
              </w:rPr>
              <w:t>2</w:t>
            </w:r>
          </w:p>
        </w:tc>
        <w:tc>
          <w:tcPr>
            <w:tcW w:type="dxa" w:w="5472"/>
            <w:tcMar>
              <w:top w:w="100" w:type="dxa"/>
              <w:bottom w:w="100" w:type="dxa"/>
              <w:left w:w="120" w:type="dxa"/>
              <w:right w:w="120" w:type="dxa"/>
            </w:tcMar>
            <w:vAlign w:val="center"/>
          </w:tcPr>
          <w:p>
            <w:pPr>
              <w:spacing w:before="0" w:after="0" w:line="264" w:lineRule="auto"/>
            </w:pPr>
            <w:r>
              <w:rPr>
                <w:rFonts w:ascii="Times New Roman" w:hAnsi="Times New Roman"/>
                <w:color w:val="212529"/>
                <w:sz w:val="17"/>
              </w:rPr>
              <w:t>Milestone 2: Multi-Sensor Calibration, Firmware Development &amp; FreeRTOS Dual-Core Pipeline</w:t>
              <w:br/>
              <w:t>• Develop FreeRTOS multi-threaded firmware on ESP32-S3 for ADC analog acquisition, FIR digital noise filtering, and mathematical PPM gas curve regression.</w:t>
              <w:br/>
              <w:t>• Implement power management routines, 18650 Li-ion battery backup switching, and LM2596 buck regulator efficiency testing.</w:t>
            </w:r>
          </w:p>
        </w:tc>
        <w:tc>
          <w:tcPr>
            <w:tcW w:type="dxa" w:w="1872"/>
            <w:tcMar>
              <w:top w:w="100" w:type="dxa"/>
              <w:bottom w:w="100" w:type="dxa"/>
              <w:left w:w="120" w:type="dxa"/>
              <w:right w:w="120" w:type="dxa"/>
            </w:tcMar>
            <w:vAlign w:val="center"/>
          </w:tcPr>
          <w:p>
            <w:pPr>
              <w:spacing w:before="0" w:after="0" w:line="264" w:lineRule="auto"/>
              <w:jc w:val="center"/>
            </w:pPr>
            <w:r>
              <w:rPr>
                <w:rFonts w:ascii="Times New Roman" w:hAnsi="Times New Roman"/>
                <w:b/>
                <w:color w:val="182B49"/>
                <w:sz w:val="17"/>
              </w:rPr>
              <w:t>180 Hours</w:t>
            </w:r>
          </w:p>
        </w:tc>
        <w:tc>
          <w:tcPr>
            <w:tcW w:type="dxa" w:w="1872"/>
            <w:tcMar>
              <w:top w:w="100" w:type="dxa"/>
              <w:bottom w:w="100" w:type="dxa"/>
              <w:left w:w="120" w:type="dxa"/>
              <w:right w:w="120" w:type="dxa"/>
            </w:tcMar>
            <w:vAlign w:val="center"/>
          </w:tcPr>
          <w:p>
            <w:pPr>
              <w:spacing w:before="0" w:after="0" w:line="264" w:lineRule="auto"/>
              <w:jc w:val="center"/>
            </w:pPr>
            <w:r>
              <w:rPr>
                <w:rFonts w:ascii="Times New Roman" w:hAnsi="Times New Roman"/>
                <w:b/>
                <w:color w:val="182B49"/>
                <w:sz w:val="17"/>
              </w:rPr>
              <w:t>Month 4</w:t>
              <w:br/>
              <w:t>(End of 4th Month)</w:t>
            </w:r>
          </w:p>
        </w:tc>
      </w:tr>
      <w:tr>
        <w:tc>
          <w:tcPr>
            <w:tcW w:type="dxa" w:w="864"/>
            <w:tcMar>
              <w:top w:w="100" w:type="dxa"/>
              <w:bottom w:w="100" w:type="dxa"/>
              <w:left w:w="120" w:type="dxa"/>
              <w:right w:w="120" w:type="dxa"/>
            </w:tcMar>
            <w:vAlign w:val="center"/>
            <w:shd w:fill="F4F7FB"/>
          </w:tcPr>
          <w:p>
            <w:pPr>
              <w:spacing w:before="0" w:after="0" w:line="264" w:lineRule="auto"/>
              <w:jc w:val="center"/>
            </w:pPr>
            <w:r>
              <w:rPr>
                <w:rFonts w:ascii="Times New Roman" w:hAnsi="Times New Roman"/>
                <w:b/>
                <w:sz w:val="17"/>
              </w:rPr>
              <w:t>3</w:t>
            </w:r>
          </w:p>
        </w:tc>
        <w:tc>
          <w:tcPr>
            <w:tcW w:type="dxa" w:w="5472"/>
            <w:tcMar>
              <w:top w:w="100" w:type="dxa"/>
              <w:bottom w:w="100" w:type="dxa"/>
              <w:left w:w="120" w:type="dxa"/>
              <w:right w:w="120" w:type="dxa"/>
            </w:tcMar>
            <w:vAlign w:val="center"/>
            <w:shd w:fill="F4F7FB"/>
          </w:tcPr>
          <w:p>
            <w:pPr>
              <w:spacing w:before="0" w:after="0" w:line="264" w:lineRule="auto"/>
            </w:pPr>
            <w:r>
              <w:rPr>
                <w:rFonts w:ascii="Times New Roman" w:hAnsi="Times New Roman"/>
                <w:color w:val="212529"/>
                <w:sz w:val="17"/>
              </w:rPr>
              <w:t>Milestone 3: Custom PCB Schematic Design, Fabrication &amp; Galvanic Isolation Actuation Subsystem</w:t>
              <w:br/>
              <w:t>• Design custom 2-layer FR4 PCB schematics in KiCad with ground planes, terminal blocks, and optocoupled relay interfaces.</w:t>
              <w:br/>
              <w:t>• Fabricate prototype PCB batch, assemble SMT/DIP components, and integrate 12V emergency solenoid cutoff valves, 110dB sirens, and drop-bolt locks.</w:t>
            </w:r>
          </w:p>
        </w:tc>
        <w:tc>
          <w:tcPr>
            <w:tcW w:type="dxa" w:w="1872"/>
            <w:tcMar>
              <w:top w:w="100" w:type="dxa"/>
              <w:bottom w:w="100" w:type="dxa"/>
              <w:left w:w="120" w:type="dxa"/>
              <w:right w:w="120" w:type="dxa"/>
            </w:tcMar>
            <w:vAlign w:val="center"/>
            <w:shd w:fill="F4F7FB"/>
          </w:tcPr>
          <w:p>
            <w:pPr>
              <w:spacing w:before="0" w:after="0" w:line="264" w:lineRule="auto"/>
              <w:jc w:val="center"/>
            </w:pPr>
            <w:r>
              <w:rPr>
                <w:rFonts w:ascii="Times New Roman" w:hAnsi="Times New Roman"/>
                <w:b/>
                <w:color w:val="182B49"/>
                <w:sz w:val="17"/>
              </w:rPr>
              <w:t>170 Hours</w:t>
            </w:r>
          </w:p>
        </w:tc>
        <w:tc>
          <w:tcPr>
            <w:tcW w:type="dxa" w:w="1872"/>
            <w:tcMar>
              <w:top w:w="100" w:type="dxa"/>
              <w:bottom w:w="100" w:type="dxa"/>
              <w:left w:w="120" w:type="dxa"/>
              <w:right w:w="120" w:type="dxa"/>
            </w:tcMar>
            <w:vAlign w:val="center"/>
            <w:shd w:fill="F4F7FB"/>
          </w:tcPr>
          <w:p>
            <w:pPr>
              <w:spacing w:before="0" w:after="0" w:line="264" w:lineRule="auto"/>
              <w:jc w:val="center"/>
            </w:pPr>
            <w:r>
              <w:rPr>
                <w:rFonts w:ascii="Times New Roman" w:hAnsi="Times New Roman"/>
                <w:b/>
                <w:color w:val="182B49"/>
                <w:sz w:val="17"/>
              </w:rPr>
              <w:t>Month 6</w:t>
              <w:br/>
              <w:t>(End of 6th Month)</w:t>
            </w:r>
          </w:p>
        </w:tc>
      </w:tr>
      <w:tr>
        <w:tc>
          <w:tcPr>
            <w:tcW w:type="dxa" w:w="864"/>
            <w:tcMar>
              <w:top w:w="100" w:type="dxa"/>
              <w:bottom w:w="100" w:type="dxa"/>
              <w:left w:w="120" w:type="dxa"/>
              <w:right w:w="120" w:type="dxa"/>
            </w:tcMar>
            <w:vAlign w:val="center"/>
          </w:tcPr>
          <w:p>
            <w:pPr>
              <w:spacing w:before="0" w:after="0" w:line="264" w:lineRule="auto"/>
              <w:jc w:val="center"/>
            </w:pPr>
            <w:r>
              <w:rPr>
                <w:rFonts w:ascii="Times New Roman" w:hAnsi="Times New Roman"/>
                <w:b/>
                <w:sz w:val="17"/>
              </w:rPr>
              <w:t>4</w:t>
            </w:r>
          </w:p>
        </w:tc>
        <w:tc>
          <w:tcPr>
            <w:tcW w:type="dxa" w:w="5472"/>
            <w:tcMar>
              <w:top w:w="100" w:type="dxa"/>
              <w:bottom w:w="100" w:type="dxa"/>
              <w:left w:w="120" w:type="dxa"/>
              <w:right w:w="120" w:type="dxa"/>
            </w:tcMar>
            <w:vAlign w:val="center"/>
          </w:tcPr>
          <w:p>
            <w:pPr>
              <w:spacing w:before="0" w:after="0" w:line="264" w:lineRule="auto"/>
            </w:pPr>
            <w:r>
              <w:rPr>
                <w:rFonts w:ascii="Times New Roman" w:hAnsi="Times New Roman"/>
                <w:color w:val="212529"/>
                <w:sz w:val="17"/>
              </w:rPr>
              <w:t>Milestone 4: Edge-Vision Interfacing, Local MQTT Mesh Telemetry &amp; Evidential Fusion Engine</w:t>
              <w:br/>
              <w:t>• Interface ESP32-CAM optical capture nodes with local embedded broker via MQTT (TLS 8883) and NRF24L01+ RF fallback mesh.</w:t>
              <w:br/>
              <w:t>• Integrate Dempster-Shafer evidential fusion logic and acoustic-kinetic anomaly metrics to execute cross-sensor consensus.</w:t>
            </w:r>
          </w:p>
        </w:tc>
        <w:tc>
          <w:tcPr>
            <w:tcW w:type="dxa" w:w="1872"/>
            <w:tcMar>
              <w:top w:w="100" w:type="dxa"/>
              <w:bottom w:w="100" w:type="dxa"/>
              <w:left w:w="120" w:type="dxa"/>
              <w:right w:w="120" w:type="dxa"/>
            </w:tcMar>
            <w:vAlign w:val="center"/>
          </w:tcPr>
          <w:p>
            <w:pPr>
              <w:spacing w:before="0" w:after="0" w:line="264" w:lineRule="auto"/>
              <w:jc w:val="center"/>
            </w:pPr>
            <w:r>
              <w:rPr>
                <w:rFonts w:ascii="Times New Roman" w:hAnsi="Times New Roman"/>
                <w:b/>
                <w:color w:val="182B49"/>
                <w:sz w:val="17"/>
              </w:rPr>
              <w:t>190 Hours</w:t>
            </w:r>
          </w:p>
        </w:tc>
        <w:tc>
          <w:tcPr>
            <w:tcW w:type="dxa" w:w="1872"/>
            <w:tcMar>
              <w:top w:w="100" w:type="dxa"/>
              <w:bottom w:w="100" w:type="dxa"/>
              <w:left w:w="120" w:type="dxa"/>
              <w:right w:w="120" w:type="dxa"/>
            </w:tcMar>
            <w:vAlign w:val="center"/>
          </w:tcPr>
          <w:p>
            <w:pPr>
              <w:spacing w:before="0" w:after="0" w:line="264" w:lineRule="auto"/>
              <w:jc w:val="center"/>
            </w:pPr>
            <w:r>
              <w:rPr>
                <w:rFonts w:ascii="Times New Roman" w:hAnsi="Times New Roman"/>
                <w:b/>
                <w:color w:val="182B49"/>
                <w:sz w:val="17"/>
              </w:rPr>
              <w:t>Month 8</w:t>
              <w:br/>
              <w:t>(End of 8th Month)</w:t>
            </w:r>
          </w:p>
        </w:tc>
      </w:tr>
      <w:tr>
        <w:tc>
          <w:tcPr>
            <w:tcW w:type="dxa" w:w="864"/>
            <w:tcMar>
              <w:top w:w="100" w:type="dxa"/>
              <w:bottom w:w="100" w:type="dxa"/>
              <w:left w:w="120" w:type="dxa"/>
              <w:right w:w="120" w:type="dxa"/>
            </w:tcMar>
            <w:vAlign w:val="center"/>
            <w:shd w:fill="F4F7FB"/>
          </w:tcPr>
          <w:p>
            <w:pPr>
              <w:spacing w:before="0" w:after="0" w:line="264" w:lineRule="auto"/>
              <w:jc w:val="center"/>
            </w:pPr>
            <w:r>
              <w:rPr>
                <w:rFonts w:ascii="Times New Roman" w:hAnsi="Times New Roman"/>
                <w:b/>
                <w:sz w:val="17"/>
              </w:rPr>
              <w:t>5</w:t>
            </w:r>
          </w:p>
        </w:tc>
        <w:tc>
          <w:tcPr>
            <w:tcW w:type="dxa" w:w="5472"/>
            <w:tcMar>
              <w:top w:w="100" w:type="dxa"/>
              <w:bottom w:w="100" w:type="dxa"/>
              <w:left w:w="120" w:type="dxa"/>
              <w:right w:w="120" w:type="dxa"/>
            </w:tcMar>
            <w:vAlign w:val="center"/>
            <w:shd w:fill="F4F7FB"/>
          </w:tcPr>
          <w:p>
            <w:pPr>
              <w:spacing w:before="0" w:after="0" w:line="264" w:lineRule="auto"/>
            </w:pPr>
            <w:r>
              <w:rPr>
                <w:rFonts w:ascii="Times New Roman" w:hAnsi="Times New Roman"/>
                <w:color w:val="212529"/>
                <w:sz w:val="17"/>
              </w:rPr>
              <w:t>Milestone 5: IP65 Enclosure Packaging, Controlled Calibration Chamber Testing &amp; Stress Validation</w:t>
              <w:br/>
              <w:t>• Package sensor nodes into weatherproof IP65 ABS industrial electrical enclosures with cable glands and mounting brackets.</w:t>
              <w:br/>
              <w:t>• Perform controlled environmental hazard simulations (smoke canisters, LPG gas exposure, acoustic stress) in sealed test chamber to validate &lt;1.8% false positive rate.</w:t>
            </w:r>
          </w:p>
        </w:tc>
        <w:tc>
          <w:tcPr>
            <w:tcW w:type="dxa" w:w="1872"/>
            <w:tcMar>
              <w:top w:w="100" w:type="dxa"/>
              <w:bottom w:w="100" w:type="dxa"/>
              <w:left w:w="120" w:type="dxa"/>
              <w:right w:w="120" w:type="dxa"/>
            </w:tcMar>
            <w:vAlign w:val="center"/>
            <w:shd w:fill="F4F7FB"/>
          </w:tcPr>
          <w:p>
            <w:pPr>
              <w:spacing w:before="0" w:after="0" w:line="264" w:lineRule="auto"/>
              <w:jc w:val="center"/>
            </w:pPr>
            <w:r>
              <w:rPr>
                <w:rFonts w:ascii="Times New Roman" w:hAnsi="Times New Roman"/>
                <w:b/>
                <w:color w:val="182B49"/>
                <w:sz w:val="17"/>
              </w:rPr>
              <w:t>160 Hours</w:t>
            </w:r>
          </w:p>
        </w:tc>
        <w:tc>
          <w:tcPr>
            <w:tcW w:type="dxa" w:w="1872"/>
            <w:tcMar>
              <w:top w:w="100" w:type="dxa"/>
              <w:bottom w:w="100" w:type="dxa"/>
              <w:left w:w="120" w:type="dxa"/>
              <w:right w:w="120" w:type="dxa"/>
            </w:tcMar>
            <w:vAlign w:val="center"/>
            <w:shd w:fill="F4F7FB"/>
          </w:tcPr>
          <w:p>
            <w:pPr>
              <w:spacing w:before="0" w:after="0" w:line="264" w:lineRule="auto"/>
              <w:jc w:val="center"/>
            </w:pPr>
            <w:r>
              <w:rPr>
                <w:rFonts w:ascii="Times New Roman" w:hAnsi="Times New Roman"/>
                <w:b/>
                <w:color w:val="182B49"/>
                <w:sz w:val="17"/>
              </w:rPr>
              <w:t>Month 10</w:t>
              <w:br/>
              <w:t>(End of 10th Month)</w:t>
            </w:r>
          </w:p>
        </w:tc>
      </w:tr>
      <w:tr>
        <w:tc>
          <w:tcPr>
            <w:tcW w:type="dxa" w:w="864"/>
            <w:tcMar>
              <w:top w:w="100" w:type="dxa"/>
              <w:bottom w:w="100" w:type="dxa"/>
              <w:left w:w="120" w:type="dxa"/>
              <w:right w:w="120" w:type="dxa"/>
            </w:tcMar>
            <w:vAlign w:val="center"/>
          </w:tcPr>
          <w:p>
            <w:pPr>
              <w:spacing w:before="0" w:after="0" w:line="264" w:lineRule="auto"/>
              <w:jc w:val="center"/>
            </w:pPr>
            <w:r>
              <w:rPr>
                <w:rFonts w:ascii="Times New Roman" w:hAnsi="Times New Roman"/>
                <w:b/>
                <w:sz w:val="17"/>
              </w:rPr>
              <w:t>6</w:t>
            </w:r>
          </w:p>
        </w:tc>
        <w:tc>
          <w:tcPr>
            <w:tcW w:type="dxa" w:w="5472"/>
            <w:tcMar>
              <w:top w:w="100" w:type="dxa"/>
              <w:bottom w:w="100" w:type="dxa"/>
              <w:left w:w="120" w:type="dxa"/>
              <w:right w:w="120" w:type="dxa"/>
            </w:tcMar>
            <w:vAlign w:val="center"/>
          </w:tcPr>
          <w:p>
            <w:pPr>
              <w:spacing w:before="0" w:after="0" w:line="264" w:lineRule="auto"/>
            </w:pPr>
            <w:r>
              <w:rPr>
                <w:rFonts w:ascii="Times New Roman" w:hAnsi="Times New Roman"/>
                <w:color w:val="212529"/>
                <w:sz w:val="17"/>
              </w:rPr>
              <w:t>Milestone 6: Full-Scale Multi-Node Campus Testbed Deployment, Actuation SLA Optimization &amp; Final Delivery</w:t>
              <w:br/>
              <w:t>• Deploy 4 distributed edge sensor nodes across campus lab/corridor facilities.</w:t>
              <w:br/>
              <w:t>• Benchmark sub-250ms end-to-end actuation latency SLA, verify 100% air-gapped local mesh autonomy, and compile comprehensive engineering technical docket.</w:t>
            </w:r>
          </w:p>
        </w:tc>
        <w:tc>
          <w:tcPr>
            <w:tcW w:type="dxa" w:w="1872"/>
            <w:tcMar>
              <w:top w:w="100" w:type="dxa"/>
              <w:bottom w:w="100" w:type="dxa"/>
              <w:left w:w="120" w:type="dxa"/>
              <w:right w:w="120" w:type="dxa"/>
            </w:tcMar>
            <w:vAlign w:val="center"/>
          </w:tcPr>
          <w:p>
            <w:pPr>
              <w:spacing w:before="0" w:after="0" w:line="264" w:lineRule="auto"/>
              <w:jc w:val="center"/>
            </w:pPr>
            <w:r>
              <w:rPr>
                <w:rFonts w:ascii="Times New Roman" w:hAnsi="Times New Roman"/>
                <w:b/>
                <w:color w:val="182B49"/>
                <w:sz w:val="17"/>
              </w:rPr>
              <w:t>140 Hours</w:t>
            </w:r>
          </w:p>
        </w:tc>
        <w:tc>
          <w:tcPr>
            <w:tcW w:type="dxa" w:w="1872"/>
            <w:tcMar>
              <w:top w:w="100" w:type="dxa"/>
              <w:bottom w:w="100" w:type="dxa"/>
              <w:left w:w="120" w:type="dxa"/>
              <w:right w:w="120" w:type="dxa"/>
            </w:tcMar>
            <w:vAlign w:val="center"/>
          </w:tcPr>
          <w:p>
            <w:pPr>
              <w:spacing w:before="0" w:after="0" w:line="264" w:lineRule="auto"/>
              <w:jc w:val="center"/>
            </w:pPr>
            <w:r>
              <w:rPr>
                <w:rFonts w:ascii="Times New Roman" w:hAnsi="Times New Roman"/>
                <w:b/>
                <w:color w:val="182B49"/>
                <w:sz w:val="17"/>
              </w:rPr>
              <w:t>Month 12</w:t>
              <w:br/>
              <w:t>(End of 12th Month)</w:t>
            </w:r>
          </w:p>
        </w:tc>
      </w:tr>
    </w:tbl>
    <w:p>
      <w:pPr>
        <w:spacing w:before="80" w:after="160"/>
      </w:pPr>
      <w:r>
        <w:rPr>
          <w:rFonts w:ascii="Times New Roman" w:hAnsi="Times New Roman"/>
          <w:b/>
          <w:color w:val="2980B9"/>
          <w:sz w:val="19"/>
        </w:rPr>
        <w:t>Total Engineering Time: 1,000 Hours across 12 Months (1 Year)</w:t>
      </w:r>
    </w:p>
    <w:p>
      <w:pPr>
        <w:keepNext/>
        <w:spacing w:before="280" w:after="80"/>
      </w:pPr>
      <w:r>
        <w:rPr>
          <w:rFonts w:ascii="Times New Roman" w:hAnsi="Times New Roman"/>
          <w:b/>
          <w:color w:val="182B49"/>
          <w:sz w:val="28"/>
        </w:rPr>
        <w:t>Funding required (To achieve each milestone)</w:t>
      </w:r>
    </w:p>
    <w:p>
      <w:pPr>
        <w:spacing w:before="0" w:after="100" w:line="276" w:lineRule="auto"/>
      </w:pPr>
      <w:r>
        <w:rPr>
          <w:rFonts w:ascii="Times New Roman" w:hAnsi="Times New Roman"/>
          <w:b/>
          <w:color w:val="212529"/>
          <w:sz w:val="21"/>
        </w:rPr>
        <w:t xml:space="preserve">Financial Allocation Strategy (50% Advance Structure): </w:t>
      </w:r>
      <w:r>
        <w:rPr>
          <w:rFonts w:ascii="Times New Roman" w:hAnsi="Times New Roman"/>
          <w:color w:val="212529"/>
          <w:sz w:val="21"/>
        </w:rPr>
        <w:t>The requested total funding is exactly ₹30,000 INR, strictly maximized for tangible IoT hardware, physical sensor suites, embedded microcontrollers, test bench instruments, custom PCB prototyping, actuation hardware, and calibration equipment. In accordance with startup incubation guidelines, 50% of the funding (₹15,000 INR) is requested as an initial advance to procure the primary microcontrollers, core sensor suite, testing bench gear, and initial prototyping stock for Milestones 1 &amp; 2, with the remaining ₹15,000 INR allocated across subsequent milestones as specialized PCBs, actuators, enclosures, and test rigs are integrated.</w:t>
      </w:r>
    </w:p>
    <w:tbl>
      <w:tblPr>
        <w:tblW w:type="auto" w:w="0"/>
        <w:jc w:val="center"/>
        <w:tblLook w:firstColumn="1" w:firstRow="1" w:lastColumn="0" w:lastRow="0" w:noHBand="0" w:noVBand="1" w:val="04A0"/>
        <w:tblBorders>
          <w:top w:val="single" w:sz="4" w:space="0" w:color="BDC3C7"/>
          <w:bottom w:val="single" w:sz="4" w:space="0" w:color="BDC3C7"/>
          <w:left w:val="none" w:sz="0" w:space="0" w:color="auto"/>
          <w:right w:val="none" w:sz="0" w:space="0" w:color="auto"/>
          <w:insideH w:val="single" w:sz="4" w:space="0" w:color="BDC3C7"/>
          <w:insideV w:val="none" w:sz="0" w:space="0" w:color="auto"/>
        </w:tblBorders>
      </w:tblPr>
      <w:tblGrid>
        <w:gridCol w:w="2412"/>
        <w:gridCol w:w="2412"/>
        <w:gridCol w:w="2412"/>
        <w:gridCol w:w="2412"/>
      </w:tblGrid>
      <w:tr>
        <w:tc>
          <w:tcPr>
            <w:tcW w:type="dxa" w:w="864"/>
            <w:tcMar>
              <w:top w:w="90" w:type="dxa"/>
              <w:bottom w:w="90" w:type="dxa"/>
              <w:left w:w="100" w:type="dxa"/>
              <w:right w:w="100" w:type="dxa"/>
            </w:tcMar>
            <w:vAlign w:val="center"/>
            <w:shd w:fill="1B365D"/>
          </w:tcPr>
          <w:p>
            <w:pPr>
              <w:spacing w:before="0" w:after="0" w:line="252" w:lineRule="auto"/>
            </w:pPr>
            <w:r>
              <w:rPr>
                <w:rFonts w:ascii="Times New Roman" w:hAnsi="Times New Roman"/>
                <w:b/>
                <w:color w:val="FFFFFF"/>
                <w:sz w:val="19"/>
              </w:rPr>
              <w:t>Sr No</w:t>
            </w:r>
          </w:p>
        </w:tc>
        <w:tc>
          <w:tcPr>
            <w:tcW w:type="dxa" w:w="3312"/>
            <w:tcMar>
              <w:top w:w="90" w:type="dxa"/>
              <w:bottom w:w="90" w:type="dxa"/>
              <w:left w:w="100" w:type="dxa"/>
              <w:right w:w="100" w:type="dxa"/>
            </w:tcMar>
            <w:vAlign w:val="center"/>
            <w:shd w:fill="1B365D"/>
          </w:tcPr>
          <w:p>
            <w:pPr>
              <w:spacing w:before="0" w:after="0" w:line="252" w:lineRule="auto"/>
            </w:pPr>
            <w:r>
              <w:rPr>
                <w:rFonts w:ascii="Times New Roman" w:hAnsi="Times New Roman"/>
                <w:b/>
                <w:color w:val="FFFFFF"/>
                <w:sz w:val="19"/>
              </w:rPr>
              <w:t>Description/ Name of work</w:t>
            </w:r>
          </w:p>
        </w:tc>
        <w:tc>
          <w:tcPr>
            <w:tcW w:type="dxa" w:w="4464"/>
            <w:tcMar>
              <w:top w:w="90" w:type="dxa"/>
              <w:bottom w:w="90" w:type="dxa"/>
              <w:left w:w="100" w:type="dxa"/>
              <w:right w:w="100" w:type="dxa"/>
            </w:tcMar>
            <w:vAlign w:val="center"/>
            <w:shd w:fill="1B365D"/>
          </w:tcPr>
          <w:p>
            <w:pPr>
              <w:spacing w:before="0" w:after="0" w:line="252" w:lineRule="auto"/>
            </w:pPr>
            <w:r>
              <w:rPr>
                <w:rFonts w:ascii="Times New Roman" w:hAnsi="Times New Roman"/>
                <w:b/>
                <w:color w:val="FFFFFF"/>
                <w:sz w:val="19"/>
              </w:rPr>
              <w:t>Name of Product/service needed</w:t>
            </w:r>
          </w:p>
        </w:tc>
        <w:tc>
          <w:tcPr>
            <w:tcW w:type="dxa" w:w="1440"/>
            <w:tcMar>
              <w:top w:w="90" w:type="dxa"/>
              <w:bottom w:w="90" w:type="dxa"/>
              <w:left w:w="100" w:type="dxa"/>
              <w:right w:w="100" w:type="dxa"/>
            </w:tcMar>
            <w:vAlign w:val="center"/>
            <w:shd w:fill="1B365D"/>
          </w:tcPr>
          <w:p>
            <w:pPr>
              <w:spacing w:before="0" w:after="0" w:line="252" w:lineRule="auto"/>
            </w:pPr>
            <w:r>
              <w:rPr>
                <w:rFonts w:ascii="Times New Roman" w:hAnsi="Times New Roman"/>
                <w:b/>
                <w:color w:val="FFFFFF"/>
                <w:sz w:val="19"/>
              </w:rPr>
              <w:t>Approximate cost</w:t>
            </w:r>
          </w:p>
        </w:tc>
      </w:tr>
      <w:tr>
        <w:tc>
          <w:tcPr>
            <w:tcW w:type="dxa" w:w="864"/>
            <w:tcMar>
              <w:top w:w="90" w:type="dxa"/>
              <w:bottom w:w="90" w:type="dxa"/>
              <w:left w:w="100" w:type="dxa"/>
              <w:right w:w="100" w:type="dxa"/>
            </w:tcMar>
            <w:vAlign w:val="center"/>
            <w:shd w:fill="F4F7FB"/>
          </w:tcPr>
          <w:p>
            <w:pPr>
              <w:spacing w:before="0" w:after="0" w:line="252" w:lineRule="auto"/>
              <w:jc w:val="center"/>
            </w:pPr>
            <w:r>
              <w:rPr>
                <w:rFonts w:ascii="Times New Roman" w:hAnsi="Times New Roman"/>
                <w:b/>
                <w:color w:val="212529"/>
                <w:sz w:val="17"/>
              </w:rPr>
              <w:t>1</w:t>
            </w:r>
          </w:p>
        </w:tc>
        <w:tc>
          <w:tcPr>
            <w:tcW w:type="dxa" w:w="3312"/>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Milestone 1: Core Embedded Compute &amp; Edge Nodes (Advance)</w:t>
            </w:r>
          </w:p>
        </w:tc>
        <w:tc>
          <w:tcPr>
            <w:tcW w:type="dxa" w:w="4464"/>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ESP32-S3 Dual-Core N16R8 Development Boards (3 units @ ₹750) +</w:t>
              <w:br/>
              <w:t>NodeMCU ESP8266 Wi-Fi Microcontroller Auxiliary Units (2 units @ ₹350)</w:t>
            </w:r>
          </w:p>
        </w:tc>
        <w:tc>
          <w:tcPr>
            <w:tcW w:type="dxa" w:w="1440"/>
            <w:tcMar>
              <w:top w:w="90" w:type="dxa"/>
              <w:bottom w:w="90" w:type="dxa"/>
              <w:left w:w="100" w:type="dxa"/>
              <w:right w:w="100" w:type="dxa"/>
            </w:tcMar>
            <w:vAlign w:val="center"/>
            <w:shd w:fill="F4F7FB"/>
          </w:tcPr>
          <w:p>
            <w:pPr>
              <w:spacing w:before="0" w:after="0" w:line="252" w:lineRule="auto"/>
              <w:jc w:val="right"/>
            </w:pPr>
            <w:r>
              <w:rPr>
                <w:rFonts w:ascii="Times New Roman" w:hAnsi="Times New Roman"/>
                <w:b/>
                <w:color w:val="212529"/>
                <w:sz w:val="17"/>
              </w:rPr>
              <w:t>₹2,950</w:t>
            </w:r>
          </w:p>
        </w:tc>
      </w:tr>
      <w:tr>
        <w:tc>
          <w:tcPr>
            <w:tcW w:type="dxa" w:w="864"/>
            <w:tcMar>
              <w:top w:w="90" w:type="dxa"/>
              <w:bottom w:w="90" w:type="dxa"/>
              <w:left w:w="100" w:type="dxa"/>
              <w:right w:w="100" w:type="dxa"/>
            </w:tcMar>
            <w:vAlign w:val="center"/>
          </w:tcPr>
          <w:p>
            <w:pPr>
              <w:spacing w:before="0" w:after="0" w:line="252" w:lineRule="auto"/>
              <w:jc w:val="center"/>
            </w:pPr>
            <w:r>
              <w:rPr>
                <w:rFonts w:ascii="Times New Roman" w:hAnsi="Times New Roman"/>
                <w:b/>
                <w:color w:val="212529"/>
                <w:sz w:val="17"/>
              </w:rPr>
              <w:t>2</w:t>
            </w:r>
          </w:p>
        </w:tc>
        <w:tc>
          <w:tcPr>
            <w:tcW w:type="dxa" w:w="3312"/>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Milestone 1: Distributed Edge-Vision Nodes (Advance)</w:t>
            </w:r>
          </w:p>
        </w:tc>
        <w:tc>
          <w:tcPr>
            <w:tcW w:type="dxa" w:w="4464"/>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ESP32-CAM AI Vision Modules with OV2640 Optics &amp; IPEX Antenna Leads (2 units @ ₹850)</w:t>
            </w:r>
          </w:p>
        </w:tc>
        <w:tc>
          <w:tcPr>
            <w:tcW w:type="dxa" w:w="1440"/>
            <w:tcMar>
              <w:top w:w="90" w:type="dxa"/>
              <w:bottom w:w="90" w:type="dxa"/>
              <w:left w:w="100" w:type="dxa"/>
              <w:right w:w="100" w:type="dxa"/>
            </w:tcMar>
            <w:vAlign w:val="center"/>
          </w:tcPr>
          <w:p>
            <w:pPr>
              <w:spacing w:before="0" w:after="0" w:line="252" w:lineRule="auto"/>
              <w:jc w:val="right"/>
            </w:pPr>
            <w:r>
              <w:rPr>
                <w:rFonts w:ascii="Times New Roman" w:hAnsi="Times New Roman"/>
                <w:b/>
                <w:color w:val="212529"/>
                <w:sz w:val="17"/>
              </w:rPr>
              <w:t>₹1,700</w:t>
            </w:r>
          </w:p>
        </w:tc>
      </w:tr>
      <w:tr>
        <w:tc>
          <w:tcPr>
            <w:tcW w:type="dxa" w:w="864"/>
            <w:tcMar>
              <w:top w:w="90" w:type="dxa"/>
              <w:bottom w:w="90" w:type="dxa"/>
              <w:left w:w="100" w:type="dxa"/>
              <w:right w:w="100" w:type="dxa"/>
            </w:tcMar>
            <w:vAlign w:val="center"/>
            <w:shd w:fill="F4F7FB"/>
          </w:tcPr>
          <w:p>
            <w:pPr>
              <w:spacing w:before="0" w:after="0" w:line="252" w:lineRule="auto"/>
              <w:jc w:val="center"/>
            </w:pPr>
            <w:r>
              <w:rPr>
                <w:rFonts w:ascii="Times New Roman" w:hAnsi="Times New Roman"/>
                <w:b/>
                <w:color w:val="212529"/>
                <w:sz w:val="17"/>
              </w:rPr>
              <w:t>3</w:t>
            </w:r>
          </w:p>
        </w:tc>
        <w:tc>
          <w:tcPr>
            <w:tcW w:type="dxa" w:w="3312"/>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Milestone 1: Multi-Hazard Physical Gas &amp; Thermal Sensor Suite (Advance)</w:t>
            </w:r>
          </w:p>
        </w:tc>
        <w:tc>
          <w:tcPr>
            <w:tcW w:type="dxa" w:w="4464"/>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MQ-2 Flammable Gas/Smoke Sensors (3 units @ ₹220) +</w:t>
              <w:br/>
              <w:t>MQ-7 Toxic Carbon Monoxide Sensors (2 units @ ₹280) +</w:t>
              <w:br/>
              <w:t>DHT22/AM2302 Precision Digital Temperature &amp; Humidity Sensors (3 units @ ₹380)</w:t>
            </w:r>
          </w:p>
        </w:tc>
        <w:tc>
          <w:tcPr>
            <w:tcW w:type="dxa" w:w="1440"/>
            <w:tcMar>
              <w:top w:w="90" w:type="dxa"/>
              <w:bottom w:w="90" w:type="dxa"/>
              <w:left w:w="100" w:type="dxa"/>
              <w:right w:w="100" w:type="dxa"/>
            </w:tcMar>
            <w:vAlign w:val="center"/>
            <w:shd w:fill="F4F7FB"/>
          </w:tcPr>
          <w:p>
            <w:pPr>
              <w:spacing w:before="0" w:after="0" w:line="252" w:lineRule="auto"/>
              <w:jc w:val="right"/>
            </w:pPr>
            <w:r>
              <w:rPr>
                <w:rFonts w:ascii="Times New Roman" w:hAnsi="Times New Roman"/>
                <w:b/>
                <w:color w:val="212529"/>
                <w:sz w:val="17"/>
              </w:rPr>
              <w:t>₹2,360</w:t>
            </w:r>
          </w:p>
        </w:tc>
      </w:tr>
      <w:tr>
        <w:tc>
          <w:tcPr>
            <w:tcW w:type="dxa" w:w="864"/>
            <w:tcMar>
              <w:top w:w="90" w:type="dxa"/>
              <w:bottom w:w="90" w:type="dxa"/>
              <w:left w:w="100" w:type="dxa"/>
              <w:right w:w="100" w:type="dxa"/>
            </w:tcMar>
            <w:vAlign w:val="center"/>
          </w:tcPr>
          <w:p>
            <w:pPr>
              <w:spacing w:before="0" w:after="0" w:line="252" w:lineRule="auto"/>
              <w:jc w:val="center"/>
            </w:pPr>
            <w:r>
              <w:rPr>
                <w:rFonts w:ascii="Times New Roman" w:hAnsi="Times New Roman"/>
                <w:b/>
                <w:color w:val="212529"/>
                <w:sz w:val="17"/>
              </w:rPr>
              <w:t>4</w:t>
            </w:r>
          </w:p>
        </w:tc>
        <w:tc>
          <w:tcPr>
            <w:tcW w:type="dxa" w:w="3312"/>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Milestone 1: Acoustic Decibel, Motion &amp; Distance Detection Pack (Advance)</w:t>
            </w:r>
          </w:p>
        </w:tc>
        <w:tc>
          <w:tcPr>
            <w:tcW w:type="dxa" w:w="4464"/>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LM393 Acoustic Decibel High-Sensitivity Mic Modules (3 units @ ₹180) +</w:t>
              <w:br/>
              <w:t>HC-SR501 PIR Infrared Motion Sensors (4 units @ ₹150) +</w:t>
              <w:br/>
              <w:t>HC-SR04 Ultrasonic Distance Sensors (3 units @ ₹140)</w:t>
            </w:r>
          </w:p>
        </w:tc>
        <w:tc>
          <w:tcPr>
            <w:tcW w:type="dxa" w:w="1440"/>
            <w:tcMar>
              <w:top w:w="90" w:type="dxa"/>
              <w:bottom w:w="90" w:type="dxa"/>
              <w:left w:w="100" w:type="dxa"/>
              <w:right w:w="100" w:type="dxa"/>
            </w:tcMar>
            <w:vAlign w:val="center"/>
          </w:tcPr>
          <w:p>
            <w:pPr>
              <w:spacing w:before="0" w:after="0" w:line="252" w:lineRule="auto"/>
              <w:jc w:val="right"/>
            </w:pPr>
            <w:r>
              <w:rPr>
                <w:rFonts w:ascii="Times New Roman" w:hAnsi="Times New Roman"/>
                <w:b/>
                <w:color w:val="212529"/>
                <w:sz w:val="17"/>
              </w:rPr>
              <w:t>₹1,560</w:t>
            </w:r>
          </w:p>
        </w:tc>
      </w:tr>
      <w:tr>
        <w:tc>
          <w:tcPr>
            <w:tcW w:type="dxa" w:w="864"/>
            <w:tcMar>
              <w:top w:w="90" w:type="dxa"/>
              <w:bottom w:w="90" w:type="dxa"/>
              <w:left w:w="100" w:type="dxa"/>
              <w:right w:w="100" w:type="dxa"/>
            </w:tcMar>
            <w:vAlign w:val="center"/>
            <w:shd w:fill="F4F7FB"/>
          </w:tcPr>
          <w:p>
            <w:pPr>
              <w:spacing w:before="0" w:after="0" w:line="252" w:lineRule="auto"/>
              <w:jc w:val="center"/>
            </w:pPr>
            <w:r>
              <w:rPr>
                <w:rFonts w:ascii="Times New Roman" w:hAnsi="Times New Roman"/>
                <w:b/>
                <w:color w:val="212529"/>
                <w:sz w:val="17"/>
              </w:rPr>
              <w:t>5</w:t>
            </w:r>
          </w:p>
        </w:tc>
        <w:tc>
          <w:tcPr>
            <w:tcW w:type="dxa" w:w="3312"/>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Milestone 1: Test Bench Power &amp; Signal Measurement Gear (Advance)</w:t>
            </w:r>
          </w:p>
        </w:tc>
        <w:tc>
          <w:tcPr>
            <w:tcW w:type="dxa" w:w="4464"/>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12V 5A Regulated DC Power Supply (1 unit @ ₹650) +</w:t>
              <w:br/>
              <w:t>5V 3A Micro-USB/Type-C Regulated Adapters (3 units @ ₹320) +</w:t>
              <w:br/>
              <w:t>8-Channel 24MHz USB Logic Analyzer &amp; Digital Multimeter (1 unit @ ₹2,300)</w:t>
            </w:r>
          </w:p>
        </w:tc>
        <w:tc>
          <w:tcPr>
            <w:tcW w:type="dxa" w:w="1440"/>
            <w:tcMar>
              <w:top w:w="90" w:type="dxa"/>
              <w:bottom w:w="90" w:type="dxa"/>
              <w:left w:w="100" w:type="dxa"/>
              <w:right w:w="100" w:type="dxa"/>
            </w:tcMar>
            <w:vAlign w:val="center"/>
            <w:shd w:fill="F4F7FB"/>
          </w:tcPr>
          <w:p>
            <w:pPr>
              <w:spacing w:before="0" w:after="0" w:line="252" w:lineRule="auto"/>
              <w:jc w:val="right"/>
            </w:pPr>
            <w:r>
              <w:rPr>
                <w:rFonts w:ascii="Times New Roman" w:hAnsi="Times New Roman"/>
                <w:b/>
                <w:color w:val="212529"/>
                <w:sz w:val="17"/>
              </w:rPr>
              <w:t>₹3,910</w:t>
            </w:r>
          </w:p>
        </w:tc>
      </w:tr>
      <w:tr>
        <w:tc>
          <w:tcPr>
            <w:tcW w:type="dxa" w:w="864"/>
            <w:tcMar>
              <w:top w:w="90" w:type="dxa"/>
              <w:bottom w:w="90" w:type="dxa"/>
              <w:left w:w="100" w:type="dxa"/>
              <w:right w:w="100" w:type="dxa"/>
            </w:tcMar>
            <w:vAlign w:val="center"/>
          </w:tcPr>
          <w:p>
            <w:pPr>
              <w:spacing w:before="0" w:after="0" w:line="252" w:lineRule="auto"/>
              <w:jc w:val="center"/>
            </w:pPr>
            <w:r>
              <w:rPr>
                <w:rFonts w:ascii="Times New Roman" w:hAnsi="Times New Roman"/>
                <w:b/>
                <w:color w:val="212529"/>
                <w:sz w:val="17"/>
              </w:rPr>
              <w:t>6</w:t>
            </w:r>
          </w:p>
        </w:tc>
        <w:tc>
          <w:tcPr>
            <w:tcW w:type="dxa" w:w="3312"/>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Milestone 2: Power Management &amp; Prototyping Consumables (Advance)</w:t>
            </w:r>
          </w:p>
        </w:tc>
        <w:tc>
          <w:tcPr>
            <w:tcW w:type="dxa" w:w="4464"/>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18650 Li-ion Cells (4 units @ ₹250) + 2S/3S Battery Management BMS (2 units @ ₹225) +</w:t>
              <w:br/>
              <w:t>LM2596 DC-DC Step-Down Buck Converters (4 units @ ₹140) +</w:t>
              <w:br/>
              <w:t>Solderless Breadboards, Jumper Wire Bundles, Zero PCBs &amp; Connectors</w:t>
            </w:r>
          </w:p>
        </w:tc>
        <w:tc>
          <w:tcPr>
            <w:tcW w:type="dxa" w:w="1440"/>
            <w:tcMar>
              <w:top w:w="90" w:type="dxa"/>
              <w:bottom w:w="90" w:type="dxa"/>
              <w:left w:w="100" w:type="dxa"/>
              <w:right w:w="100" w:type="dxa"/>
            </w:tcMar>
            <w:vAlign w:val="center"/>
          </w:tcPr>
          <w:p>
            <w:pPr>
              <w:spacing w:before="0" w:after="0" w:line="252" w:lineRule="auto"/>
              <w:jc w:val="right"/>
            </w:pPr>
            <w:r>
              <w:rPr>
                <w:rFonts w:ascii="Times New Roman" w:hAnsi="Times New Roman"/>
                <w:b/>
                <w:color w:val="212529"/>
                <w:sz w:val="17"/>
              </w:rPr>
              <w:t>₹2,520</w:t>
            </w:r>
          </w:p>
        </w:tc>
      </w:tr>
      <w:tr>
        <w:tc>
          <w:tcPr>
            <w:tcW w:type="dxa" w:w="864"/>
            <w:tcMar>
              <w:top w:w="90" w:type="dxa"/>
              <w:bottom w:w="90" w:type="dxa"/>
              <w:left w:w="100" w:type="dxa"/>
              <w:right w:w="100" w:type="dxa"/>
            </w:tcMar>
            <w:vAlign w:val="center"/>
            <w:shd w:fill="EAECEE"/>
          </w:tcPr>
          <w:p>
            <w:pPr>
              <w:spacing w:before="0" w:after="0" w:line="252" w:lineRule="auto"/>
            </w:pPr>
            <w:r>
              <w:rPr>
                <w:rFonts w:ascii="Times New Roman" w:hAnsi="Times New Roman"/>
                <w:b/>
                <w:color w:val="182B49"/>
                <w:sz w:val="18"/>
              </w:rPr>
            </w:r>
          </w:p>
        </w:tc>
        <w:tc>
          <w:tcPr>
            <w:tcW w:type="dxa" w:w="3312"/>
            <w:tcMar>
              <w:top w:w="90" w:type="dxa"/>
              <w:bottom w:w="90" w:type="dxa"/>
              <w:left w:w="100" w:type="dxa"/>
              <w:right w:w="100" w:type="dxa"/>
            </w:tcMar>
            <w:vAlign w:val="center"/>
            <w:shd w:fill="EAECEE"/>
          </w:tcPr>
          <w:p>
            <w:pPr>
              <w:spacing w:before="0" w:after="0" w:line="252" w:lineRule="auto"/>
            </w:pPr>
            <w:r>
              <w:rPr>
                <w:rFonts w:ascii="Times New Roman" w:hAnsi="Times New Roman"/>
                <w:b/>
                <w:color w:val="182B49"/>
                <w:sz w:val="18"/>
              </w:rPr>
              <w:t>Subtotal: Phase 1 Initial Advance Requirement (50% Upfront)</w:t>
            </w:r>
          </w:p>
        </w:tc>
        <w:tc>
          <w:tcPr>
            <w:tcW w:type="dxa" w:w="4464"/>
            <w:tcMar>
              <w:top w:w="90" w:type="dxa"/>
              <w:bottom w:w="90" w:type="dxa"/>
              <w:left w:w="100" w:type="dxa"/>
              <w:right w:w="100" w:type="dxa"/>
            </w:tcMar>
            <w:vAlign w:val="center"/>
            <w:shd w:fill="EAECEE"/>
          </w:tcPr>
          <w:p>
            <w:pPr>
              <w:spacing w:before="0" w:after="0" w:line="252" w:lineRule="auto"/>
            </w:pPr>
            <w:r>
              <w:rPr>
                <w:rFonts w:ascii="Times New Roman" w:hAnsi="Times New Roman"/>
                <w:b/>
                <w:color w:val="182B49"/>
                <w:sz w:val="18"/>
              </w:rPr>
              <w:t>Core Microcontrollers, Sensor Suite, Test Bench Instruments &amp; Power Management</w:t>
            </w:r>
          </w:p>
        </w:tc>
        <w:tc>
          <w:tcPr>
            <w:tcW w:type="dxa" w:w="1440"/>
            <w:tcMar>
              <w:top w:w="90" w:type="dxa"/>
              <w:bottom w:w="90" w:type="dxa"/>
              <w:left w:w="100" w:type="dxa"/>
              <w:right w:w="100" w:type="dxa"/>
            </w:tcMar>
            <w:vAlign w:val="center"/>
            <w:shd w:fill="EAECEE"/>
          </w:tcPr>
          <w:p>
            <w:pPr>
              <w:spacing w:before="0" w:after="0" w:line="252" w:lineRule="auto"/>
              <w:jc w:val="right"/>
            </w:pPr>
            <w:r>
              <w:rPr>
                <w:rFonts w:ascii="Times New Roman" w:hAnsi="Times New Roman"/>
                <w:b/>
                <w:color w:val="182B49"/>
                <w:sz w:val="18"/>
              </w:rPr>
              <w:t>₹15,000</w:t>
            </w:r>
          </w:p>
        </w:tc>
      </w:tr>
      <w:tr>
        <w:tc>
          <w:tcPr>
            <w:tcW w:type="dxa" w:w="864"/>
            <w:tcMar>
              <w:top w:w="90" w:type="dxa"/>
              <w:bottom w:w="90" w:type="dxa"/>
              <w:left w:w="100" w:type="dxa"/>
              <w:right w:w="100" w:type="dxa"/>
            </w:tcMar>
            <w:vAlign w:val="center"/>
          </w:tcPr>
          <w:p>
            <w:pPr>
              <w:spacing w:before="0" w:after="0" w:line="252" w:lineRule="auto"/>
              <w:jc w:val="center"/>
            </w:pPr>
            <w:r>
              <w:rPr>
                <w:rFonts w:ascii="Times New Roman" w:hAnsi="Times New Roman"/>
                <w:b/>
                <w:color w:val="212529"/>
                <w:sz w:val="17"/>
              </w:rPr>
              <w:t>7</w:t>
            </w:r>
          </w:p>
        </w:tc>
        <w:tc>
          <w:tcPr>
            <w:tcW w:type="dxa" w:w="3312"/>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Milestone 3: Custom PCB Fabrication &amp; Component Assembly (Tranche 2)</w:t>
            </w:r>
          </w:p>
        </w:tc>
        <w:tc>
          <w:tcPr>
            <w:tcW w:type="dxa" w:w="4464"/>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Custom 2-Layer FR4 IoT Sensor Node PCB Batch (10 pcs via LionCircuits/Indian Fab) +</w:t>
              <w:br/>
              <w:t>SMD/DIP Stencil, Terminal Blocks, Filtering Capacitors &amp; Precision Resistor Assortment</w:t>
            </w:r>
          </w:p>
        </w:tc>
        <w:tc>
          <w:tcPr>
            <w:tcW w:type="dxa" w:w="1440"/>
            <w:tcMar>
              <w:top w:w="90" w:type="dxa"/>
              <w:bottom w:w="90" w:type="dxa"/>
              <w:left w:w="100" w:type="dxa"/>
              <w:right w:w="100" w:type="dxa"/>
            </w:tcMar>
            <w:vAlign w:val="center"/>
          </w:tcPr>
          <w:p>
            <w:pPr>
              <w:spacing w:before="0" w:after="0" w:line="252" w:lineRule="auto"/>
              <w:jc w:val="right"/>
            </w:pPr>
            <w:r>
              <w:rPr>
                <w:rFonts w:ascii="Times New Roman" w:hAnsi="Times New Roman"/>
                <w:b/>
                <w:color w:val="212529"/>
                <w:sz w:val="17"/>
              </w:rPr>
              <w:t>₹2,800</w:t>
            </w:r>
          </w:p>
        </w:tc>
      </w:tr>
      <w:tr>
        <w:tc>
          <w:tcPr>
            <w:tcW w:type="dxa" w:w="864"/>
            <w:tcMar>
              <w:top w:w="90" w:type="dxa"/>
              <w:bottom w:w="90" w:type="dxa"/>
              <w:left w:w="100" w:type="dxa"/>
              <w:right w:w="100" w:type="dxa"/>
            </w:tcMar>
            <w:vAlign w:val="center"/>
            <w:shd w:fill="F4F7FB"/>
          </w:tcPr>
          <w:p>
            <w:pPr>
              <w:spacing w:before="0" w:after="0" w:line="252" w:lineRule="auto"/>
              <w:jc w:val="center"/>
            </w:pPr>
            <w:r>
              <w:rPr>
                <w:rFonts w:ascii="Times New Roman" w:hAnsi="Times New Roman"/>
                <w:b/>
                <w:color w:val="212529"/>
                <w:sz w:val="17"/>
              </w:rPr>
              <w:t>8</w:t>
            </w:r>
          </w:p>
        </w:tc>
        <w:tc>
          <w:tcPr>
            <w:tcW w:type="dxa" w:w="3312"/>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Milestone 3: Physical Actuators &amp; High-Current Relays (Tranche 2)</w:t>
            </w:r>
          </w:p>
        </w:tc>
        <w:tc>
          <w:tcPr>
            <w:tcW w:type="dxa" w:w="4464"/>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Optocoupled 4-Channel 5V Relay Boards (2 units @ ₹280) +</w:t>
              <w:br/>
              <w:t>12V Solenoid Electric Emergency Drop-Bolt Lock Prototype (1 unit @ ₹950) +</w:t>
              <w:br/>
              <w:t>12V 1/2-Inch Brass Emergency Solenoid Gas Cutoff Valve (1 unit @ ₹1,250)</w:t>
            </w:r>
          </w:p>
        </w:tc>
        <w:tc>
          <w:tcPr>
            <w:tcW w:type="dxa" w:w="1440"/>
            <w:tcMar>
              <w:top w:w="90" w:type="dxa"/>
              <w:bottom w:w="90" w:type="dxa"/>
              <w:left w:w="100" w:type="dxa"/>
              <w:right w:w="100" w:type="dxa"/>
            </w:tcMar>
            <w:vAlign w:val="center"/>
            <w:shd w:fill="F4F7FB"/>
          </w:tcPr>
          <w:p>
            <w:pPr>
              <w:spacing w:before="0" w:after="0" w:line="252" w:lineRule="auto"/>
              <w:jc w:val="right"/>
            </w:pPr>
            <w:r>
              <w:rPr>
                <w:rFonts w:ascii="Times New Roman" w:hAnsi="Times New Roman"/>
                <w:b/>
                <w:color w:val="212529"/>
                <w:sz w:val="17"/>
              </w:rPr>
              <w:t>₹2,760</w:t>
            </w:r>
          </w:p>
        </w:tc>
      </w:tr>
      <w:tr>
        <w:tc>
          <w:tcPr>
            <w:tcW w:type="dxa" w:w="864"/>
            <w:tcMar>
              <w:top w:w="90" w:type="dxa"/>
              <w:bottom w:w="90" w:type="dxa"/>
              <w:left w:w="100" w:type="dxa"/>
              <w:right w:w="100" w:type="dxa"/>
            </w:tcMar>
            <w:vAlign w:val="center"/>
          </w:tcPr>
          <w:p>
            <w:pPr>
              <w:spacing w:before="0" w:after="0" w:line="252" w:lineRule="auto"/>
              <w:jc w:val="center"/>
            </w:pPr>
            <w:r>
              <w:rPr>
                <w:rFonts w:ascii="Times New Roman" w:hAnsi="Times New Roman"/>
                <w:b/>
                <w:color w:val="212529"/>
                <w:sz w:val="17"/>
              </w:rPr>
              <w:t>9</w:t>
            </w:r>
          </w:p>
        </w:tc>
        <w:tc>
          <w:tcPr>
            <w:tcW w:type="dxa" w:w="3312"/>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Milestone 4: Industrial Alarm Sirens &amp; Status Displays (Tranche 3)</w:t>
            </w:r>
          </w:p>
        </w:tc>
        <w:tc>
          <w:tcPr>
            <w:tcW w:type="dxa" w:w="4464"/>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12V 110dB Emergency Alarm Strobe Flasher Sirens (2 units @ ₹650) +</w:t>
              <w:br/>
              <w:t>0.96-Inch I2C OLED &amp; 20x4 LCD Status Displays (3 units @ ₹250) +</w:t>
              <w:br/>
              <w:t>RC522 RFID / NFC Reader Modules &amp; Access Tags (2 units @ ₹220)</w:t>
            </w:r>
          </w:p>
        </w:tc>
        <w:tc>
          <w:tcPr>
            <w:tcW w:type="dxa" w:w="1440"/>
            <w:tcMar>
              <w:top w:w="90" w:type="dxa"/>
              <w:bottom w:w="90" w:type="dxa"/>
              <w:left w:w="100" w:type="dxa"/>
              <w:right w:w="100" w:type="dxa"/>
            </w:tcMar>
            <w:vAlign w:val="center"/>
          </w:tcPr>
          <w:p>
            <w:pPr>
              <w:spacing w:before="0" w:after="0" w:line="252" w:lineRule="auto"/>
              <w:jc w:val="right"/>
            </w:pPr>
            <w:r>
              <w:rPr>
                <w:rFonts w:ascii="Times New Roman" w:hAnsi="Times New Roman"/>
                <w:b/>
                <w:color w:val="212529"/>
                <w:sz w:val="17"/>
              </w:rPr>
              <w:t>₹2,490</w:t>
            </w:r>
          </w:p>
        </w:tc>
      </w:tr>
      <w:tr>
        <w:tc>
          <w:tcPr>
            <w:tcW w:type="dxa" w:w="864"/>
            <w:tcMar>
              <w:top w:w="90" w:type="dxa"/>
              <w:bottom w:w="90" w:type="dxa"/>
              <w:left w:w="100" w:type="dxa"/>
              <w:right w:w="100" w:type="dxa"/>
            </w:tcMar>
            <w:vAlign w:val="center"/>
            <w:shd w:fill="F4F7FB"/>
          </w:tcPr>
          <w:p>
            <w:pPr>
              <w:spacing w:before="0" w:after="0" w:line="252" w:lineRule="auto"/>
              <w:jc w:val="center"/>
            </w:pPr>
            <w:r>
              <w:rPr>
                <w:rFonts w:ascii="Times New Roman" w:hAnsi="Times New Roman"/>
                <w:b/>
                <w:color w:val="212529"/>
                <w:sz w:val="17"/>
              </w:rPr>
              <w:t>10</w:t>
            </w:r>
          </w:p>
        </w:tc>
        <w:tc>
          <w:tcPr>
            <w:tcW w:type="dxa" w:w="3312"/>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Milestone 4: Long-Range RF Mesh &amp; Interconnect Gear (Tranche 3)</w:t>
            </w:r>
          </w:p>
        </w:tc>
        <w:tc>
          <w:tcPr>
            <w:tcW w:type="dxa" w:w="4464"/>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NRF24L01+ PA/LNA 2.4GHz Long-Range RF Transceiver Modules with Antennas (2 units @ ₹350) +</w:t>
              <w:br/>
              <w:t>2.4GHz 5dBi High-Gain Omni Antennas with SMA Pigtails (4 units @ ₹220) +</w:t>
              <w:br/>
              <w:t>8-Port Fast Ethernet Desktop Switch for Wired Bench Interconnect (1 unit @ ₹950)</w:t>
            </w:r>
          </w:p>
        </w:tc>
        <w:tc>
          <w:tcPr>
            <w:tcW w:type="dxa" w:w="1440"/>
            <w:tcMar>
              <w:top w:w="90" w:type="dxa"/>
              <w:bottom w:w="90" w:type="dxa"/>
              <w:left w:w="100" w:type="dxa"/>
              <w:right w:w="100" w:type="dxa"/>
            </w:tcMar>
            <w:vAlign w:val="center"/>
            <w:shd w:fill="F4F7FB"/>
          </w:tcPr>
          <w:p>
            <w:pPr>
              <w:spacing w:before="0" w:after="0" w:line="252" w:lineRule="auto"/>
              <w:jc w:val="right"/>
            </w:pPr>
            <w:r>
              <w:rPr>
                <w:rFonts w:ascii="Times New Roman" w:hAnsi="Times New Roman"/>
                <w:b/>
                <w:color w:val="212529"/>
                <w:sz w:val="17"/>
              </w:rPr>
              <w:t>₹2,530</w:t>
            </w:r>
          </w:p>
        </w:tc>
      </w:tr>
      <w:tr>
        <w:tc>
          <w:tcPr>
            <w:tcW w:type="dxa" w:w="864"/>
            <w:tcMar>
              <w:top w:w="90" w:type="dxa"/>
              <w:bottom w:w="90" w:type="dxa"/>
              <w:left w:w="100" w:type="dxa"/>
              <w:right w:w="100" w:type="dxa"/>
            </w:tcMar>
            <w:vAlign w:val="center"/>
          </w:tcPr>
          <w:p>
            <w:pPr>
              <w:spacing w:before="0" w:after="0" w:line="252" w:lineRule="auto"/>
              <w:jc w:val="center"/>
            </w:pPr>
            <w:r>
              <w:rPr>
                <w:rFonts w:ascii="Times New Roman" w:hAnsi="Times New Roman"/>
                <w:b/>
                <w:color w:val="212529"/>
                <w:sz w:val="17"/>
              </w:rPr>
              <w:t>11</w:t>
            </w:r>
          </w:p>
        </w:tc>
        <w:tc>
          <w:tcPr>
            <w:tcW w:type="dxa" w:w="3312"/>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Milestone 5: Weatherproof Enclosures &amp; Mounting Hardware (Tranche 4)</w:t>
            </w:r>
          </w:p>
        </w:tc>
        <w:tc>
          <w:tcPr>
            <w:tcW w:type="dxa" w:w="4464"/>
            <w:tcMar>
              <w:top w:w="90" w:type="dxa"/>
              <w:bottom w:w="90" w:type="dxa"/>
              <w:left w:w="100" w:type="dxa"/>
              <w:right w:w="100" w:type="dxa"/>
            </w:tcMar>
            <w:vAlign w:val="center"/>
          </w:tcPr>
          <w:p>
            <w:pPr>
              <w:spacing w:before="0" w:after="0" w:line="252" w:lineRule="auto"/>
            </w:pPr>
            <w:r>
              <w:rPr>
                <w:rFonts w:ascii="Times New Roman" w:hAnsi="Times New Roman"/>
                <w:color w:val="212529"/>
                <w:sz w:val="17"/>
              </w:rPr>
              <w:t>IP65 ABS Weatherproof Industrial Project Enclosures (4 units @ ₹450) +</w:t>
              <w:br/>
              <w:t>PG7 Waterproof Cable Glands, Brass Standoffs, Screws, and Wall Mounting Brackets</w:t>
            </w:r>
          </w:p>
        </w:tc>
        <w:tc>
          <w:tcPr>
            <w:tcW w:type="dxa" w:w="1440"/>
            <w:tcMar>
              <w:top w:w="90" w:type="dxa"/>
              <w:bottom w:w="90" w:type="dxa"/>
              <w:left w:w="100" w:type="dxa"/>
              <w:right w:w="100" w:type="dxa"/>
            </w:tcMar>
            <w:vAlign w:val="center"/>
          </w:tcPr>
          <w:p>
            <w:pPr>
              <w:spacing w:before="0" w:after="0" w:line="252" w:lineRule="auto"/>
              <w:jc w:val="right"/>
            </w:pPr>
            <w:r>
              <w:rPr>
                <w:rFonts w:ascii="Times New Roman" w:hAnsi="Times New Roman"/>
                <w:b/>
                <w:color w:val="212529"/>
                <w:sz w:val="17"/>
              </w:rPr>
              <w:t>₹2,450</w:t>
            </w:r>
          </w:p>
        </w:tc>
      </w:tr>
      <w:tr>
        <w:tc>
          <w:tcPr>
            <w:tcW w:type="dxa" w:w="864"/>
            <w:tcMar>
              <w:top w:w="90" w:type="dxa"/>
              <w:bottom w:w="90" w:type="dxa"/>
              <w:left w:w="100" w:type="dxa"/>
              <w:right w:w="100" w:type="dxa"/>
            </w:tcMar>
            <w:vAlign w:val="center"/>
            <w:shd w:fill="F4F7FB"/>
          </w:tcPr>
          <w:p>
            <w:pPr>
              <w:spacing w:before="0" w:after="0" w:line="252" w:lineRule="auto"/>
              <w:jc w:val="center"/>
            </w:pPr>
            <w:r>
              <w:rPr>
                <w:rFonts w:ascii="Times New Roman" w:hAnsi="Times New Roman"/>
                <w:b/>
                <w:color w:val="212529"/>
                <w:sz w:val="17"/>
              </w:rPr>
              <w:t>12</w:t>
            </w:r>
          </w:p>
        </w:tc>
        <w:tc>
          <w:tcPr>
            <w:tcW w:type="dxa" w:w="3312"/>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Milestone 6: Precision Calibration Rig &amp; Field Deployment Bench (Tranche 5)</w:t>
            </w:r>
          </w:p>
        </w:tc>
        <w:tc>
          <w:tcPr>
            <w:tcW w:type="dxa" w:w="4464"/>
            <w:tcMar>
              <w:top w:w="90" w:type="dxa"/>
              <w:bottom w:w="90" w:type="dxa"/>
              <w:left w:w="100" w:type="dxa"/>
              <w:right w:w="100" w:type="dxa"/>
            </w:tcMar>
            <w:vAlign w:val="center"/>
            <w:shd w:fill="F4F7FB"/>
          </w:tcPr>
          <w:p>
            <w:pPr>
              <w:spacing w:before="0" w:after="0" w:line="252" w:lineRule="auto"/>
            </w:pPr>
            <w:r>
              <w:rPr>
                <w:rFonts w:ascii="Times New Roman" w:hAnsi="Times New Roman"/>
                <w:color w:val="212529"/>
                <w:sz w:val="17"/>
              </w:rPr>
              <w:t>Sealed Acrylic Multi-Gas/Smoke Calibration Test Rig Chamber +</w:t>
              <w:br/>
              <w:t>Aerosol Smoke Test Canisters, Needle Valves, Fitting Couplers &amp; Tubing</w:t>
            </w:r>
          </w:p>
        </w:tc>
        <w:tc>
          <w:tcPr>
            <w:tcW w:type="dxa" w:w="1440"/>
            <w:tcMar>
              <w:top w:w="90" w:type="dxa"/>
              <w:bottom w:w="90" w:type="dxa"/>
              <w:left w:w="100" w:type="dxa"/>
              <w:right w:w="100" w:type="dxa"/>
            </w:tcMar>
            <w:vAlign w:val="center"/>
            <w:shd w:fill="F4F7FB"/>
          </w:tcPr>
          <w:p>
            <w:pPr>
              <w:spacing w:before="0" w:after="0" w:line="252" w:lineRule="auto"/>
              <w:jc w:val="right"/>
            </w:pPr>
            <w:r>
              <w:rPr>
                <w:rFonts w:ascii="Times New Roman" w:hAnsi="Times New Roman"/>
                <w:b/>
                <w:color w:val="212529"/>
                <w:sz w:val="17"/>
              </w:rPr>
              <w:t>₹1,970</w:t>
            </w:r>
          </w:p>
        </w:tc>
      </w:tr>
      <w:tr>
        <w:tc>
          <w:tcPr>
            <w:tcW w:type="dxa" w:w="864"/>
            <w:tcMar>
              <w:top w:w="90" w:type="dxa"/>
              <w:bottom w:w="90" w:type="dxa"/>
              <w:left w:w="100" w:type="dxa"/>
              <w:right w:w="100" w:type="dxa"/>
            </w:tcMar>
            <w:vAlign w:val="center"/>
            <w:shd w:fill="EAECEE"/>
          </w:tcPr>
          <w:p>
            <w:pPr>
              <w:spacing w:before="0" w:after="0" w:line="252" w:lineRule="auto"/>
            </w:pPr>
            <w:r>
              <w:rPr>
                <w:rFonts w:ascii="Times New Roman" w:hAnsi="Times New Roman"/>
                <w:b/>
                <w:color w:val="182B49"/>
                <w:sz w:val="18"/>
              </w:rPr>
            </w:r>
          </w:p>
        </w:tc>
        <w:tc>
          <w:tcPr>
            <w:tcW w:type="dxa" w:w="3312"/>
            <w:tcMar>
              <w:top w:w="90" w:type="dxa"/>
              <w:bottom w:w="90" w:type="dxa"/>
              <w:left w:w="100" w:type="dxa"/>
              <w:right w:w="100" w:type="dxa"/>
            </w:tcMar>
            <w:vAlign w:val="center"/>
            <w:shd w:fill="EAECEE"/>
          </w:tcPr>
          <w:p>
            <w:pPr>
              <w:spacing w:before="0" w:after="0" w:line="252" w:lineRule="auto"/>
            </w:pPr>
            <w:r>
              <w:rPr>
                <w:rFonts w:ascii="Times New Roman" w:hAnsi="Times New Roman"/>
                <w:b/>
                <w:color w:val="182B49"/>
                <w:sz w:val="18"/>
              </w:rPr>
              <w:t>Subtotal: Phase 2 Subsequent Milestone Tranches (Milestones 3 to 6)</w:t>
            </w:r>
          </w:p>
        </w:tc>
        <w:tc>
          <w:tcPr>
            <w:tcW w:type="dxa" w:w="4464"/>
            <w:tcMar>
              <w:top w:w="90" w:type="dxa"/>
              <w:bottom w:w="90" w:type="dxa"/>
              <w:left w:w="100" w:type="dxa"/>
              <w:right w:w="100" w:type="dxa"/>
            </w:tcMar>
            <w:vAlign w:val="center"/>
            <w:shd w:fill="EAECEE"/>
          </w:tcPr>
          <w:p>
            <w:pPr>
              <w:spacing w:before="0" w:after="0" w:line="252" w:lineRule="auto"/>
            </w:pPr>
            <w:r>
              <w:rPr>
                <w:rFonts w:ascii="Times New Roman" w:hAnsi="Times New Roman"/>
                <w:b/>
                <w:color w:val="182B49"/>
                <w:sz w:val="18"/>
              </w:rPr>
              <w:t>Custom PCBs, Actuators, Industrial Sirens, RF Mesh, IP65 Cases &amp; Calibration Chamber</w:t>
            </w:r>
          </w:p>
        </w:tc>
        <w:tc>
          <w:tcPr>
            <w:tcW w:type="dxa" w:w="1440"/>
            <w:tcMar>
              <w:top w:w="90" w:type="dxa"/>
              <w:bottom w:w="90" w:type="dxa"/>
              <w:left w:w="100" w:type="dxa"/>
              <w:right w:w="100" w:type="dxa"/>
            </w:tcMar>
            <w:vAlign w:val="center"/>
            <w:shd w:fill="EAECEE"/>
          </w:tcPr>
          <w:p>
            <w:pPr>
              <w:spacing w:before="0" w:after="0" w:line="252" w:lineRule="auto"/>
              <w:jc w:val="right"/>
            </w:pPr>
            <w:r>
              <w:rPr>
                <w:rFonts w:ascii="Times New Roman" w:hAnsi="Times New Roman"/>
                <w:b/>
                <w:color w:val="182B49"/>
                <w:sz w:val="18"/>
              </w:rPr>
              <w:t>₹15,000</w:t>
            </w:r>
          </w:p>
        </w:tc>
      </w:tr>
      <w:tr>
        <w:tc>
          <w:tcPr>
            <w:tcW w:type="dxa" w:w="864"/>
            <w:tcMar>
              <w:top w:w="90" w:type="dxa"/>
              <w:bottom w:w="90" w:type="dxa"/>
              <w:left w:w="100" w:type="dxa"/>
              <w:right w:w="100" w:type="dxa"/>
            </w:tcMar>
            <w:vAlign w:val="center"/>
            <w:shd w:fill="D4EFDF"/>
          </w:tcPr>
          <w:p>
            <w:pPr>
              <w:spacing w:before="0" w:after="0" w:line="252" w:lineRule="auto"/>
            </w:pPr>
            <w:r>
              <w:rPr>
                <w:rFonts w:ascii="Times New Roman" w:hAnsi="Times New Roman"/>
                <w:b/>
                <w:color w:val="145A32"/>
                <w:sz w:val="20"/>
              </w:rPr>
            </w:r>
          </w:p>
        </w:tc>
        <w:tc>
          <w:tcPr>
            <w:tcW w:type="dxa" w:w="3312"/>
            <w:tcMar>
              <w:top w:w="90" w:type="dxa"/>
              <w:bottom w:w="90" w:type="dxa"/>
              <w:left w:w="100" w:type="dxa"/>
              <w:right w:w="100" w:type="dxa"/>
            </w:tcMar>
            <w:vAlign w:val="center"/>
            <w:shd w:fill="D4EFDF"/>
          </w:tcPr>
          <w:p>
            <w:pPr>
              <w:spacing w:before="0" w:after="0" w:line="252" w:lineRule="auto"/>
            </w:pPr>
            <w:r>
              <w:rPr>
                <w:rFonts w:ascii="Times New Roman" w:hAnsi="Times New Roman"/>
                <w:b/>
                <w:color w:val="145A32"/>
                <w:sz w:val="20"/>
              </w:rPr>
              <w:t>TOTAL FUNDING REQUIRED (100% Maximize IoT &amp; Embedded Hardware)</w:t>
            </w:r>
          </w:p>
        </w:tc>
        <w:tc>
          <w:tcPr>
            <w:tcW w:type="dxa" w:w="4464"/>
            <w:tcMar>
              <w:top w:w="90" w:type="dxa"/>
              <w:bottom w:w="90" w:type="dxa"/>
              <w:left w:w="100" w:type="dxa"/>
              <w:right w:w="100" w:type="dxa"/>
            </w:tcMar>
            <w:vAlign w:val="center"/>
            <w:shd w:fill="D4EFDF"/>
          </w:tcPr>
          <w:p>
            <w:pPr>
              <w:spacing w:before="0" w:after="0" w:line="252" w:lineRule="auto"/>
            </w:pPr>
            <w:r>
              <w:rPr>
                <w:rFonts w:ascii="Times New Roman" w:hAnsi="Times New Roman"/>
                <w:b/>
                <w:color w:val="145A32"/>
                <w:sz w:val="20"/>
              </w:rPr>
              <w:t>Total</w:t>
            </w:r>
          </w:p>
        </w:tc>
        <w:tc>
          <w:tcPr>
            <w:tcW w:type="dxa" w:w="1440"/>
            <w:tcMar>
              <w:top w:w="90" w:type="dxa"/>
              <w:bottom w:w="90" w:type="dxa"/>
              <w:left w:w="100" w:type="dxa"/>
              <w:right w:w="100" w:type="dxa"/>
            </w:tcMar>
            <w:vAlign w:val="center"/>
            <w:shd w:fill="D4EFDF"/>
          </w:tcPr>
          <w:p>
            <w:pPr>
              <w:spacing w:before="0" w:after="0" w:line="252" w:lineRule="auto"/>
              <w:jc w:val="right"/>
            </w:pPr>
            <w:r>
              <w:rPr>
                <w:rFonts w:ascii="Times New Roman" w:hAnsi="Times New Roman"/>
                <w:b/>
                <w:color w:val="145A32"/>
                <w:sz w:val="20"/>
              </w:rPr>
              <w:t>₹30,000</w:t>
            </w:r>
          </w:p>
        </w:tc>
      </w:tr>
    </w:tbl>
    <w:p>
      <w:pPr>
        <w:spacing w:before="80" w:after="0"/>
      </w:pPr>
    </w:p>
    <w:p>
      <w:pPr>
        <w:keepNext/>
        <w:spacing w:before="280" w:after="80"/>
      </w:pPr>
      <w:r>
        <w:rPr>
          <w:rFonts w:ascii="Times New Roman" w:hAnsi="Times New Roman"/>
          <w:b/>
          <w:color w:val="182B49"/>
          <w:sz w:val="28"/>
        </w:rPr>
        <w:t>Contributors</w:t>
      </w:r>
    </w:p>
    <w:p>
      <w:pPr>
        <w:spacing w:before="0" w:after="100" w:line="276" w:lineRule="auto"/>
      </w:pPr>
      <w:r>
        <w:rPr>
          <w:rFonts w:ascii="Times New Roman" w:hAnsi="Times New Roman"/>
          <w:color w:val="212529"/>
          <w:sz w:val="21"/>
        </w:rPr>
        <w:t>The project is executed by a multidisciplinary team of student engineers specializing in embedded systems, IoT networking, sensor hardware, and computer vision:</w:t>
      </w:r>
    </w:p>
    <w:tbl>
      <w:tblPr>
        <w:tblW w:type="auto" w:w="0"/>
        <w:jc w:val="center"/>
        <w:tblLook w:firstColumn="1" w:firstRow="1" w:lastColumn="0" w:lastRow="0" w:noHBand="0" w:noVBand="1" w:val="04A0"/>
        <w:tblBorders>
          <w:top w:val="single" w:sz="4" w:space="0" w:color="BDC3C7"/>
          <w:bottom w:val="single" w:sz="4" w:space="0" w:color="BDC3C7"/>
          <w:left w:val="none" w:sz="0" w:space="0" w:color="auto"/>
          <w:right w:val="none" w:sz="0" w:space="0" w:color="auto"/>
          <w:insideH w:val="single" w:sz="4" w:space="0" w:color="BDC3C7"/>
          <w:insideV w:val="none" w:sz="0" w:space="0" w:color="auto"/>
        </w:tblBorders>
      </w:tblPr>
      <w:tblGrid>
        <w:gridCol w:w="1930"/>
        <w:gridCol w:w="1930"/>
        <w:gridCol w:w="1930"/>
        <w:gridCol w:w="1930"/>
        <w:gridCol w:w="1930"/>
      </w:tblGrid>
      <w:tr>
        <w:tc>
          <w:tcPr>
            <w:tcW w:type="dxa" w:w="864"/>
            <w:tcMar>
              <w:top w:w="100" w:type="dxa"/>
              <w:bottom w:w="100" w:type="dxa"/>
              <w:left w:w="120" w:type="dxa"/>
              <w:right w:w="120" w:type="dxa"/>
            </w:tcMar>
            <w:vAlign w:val="center"/>
            <w:shd w:fill="1B365D"/>
          </w:tcPr>
          <w:p>
            <w:pPr>
              <w:spacing w:before="0" w:after="0"/>
            </w:pPr>
            <w:r>
              <w:rPr>
                <w:rFonts w:ascii="Times New Roman" w:hAnsi="Times New Roman"/>
                <w:b/>
                <w:color w:val="FFFFFF"/>
                <w:sz w:val="19"/>
              </w:rPr>
              <w:t>Sr No</w:t>
            </w:r>
          </w:p>
        </w:tc>
        <w:tc>
          <w:tcPr>
            <w:tcW w:type="dxa" w:w="2592"/>
            <w:tcMar>
              <w:top w:w="100" w:type="dxa"/>
              <w:bottom w:w="100" w:type="dxa"/>
              <w:left w:w="120" w:type="dxa"/>
              <w:right w:w="120" w:type="dxa"/>
            </w:tcMar>
            <w:vAlign w:val="center"/>
            <w:shd w:fill="1B365D"/>
          </w:tcPr>
          <w:p>
            <w:pPr>
              <w:spacing w:before="0" w:after="0"/>
            </w:pPr>
            <w:r>
              <w:rPr>
                <w:rFonts w:ascii="Times New Roman" w:hAnsi="Times New Roman"/>
                <w:b/>
                <w:color w:val="FFFFFF"/>
                <w:sz w:val="19"/>
              </w:rPr>
              <w:t>Name</w:t>
            </w:r>
          </w:p>
        </w:tc>
        <w:tc>
          <w:tcPr>
            <w:tcW w:type="dxa" w:w="1584"/>
            <w:tcMar>
              <w:top w:w="100" w:type="dxa"/>
              <w:bottom w:w="100" w:type="dxa"/>
              <w:left w:w="120" w:type="dxa"/>
              <w:right w:w="120" w:type="dxa"/>
            </w:tcMar>
            <w:vAlign w:val="center"/>
            <w:shd w:fill="1B365D"/>
          </w:tcPr>
          <w:p>
            <w:pPr>
              <w:spacing w:before="0" w:after="0"/>
            </w:pPr>
            <w:r>
              <w:rPr>
                <w:rFonts w:ascii="Times New Roman" w:hAnsi="Times New Roman"/>
                <w:b/>
                <w:color w:val="FFFFFF"/>
                <w:sz w:val="19"/>
              </w:rPr>
              <w:t>Roll no</w:t>
            </w:r>
          </w:p>
        </w:tc>
        <w:tc>
          <w:tcPr>
            <w:tcW w:type="dxa" w:w="2016"/>
            <w:tcMar>
              <w:top w:w="100" w:type="dxa"/>
              <w:bottom w:w="100" w:type="dxa"/>
              <w:left w:w="120" w:type="dxa"/>
              <w:right w:w="120" w:type="dxa"/>
            </w:tcMar>
            <w:vAlign w:val="center"/>
            <w:shd w:fill="1B365D"/>
          </w:tcPr>
          <w:p>
            <w:pPr>
              <w:spacing w:before="0" w:after="0"/>
            </w:pPr>
            <w:r>
              <w:rPr>
                <w:rFonts w:ascii="Times New Roman" w:hAnsi="Times New Roman"/>
                <w:b/>
                <w:color w:val="FFFFFF"/>
                <w:sz w:val="19"/>
              </w:rPr>
              <w:t>Contact No</w:t>
            </w:r>
          </w:p>
        </w:tc>
        <w:tc>
          <w:tcPr>
            <w:tcW w:type="dxa" w:w="3024"/>
            <w:tcMar>
              <w:top w:w="100" w:type="dxa"/>
              <w:bottom w:w="100" w:type="dxa"/>
              <w:left w:w="120" w:type="dxa"/>
              <w:right w:w="120" w:type="dxa"/>
            </w:tcMar>
            <w:vAlign w:val="center"/>
            <w:shd w:fill="1B365D"/>
          </w:tcPr>
          <w:p>
            <w:pPr>
              <w:spacing w:before="0" w:after="0"/>
            </w:pPr>
            <w:r>
              <w:rPr>
                <w:rFonts w:ascii="Times New Roman" w:hAnsi="Times New Roman"/>
                <w:b/>
                <w:color w:val="FFFFFF"/>
                <w:sz w:val="19"/>
              </w:rPr>
              <w:t>Email</w:t>
            </w:r>
          </w:p>
        </w:tc>
      </w:tr>
      <w:tr>
        <w:tc>
          <w:tcPr>
            <w:tcW w:type="dxa" w:w="864"/>
            <w:tcMar>
              <w:top w:w="100" w:type="dxa"/>
              <w:bottom w:w="100" w:type="dxa"/>
              <w:left w:w="120" w:type="dxa"/>
              <w:right w:w="120" w:type="dxa"/>
            </w:tcMar>
            <w:vAlign w:val="center"/>
            <w:shd w:fill="F4F7FB"/>
          </w:tcPr>
          <w:p>
            <w:pPr>
              <w:spacing w:before="0" w:after="0"/>
              <w:jc w:val="center"/>
            </w:pPr>
            <w:r>
              <w:rPr>
                <w:rFonts w:ascii="Times New Roman" w:hAnsi="Times New Roman"/>
                <w:b/>
                <w:color w:val="212529"/>
                <w:sz w:val="17"/>
              </w:rPr>
              <w:t>1</w:t>
            </w:r>
          </w:p>
        </w:tc>
        <w:tc>
          <w:tcPr>
            <w:tcW w:type="dxa" w:w="2592"/>
            <w:tcMar>
              <w:top w:w="100" w:type="dxa"/>
              <w:bottom w:w="100" w:type="dxa"/>
              <w:left w:w="120" w:type="dxa"/>
              <w:right w:w="120" w:type="dxa"/>
            </w:tcMar>
            <w:vAlign w:val="center"/>
            <w:shd w:fill="F4F7FB"/>
          </w:tcPr>
          <w:p>
            <w:pPr>
              <w:spacing w:before="0" w:after="0"/>
            </w:pPr>
            <w:r>
              <w:rPr>
                <w:rFonts w:ascii="Times New Roman" w:hAnsi="Times New Roman"/>
                <w:color w:val="212529"/>
                <w:sz w:val="17"/>
              </w:rPr>
              <w:t>Hitansh Parikh</w:t>
            </w:r>
          </w:p>
        </w:tc>
        <w:tc>
          <w:tcPr>
            <w:tcW w:type="dxa" w:w="1584"/>
            <w:tcMar>
              <w:top w:w="100" w:type="dxa"/>
              <w:bottom w:w="100" w:type="dxa"/>
              <w:left w:w="120" w:type="dxa"/>
              <w:right w:w="120" w:type="dxa"/>
            </w:tcMar>
            <w:vAlign w:val="center"/>
            <w:shd w:fill="F4F7FB"/>
          </w:tcPr>
          <w:p>
            <w:pPr>
              <w:spacing w:before="0" w:after="0"/>
            </w:pPr>
            <w:r>
              <w:rPr>
                <w:rFonts w:ascii="Times New Roman" w:hAnsi="Times New Roman"/>
                <w:color w:val="212529"/>
                <w:sz w:val="17"/>
              </w:rPr>
              <w:t>22BCP142</w:t>
            </w:r>
          </w:p>
        </w:tc>
        <w:tc>
          <w:tcPr>
            <w:tcW w:type="dxa" w:w="2016"/>
            <w:tcMar>
              <w:top w:w="100" w:type="dxa"/>
              <w:bottom w:w="100" w:type="dxa"/>
              <w:left w:w="120" w:type="dxa"/>
              <w:right w:w="120" w:type="dxa"/>
            </w:tcMar>
            <w:vAlign w:val="center"/>
            <w:shd w:fill="F4F7FB"/>
          </w:tcPr>
          <w:p>
            <w:pPr>
              <w:spacing w:before="0" w:after="0"/>
            </w:pPr>
            <w:r>
              <w:rPr>
                <w:rFonts w:ascii="Times New Roman" w:hAnsi="Times New Roman"/>
                <w:color w:val="212529"/>
                <w:sz w:val="17"/>
              </w:rPr>
              <w:t>+91 98765 43210</w:t>
            </w:r>
          </w:p>
        </w:tc>
        <w:tc>
          <w:tcPr>
            <w:tcW w:type="dxa" w:w="3024"/>
            <w:tcMar>
              <w:top w:w="100" w:type="dxa"/>
              <w:bottom w:w="100" w:type="dxa"/>
              <w:left w:w="120" w:type="dxa"/>
              <w:right w:w="120" w:type="dxa"/>
            </w:tcMar>
            <w:vAlign w:val="center"/>
            <w:shd w:fill="F4F7FB"/>
          </w:tcPr>
          <w:p>
            <w:pPr>
              <w:spacing w:before="0" w:after="0"/>
            </w:pPr>
            <w:r>
              <w:rPr>
                <w:rFonts w:ascii="Times New Roman" w:hAnsi="Times New Roman"/>
                <w:color w:val="212529"/>
                <w:sz w:val="17"/>
              </w:rPr>
              <w:t>hitansh.parikh@domain.edu.in</w:t>
            </w:r>
          </w:p>
        </w:tc>
      </w:tr>
      <w:tr>
        <w:tc>
          <w:tcPr>
            <w:tcW w:type="dxa" w:w="864"/>
            <w:tcMar>
              <w:top w:w="100" w:type="dxa"/>
              <w:bottom w:w="100" w:type="dxa"/>
              <w:left w:w="120" w:type="dxa"/>
              <w:right w:w="120" w:type="dxa"/>
            </w:tcMar>
            <w:vAlign w:val="center"/>
          </w:tcPr>
          <w:p>
            <w:pPr>
              <w:spacing w:before="0" w:after="0"/>
              <w:jc w:val="center"/>
            </w:pPr>
            <w:r>
              <w:rPr>
                <w:rFonts w:ascii="Times New Roman" w:hAnsi="Times New Roman"/>
                <w:b/>
                <w:color w:val="212529"/>
                <w:sz w:val="17"/>
              </w:rPr>
              <w:t>2</w:t>
            </w:r>
          </w:p>
        </w:tc>
        <w:tc>
          <w:tcPr>
            <w:tcW w:type="dxa" w:w="2592"/>
            <w:tcMar>
              <w:top w:w="100" w:type="dxa"/>
              <w:bottom w:w="100" w:type="dxa"/>
              <w:left w:w="120" w:type="dxa"/>
              <w:right w:w="120" w:type="dxa"/>
            </w:tcMar>
            <w:vAlign w:val="center"/>
          </w:tcPr>
          <w:p>
            <w:pPr>
              <w:spacing w:before="0" w:after="0"/>
            </w:pPr>
            <w:r>
              <w:rPr>
                <w:rFonts w:ascii="Times New Roman" w:hAnsi="Times New Roman"/>
                <w:color w:val="212529"/>
                <w:sz w:val="17"/>
              </w:rPr>
              <w:t>Embedded &amp; IoT Engineer</w:t>
            </w:r>
          </w:p>
        </w:tc>
        <w:tc>
          <w:tcPr>
            <w:tcW w:type="dxa" w:w="1584"/>
            <w:tcMar>
              <w:top w:w="100" w:type="dxa"/>
              <w:bottom w:w="100" w:type="dxa"/>
              <w:left w:w="120" w:type="dxa"/>
              <w:right w:w="120" w:type="dxa"/>
            </w:tcMar>
            <w:vAlign w:val="center"/>
          </w:tcPr>
          <w:p>
            <w:pPr>
              <w:spacing w:before="0" w:after="0"/>
            </w:pPr>
            <w:r>
              <w:rPr>
                <w:rFonts w:ascii="Times New Roman" w:hAnsi="Times New Roman"/>
                <w:color w:val="212529"/>
                <w:sz w:val="17"/>
              </w:rPr>
              <w:t>22BEC088</w:t>
            </w:r>
          </w:p>
        </w:tc>
        <w:tc>
          <w:tcPr>
            <w:tcW w:type="dxa" w:w="2016"/>
            <w:tcMar>
              <w:top w:w="100" w:type="dxa"/>
              <w:bottom w:w="100" w:type="dxa"/>
              <w:left w:w="120" w:type="dxa"/>
              <w:right w:w="120" w:type="dxa"/>
            </w:tcMar>
            <w:vAlign w:val="center"/>
          </w:tcPr>
          <w:p>
            <w:pPr>
              <w:spacing w:before="0" w:after="0"/>
            </w:pPr>
            <w:r>
              <w:rPr>
                <w:rFonts w:ascii="Times New Roman" w:hAnsi="Times New Roman"/>
                <w:color w:val="212529"/>
                <w:sz w:val="17"/>
              </w:rPr>
              <w:t>+91 98765 43211</w:t>
            </w:r>
          </w:p>
        </w:tc>
        <w:tc>
          <w:tcPr>
            <w:tcW w:type="dxa" w:w="3024"/>
            <w:tcMar>
              <w:top w:w="100" w:type="dxa"/>
              <w:bottom w:w="100" w:type="dxa"/>
              <w:left w:w="120" w:type="dxa"/>
              <w:right w:w="120" w:type="dxa"/>
            </w:tcMar>
            <w:vAlign w:val="center"/>
          </w:tcPr>
          <w:p>
            <w:pPr>
              <w:spacing w:before="0" w:after="0"/>
            </w:pPr>
            <w:r>
              <w:rPr>
                <w:rFonts w:ascii="Times New Roman" w:hAnsi="Times New Roman"/>
                <w:color w:val="212529"/>
                <w:sz w:val="17"/>
              </w:rPr>
              <w:t>iot.embedded@domain.edu.in</w:t>
            </w:r>
          </w:p>
        </w:tc>
      </w:tr>
      <w:tr>
        <w:tc>
          <w:tcPr>
            <w:tcW w:type="dxa" w:w="864"/>
            <w:tcMar>
              <w:top w:w="100" w:type="dxa"/>
              <w:bottom w:w="100" w:type="dxa"/>
              <w:left w:w="120" w:type="dxa"/>
              <w:right w:w="120" w:type="dxa"/>
            </w:tcMar>
            <w:vAlign w:val="center"/>
            <w:shd w:fill="F4F7FB"/>
          </w:tcPr>
          <w:p>
            <w:pPr>
              <w:spacing w:before="0" w:after="0"/>
              <w:jc w:val="center"/>
            </w:pPr>
            <w:r>
              <w:rPr>
                <w:rFonts w:ascii="Times New Roman" w:hAnsi="Times New Roman"/>
                <w:b/>
                <w:color w:val="212529"/>
                <w:sz w:val="17"/>
              </w:rPr>
              <w:t>3</w:t>
            </w:r>
          </w:p>
        </w:tc>
        <w:tc>
          <w:tcPr>
            <w:tcW w:type="dxa" w:w="2592"/>
            <w:tcMar>
              <w:top w:w="100" w:type="dxa"/>
              <w:bottom w:w="100" w:type="dxa"/>
              <w:left w:w="120" w:type="dxa"/>
              <w:right w:w="120" w:type="dxa"/>
            </w:tcMar>
            <w:vAlign w:val="center"/>
            <w:shd w:fill="F4F7FB"/>
          </w:tcPr>
          <w:p>
            <w:pPr>
              <w:spacing w:before="0" w:after="0"/>
            </w:pPr>
            <w:r>
              <w:rPr>
                <w:rFonts w:ascii="Times New Roman" w:hAnsi="Times New Roman"/>
                <w:color w:val="212529"/>
                <w:sz w:val="17"/>
              </w:rPr>
              <w:t>Edge Vision &amp; AI Developer</w:t>
            </w:r>
          </w:p>
        </w:tc>
        <w:tc>
          <w:tcPr>
            <w:tcW w:type="dxa" w:w="1584"/>
            <w:tcMar>
              <w:top w:w="100" w:type="dxa"/>
              <w:bottom w:w="100" w:type="dxa"/>
              <w:left w:w="120" w:type="dxa"/>
              <w:right w:w="120" w:type="dxa"/>
            </w:tcMar>
            <w:vAlign w:val="center"/>
            <w:shd w:fill="F4F7FB"/>
          </w:tcPr>
          <w:p>
            <w:pPr>
              <w:spacing w:before="0" w:after="0"/>
            </w:pPr>
            <w:r>
              <w:rPr>
                <w:rFonts w:ascii="Times New Roman" w:hAnsi="Times New Roman"/>
                <w:color w:val="212529"/>
                <w:sz w:val="17"/>
              </w:rPr>
              <w:t>22BCP165</w:t>
            </w:r>
          </w:p>
        </w:tc>
        <w:tc>
          <w:tcPr>
            <w:tcW w:type="dxa" w:w="2016"/>
            <w:tcMar>
              <w:top w:w="100" w:type="dxa"/>
              <w:bottom w:w="100" w:type="dxa"/>
              <w:left w:w="120" w:type="dxa"/>
              <w:right w:w="120" w:type="dxa"/>
            </w:tcMar>
            <w:vAlign w:val="center"/>
            <w:shd w:fill="F4F7FB"/>
          </w:tcPr>
          <w:p>
            <w:pPr>
              <w:spacing w:before="0" w:after="0"/>
            </w:pPr>
            <w:r>
              <w:rPr>
                <w:rFonts w:ascii="Times New Roman" w:hAnsi="Times New Roman"/>
                <w:color w:val="212529"/>
                <w:sz w:val="17"/>
              </w:rPr>
              <w:t>+91 98765 43212</w:t>
            </w:r>
          </w:p>
        </w:tc>
        <w:tc>
          <w:tcPr>
            <w:tcW w:type="dxa" w:w="3024"/>
            <w:tcMar>
              <w:top w:w="100" w:type="dxa"/>
              <w:bottom w:w="100" w:type="dxa"/>
              <w:left w:w="120" w:type="dxa"/>
              <w:right w:w="120" w:type="dxa"/>
            </w:tcMar>
            <w:vAlign w:val="center"/>
            <w:shd w:fill="F4F7FB"/>
          </w:tcPr>
          <w:p>
            <w:pPr>
              <w:spacing w:before="0" w:after="0"/>
            </w:pPr>
            <w:r>
              <w:rPr>
                <w:rFonts w:ascii="Times New Roman" w:hAnsi="Times New Roman"/>
                <w:color w:val="212529"/>
                <w:sz w:val="17"/>
              </w:rPr>
              <w:t>vision.edge@domain.edu.in</w:t>
            </w:r>
          </w:p>
        </w:tc>
      </w:tr>
      <w:tr>
        <w:tc>
          <w:tcPr>
            <w:tcW w:type="dxa" w:w="864"/>
            <w:tcMar>
              <w:top w:w="100" w:type="dxa"/>
              <w:bottom w:w="100" w:type="dxa"/>
              <w:left w:w="120" w:type="dxa"/>
              <w:right w:w="120" w:type="dxa"/>
            </w:tcMar>
            <w:vAlign w:val="center"/>
          </w:tcPr>
          <w:p>
            <w:pPr>
              <w:spacing w:before="0" w:after="0"/>
              <w:jc w:val="center"/>
            </w:pPr>
            <w:r>
              <w:rPr>
                <w:rFonts w:ascii="Times New Roman" w:hAnsi="Times New Roman"/>
                <w:b/>
                <w:color w:val="212529"/>
                <w:sz w:val="17"/>
              </w:rPr>
              <w:t>4</w:t>
            </w:r>
          </w:p>
        </w:tc>
        <w:tc>
          <w:tcPr>
            <w:tcW w:type="dxa" w:w="2592"/>
            <w:tcMar>
              <w:top w:w="100" w:type="dxa"/>
              <w:bottom w:w="100" w:type="dxa"/>
              <w:left w:w="120" w:type="dxa"/>
              <w:right w:w="120" w:type="dxa"/>
            </w:tcMar>
            <w:vAlign w:val="center"/>
          </w:tcPr>
          <w:p>
            <w:pPr>
              <w:spacing w:before="0" w:after="0"/>
            </w:pPr>
            <w:r>
              <w:rPr>
                <w:rFonts w:ascii="Times New Roman" w:hAnsi="Times New Roman"/>
                <w:color w:val="212529"/>
                <w:sz w:val="17"/>
              </w:rPr>
              <w:t>Hardware &amp; PCB Design Lead</w:t>
            </w:r>
          </w:p>
        </w:tc>
        <w:tc>
          <w:tcPr>
            <w:tcW w:type="dxa" w:w="1584"/>
            <w:tcMar>
              <w:top w:w="100" w:type="dxa"/>
              <w:bottom w:w="100" w:type="dxa"/>
              <w:left w:w="120" w:type="dxa"/>
              <w:right w:w="120" w:type="dxa"/>
            </w:tcMar>
            <w:vAlign w:val="center"/>
          </w:tcPr>
          <w:p>
            <w:pPr>
              <w:spacing w:before="0" w:after="0"/>
            </w:pPr>
            <w:r>
              <w:rPr>
                <w:rFonts w:ascii="Times New Roman" w:hAnsi="Times New Roman"/>
                <w:color w:val="212529"/>
                <w:sz w:val="17"/>
              </w:rPr>
              <w:t>22BEE054</w:t>
            </w:r>
          </w:p>
        </w:tc>
        <w:tc>
          <w:tcPr>
            <w:tcW w:type="dxa" w:w="2016"/>
            <w:tcMar>
              <w:top w:w="100" w:type="dxa"/>
              <w:bottom w:w="100" w:type="dxa"/>
              <w:left w:w="120" w:type="dxa"/>
              <w:right w:w="120" w:type="dxa"/>
            </w:tcMar>
            <w:vAlign w:val="center"/>
          </w:tcPr>
          <w:p>
            <w:pPr>
              <w:spacing w:before="0" w:after="0"/>
            </w:pPr>
            <w:r>
              <w:rPr>
                <w:rFonts w:ascii="Times New Roman" w:hAnsi="Times New Roman"/>
                <w:color w:val="212529"/>
                <w:sz w:val="17"/>
              </w:rPr>
              <w:t>+91 98765 43213</w:t>
            </w:r>
          </w:p>
        </w:tc>
        <w:tc>
          <w:tcPr>
            <w:tcW w:type="dxa" w:w="3024"/>
            <w:tcMar>
              <w:top w:w="100" w:type="dxa"/>
              <w:bottom w:w="100" w:type="dxa"/>
              <w:left w:w="120" w:type="dxa"/>
              <w:right w:w="120" w:type="dxa"/>
            </w:tcMar>
            <w:vAlign w:val="center"/>
          </w:tcPr>
          <w:p>
            <w:pPr>
              <w:spacing w:before="0" w:after="0"/>
            </w:pPr>
            <w:r>
              <w:rPr>
                <w:rFonts w:ascii="Times New Roman" w:hAnsi="Times New Roman"/>
                <w:color w:val="212529"/>
                <w:sz w:val="17"/>
              </w:rPr>
              <w:t>hardware.pcb@domain.edu.in</w:t>
            </w:r>
          </w:p>
        </w:tc>
      </w:tr>
    </w:tbl>
    <w:p>
      <w:pPr>
        <w:spacing w:before="80" w:after="0"/>
      </w:pPr>
    </w:p>
    <w:p>
      <w:pPr>
        <w:keepNext/>
        <w:spacing w:before="280" w:after="80"/>
      </w:pPr>
      <w:r>
        <w:rPr>
          <w:rFonts w:ascii="Times New Roman" w:hAnsi="Times New Roman"/>
          <w:b/>
          <w:color w:val="182B49"/>
          <w:sz w:val="28"/>
        </w:rPr>
        <w:t>Mentor’s Details</w:t>
      </w:r>
    </w:p>
    <w:p>
      <w:pPr>
        <w:spacing w:before="20" w:after="40" w:line="276" w:lineRule="auto"/>
      </w:pPr>
      <w:r>
        <w:rPr>
          <w:rFonts w:ascii="Times New Roman" w:hAnsi="Times New Roman"/>
          <w:b/>
          <w:color w:val="182B49"/>
          <w:sz w:val="21"/>
        </w:rPr>
        <w:t xml:space="preserve">Name: </w:t>
      </w:r>
      <w:r>
        <w:rPr>
          <w:rFonts w:ascii="Times New Roman" w:hAnsi="Times New Roman"/>
          <w:color w:val="212529"/>
          <w:sz w:val="21"/>
        </w:rPr>
        <w:t>Dr. S. K. Sharma (Professor / Head of Department)</w:t>
      </w:r>
    </w:p>
    <w:p>
      <w:pPr>
        <w:spacing w:before="20" w:after="40" w:line="276" w:lineRule="auto"/>
      </w:pPr>
      <w:r>
        <w:rPr>
          <w:rFonts w:ascii="Times New Roman" w:hAnsi="Times New Roman"/>
          <w:b/>
          <w:color w:val="182B49"/>
          <w:sz w:val="21"/>
        </w:rPr>
        <w:t xml:space="preserve">Department: </w:t>
      </w:r>
      <w:r>
        <w:rPr>
          <w:rFonts w:ascii="Times New Roman" w:hAnsi="Times New Roman"/>
          <w:color w:val="212529"/>
          <w:sz w:val="21"/>
        </w:rPr>
        <w:t>Department of Computer Science &amp; Engineering / Electronics Engineering</w:t>
      </w:r>
    </w:p>
    <w:p>
      <w:pPr>
        <w:spacing w:before="20" w:after="40" w:line="276" w:lineRule="auto"/>
      </w:pPr>
      <w:r>
        <w:rPr>
          <w:rFonts w:ascii="Times New Roman" w:hAnsi="Times New Roman"/>
          <w:b/>
          <w:color w:val="182B49"/>
          <w:sz w:val="21"/>
        </w:rPr>
        <w:t xml:space="preserve">Contact Number: </w:t>
      </w:r>
      <w:r>
        <w:rPr>
          <w:rFonts w:ascii="Times New Roman" w:hAnsi="Times New Roman"/>
          <w:color w:val="212529"/>
          <w:sz w:val="21"/>
        </w:rPr>
        <w:t>+91 98250 12345</w:t>
      </w:r>
    </w:p>
    <w:p>
      <w:pPr>
        <w:spacing w:before="20" w:after="40" w:line="276" w:lineRule="auto"/>
      </w:pPr>
      <w:r>
        <w:rPr>
          <w:rFonts w:ascii="Times New Roman" w:hAnsi="Times New Roman"/>
          <w:b/>
          <w:color w:val="182B49"/>
          <w:sz w:val="21"/>
        </w:rPr>
        <w:t xml:space="preserve">EmpID: </w:t>
      </w:r>
      <w:r>
        <w:rPr>
          <w:rFonts w:ascii="Times New Roman" w:hAnsi="Times New Roman"/>
          <w:color w:val="212529"/>
          <w:sz w:val="21"/>
        </w:rPr>
        <w:t>FAC-EMP-8492</w:t>
      </w:r>
    </w:p>
    <w:p>
      <w:pPr>
        <w:spacing w:before="20" w:after="40" w:line="276" w:lineRule="auto"/>
      </w:pPr>
      <w:r>
        <w:rPr>
          <w:rFonts w:ascii="Times New Roman" w:hAnsi="Times New Roman"/>
          <w:b/>
          <w:color w:val="182B49"/>
          <w:sz w:val="21"/>
        </w:rPr>
        <w:t xml:space="preserve">email id: </w:t>
      </w:r>
      <w:r>
        <w:rPr>
          <w:rFonts w:ascii="Times New Roman" w:hAnsi="Times New Roman"/>
          <w:color w:val="212529"/>
          <w:sz w:val="21"/>
        </w:rPr>
        <w:t>mentor.faculty@domain.edu.in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