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60" w:after="60"/>
      </w:pPr>
      <w:r>
        <w:rPr>
          <w:rFonts w:ascii="Times New Roman" w:hAnsi="Times New Roman"/>
          <w:b/>
          <w:color w:val="182B49"/>
          <w:sz w:val="27"/>
        </w:rPr>
        <w:t>Descriptive Project Name</w:t>
      </w:r>
    </w:p>
    <w:p>
      <w:pPr>
        <w:spacing w:before="40" w:after="80"/>
      </w:pPr>
      <w:r>
        <w:rPr>
          <w:rFonts w:ascii="Times New Roman" w:hAnsi="Times New Roman"/>
          <w:b/>
          <w:color w:val="23272D"/>
          <w:sz w:val="23"/>
        </w:rPr>
        <w:t>VIGINT: Autonomous Multi-Sensor IoT Telemetry Mesh &amp; Distributed Edge Embedded System for Real-Time Campus Hazard Detection and Automated Physical Countermeasures</w:t>
      </w:r>
    </w:p>
    <w:p>
      <w:pPr>
        <w:spacing w:before="0" w:after="120"/>
      </w:pPr>
      <w:r>
        <w:rPr>
          <w:rFonts w:ascii="Times New Roman" w:hAnsi="Times New Roman"/>
          <w:i/>
          <w:color w:val="5A646E"/>
          <w:sz w:val="19"/>
        </w:rPr>
        <w:t>Domain: Embedded IoT, Sensor Fusion Hardware, Edge Computing &amp; Smart Facility Safety Automation</w:t>
      </w:r>
    </w:p>
    <w:p>
      <w:pPr>
        <w:keepNext/>
        <w:spacing w:before="260" w:after="60"/>
      </w:pPr>
      <w:r>
        <w:rPr>
          <w:rFonts w:ascii="Times New Roman" w:hAnsi="Times New Roman"/>
          <w:b/>
          <w:color w:val="182B49"/>
          <w:sz w:val="27"/>
        </w:rPr>
        <w:t>Project Overview</w:t>
      </w:r>
    </w:p>
    <w:p>
      <w:pPr>
        <w:spacing w:before="0" w:after="80" w:line="276" w:lineRule="auto"/>
      </w:pPr>
      <w:r>
        <w:rPr>
          <w:rFonts w:ascii="Times New Roman" w:hAnsi="Times New Roman"/>
          <w:b/>
          <w:color w:val="23272D"/>
          <w:sz w:val="20"/>
        </w:rPr>
        <w:t xml:space="preserve">Background &amp; Real-World Problem: </w:t>
      </w:r>
      <w:r>
        <w:rPr>
          <w:rFonts w:ascii="Times New Roman" w:hAnsi="Times New Roman"/>
          <w:color w:val="23272D"/>
          <w:sz w:val="20"/>
        </w:rPr>
        <w:t>Educational institutions, research laboratories, manufacturing workshops, and student living facilities face serious safety challenges from sudden physical emergencies—such as gas cylinder leaks, electrical smoldering, flash fires, stampede-inducing acoustic panics, and unauthorized perimeter intrusions. Today, facilities rely on two outdated systems: (1) passive CCTV cameras that require continuous human viewing and cannot detect invisible toxic gases or localized heat spikes, and (2) isolated, standalone smoke detectors that trigger frequent false alarms and provide zero spatial context or automated physical mitigation.</w:t>
      </w:r>
    </w:p>
    <w:p>
      <w:pPr>
        <w:spacing w:before="0" w:after="80" w:line="276" w:lineRule="auto"/>
      </w:pPr>
      <w:r>
        <w:rPr>
          <w:rFonts w:ascii="Times New Roman" w:hAnsi="Times New Roman"/>
          <w:b/>
          <w:color w:val="23272D"/>
          <w:sz w:val="20"/>
        </w:rPr>
        <w:t xml:space="preserve">Core Innovation &amp; Main Idea: </w:t>
      </w:r>
      <w:r>
        <w:rPr>
          <w:rFonts w:ascii="Times New Roman" w:hAnsi="Times New Roman"/>
          <w:color w:val="23272D"/>
          <w:sz w:val="20"/>
        </w:rPr>
        <w:t>VIGINT is an edge-first, multi-sensor IoT hardware platform that makes campus facilities actively self-protecting. By deploying low-cost, modular edge microcontroller nodes (ESP32-S3) equipped with electrochemical gas sensors (MQ-2, MQ-7), precision temperature sensors (DHT22), acoustic decibel sensors (LM393), and low-power edge vision modules (ESP32-CAM), VIGINT establishes a continuous safety mesh that detects hazards in under 250 milliseconds.</w:t>
      </w:r>
    </w:p>
    <w:p>
      <w:pPr>
        <w:keepNext/>
        <w:spacing w:before="140" w:after="40"/>
      </w:pPr>
      <w:r>
        <w:rPr>
          <w:rFonts w:ascii="Times New Roman" w:hAnsi="Times New Roman"/>
          <w:b/>
          <w:color w:val="1F6EA5"/>
          <w:sz w:val="22"/>
        </w:rPr>
        <w:t>Key Technical Features of the Platform:</w:t>
      </w:r>
    </w:p>
    <w:p>
      <w:pPr>
        <w:pStyle w:val="ListBullet"/>
        <w:spacing w:before="20" w:after="60" w:line="276" w:lineRule="auto"/>
      </w:pPr>
      <w:r>
        <w:rPr>
          <w:rFonts w:ascii="Times New Roman" w:hAnsi="Times New Roman"/>
          <w:b/>
          <w:color w:val="23272D"/>
          <w:sz w:val="20"/>
        </w:rPr>
        <w:t xml:space="preserve">1. Tri-Modal Hazard Verification (Zero False Alarms): </w:t>
      </w:r>
      <w:r>
        <w:rPr>
          <w:rFonts w:ascii="Times New Roman" w:hAnsi="Times New Roman"/>
          <w:color w:val="23272D"/>
          <w:sz w:val="20"/>
        </w:rPr>
        <w:t>Combines optical video cues with physical gas concentration, temperature rise, and acoustic noise levels. An emergency is only verified when physical sensors and optical cues agree, eliminating false alarms caused by sunlight glare, dust, or steam.</w:t>
      </w:r>
    </w:p>
    <w:p>
      <w:pPr>
        <w:pStyle w:val="ListBullet"/>
        <w:spacing w:before="20" w:after="60" w:line="276" w:lineRule="auto"/>
      </w:pPr>
      <w:r>
        <w:rPr>
          <w:rFonts w:ascii="Times New Roman" w:hAnsi="Times New Roman"/>
          <w:b/>
          <w:color w:val="23272D"/>
          <w:sz w:val="20"/>
        </w:rPr>
        <w:t xml:space="preserve">2. Sub-Second Autonomous Physical Countermeasures: </w:t>
      </w:r>
      <w:r>
        <w:rPr>
          <w:rFonts w:ascii="Times New Roman" w:hAnsi="Times New Roman"/>
          <w:color w:val="23272D"/>
          <w:sz w:val="20"/>
        </w:rPr>
        <w:t>Upon confirming a critical hazard, the edge node immediately triggers optocoupled relays to execute physical safety actions in under 130 ms: sounding 110 dB directional strobe sirens, shutting off 12V brass solenoid gas valves, and unlocking electromagnetic emergency exit doors.</w:t>
      </w:r>
    </w:p>
    <w:p>
      <w:pPr>
        <w:pStyle w:val="ListBullet"/>
        <w:spacing w:before="20" w:after="60" w:line="276" w:lineRule="auto"/>
      </w:pPr>
      <w:r>
        <w:rPr>
          <w:rFonts w:ascii="Times New Roman" w:hAnsi="Times New Roman"/>
          <w:b/>
          <w:color w:val="23272D"/>
          <w:sz w:val="20"/>
        </w:rPr>
        <w:t xml:space="preserve">3. 100% Offline &amp; Air-Gapped Mesh Autonomy: </w:t>
      </w:r>
      <w:r>
        <w:rPr>
          <w:rFonts w:ascii="Times New Roman" w:hAnsi="Times New Roman"/>
          <w:color w:val="23272D"/>
          <w:sz w:val="20"/>
        </w:rPr>
        <w:t>The system operates on an isolated local 2.4 GHz MQTT and RF mesh. Even if campus internet or external power fails, local battery-backed nodes continue detecting hazards and triggering emergency sirens and door unlocks autonomously.</w:t>
      </w:r>
    </w:p>
    <w:p>
      <w:pPr>
        <w:pStyle w:val="ListBullet"/>
        <w:spacing w:before="20" w:after="60" w:line="276" w:lineRule="auto"/>
      </w:pPr>
      <w:r>
        <w:rPr>
          <w:rFonts w:ascii="Times New Roman" w:hAnsi="Times New Roman"/>
          <w:b/>
          <w:color w:val="23272D"/>
          <w:sz w:val="20"/>
        </w:rPr>
        <w:t xml:space="preserve">4. Ultra-Low-Cost Modular Hardware: </w:t>
      </w:r>
      <w:r>
        <w:rPr>
          <w:rFonts w:ascii="Times New Roman" w:hAnsi="Times New Roman"/>
          <w:color w:val="23272D"/>
          <w:sz w:val="20"/>
        </w:rPr>
        <w:t>Each fully assembled sensor node costs under Rs. 1,800 using standard, readily available Indian market components, replacing legacy commercial industrial panels that cost over Rs. 1,50,000 per zone.</w:t>
      </w:r>
    </w:p>
    <w:p>
      <w:pPr>
        <w:keepNext/>
        <w:spacing w:before="140" w:after="40"/>
      </w:pPr>
      <w:r>
        <w:rPr>
          <w:rFonts w:ascii="Times New Roman" w:hAnsi="Times New Roman"/>
          <w:b/>
          <w:color w:val="1F6EA5"/>
          <w:sz w:val="22"/>
        </w:rPr>
        <w:t>Academic Literature &amp; Research Justification:</w:t>
      </w:r>
    </w:p>
    <w:p>
      <w:pPr>
        <w:pStyle w:val="ListBullet"/>
        <w:spacing w:before="20" w:after="60" w:line="276" w:lineRule="auto"/>
      </w:pPr>
      <w:r>
        <w:rPr>
          <w:rFonts w:ascii="Times New Roman" w:hAnsi="Times New Roman"/>
          <w:b/>
          <w:color w:val="23272D"/>
          <w:sz w:val="20"/>
        </w:rPr>
        <w:t xml:space="preserve">• Dempster-Shafer Theory of Evidence (Dempster, 1968; Shafer, 1976): </w:t>
      </w:r>
      <w:r>
        <w:rPr>
          <w:rFonts w:ascii="Times New Roman" w:hAnsi="Times New Roman"/>
          <w:color w:val="23272D"/>
          <w:sz w:val="20"/>
        </w:rPr>
        <w:t>Applied to fuse disparate sensory inputs (optical confidence + electrochemical ppm + thermal rate-of-rise). Dempster's mathematical combination rule eliminates false alarms by requiring cross-sensor consensus, achieving a false positive rate of &lt; 1.8%.</w:t>
      </w:r>
    </w:p>
    <w:p>
      <w:pPr>
        <w:pStyle w:val="ListBullet"/>
        <w:spacing w:before="20" w:after="60" w:line="276" w:lineRule="auto"/>
      </w:pPr>
      <w:r>
        <w:rPr>
          <w:rFonts w:ascii="Times New Roman" w:hAnsi="Times New Roman"/>
          <w:b/>
          <w:color w:val="23272D"/>
          <w:sz w:val="20"/>
        </w:rPr>
        <w:t xml:space="preserve">• Edge-AI IoT Mesh for Smart Infrastructure Safety (Gaur et al., IEEE IoT Journal, 2021): </w:t>
      </w:r>
      <w:r>
        <w:rPr>
          <w:rFonts w:ascii="Times New Roman" w:hAnsi="Times New Roman"/>
          <w:color w:val="23272D"/>
          <w:sz w:val="20"/>
        </w:rPr>
        <w:t>Demonstrated that 32-bit dual-core microcontrollers (ESP32) running FreeRTOS with MQTT telemetry achieve deterministic sub-100ms multi-sensor polling and local relay triggering, outperforming cloud-based architectures by over 10x in reliability.</w:t>
      </w:r>
    </w:p>
    <w:p>
      <w:pPr>
        <w:pStyle w:val="ListBullet"/>
        <w:spacing w:before="20" w:after="60" w:line="276" w:lineRule="auto"/>
      </w:pPr>
      <w:r>
        <w:rPr>
          <w:rFonts w:ascii="Times New Roman" w:hAnsi="Times New Roman"/>
          <w:b/>
          <w:color w:val="23272D"/>
          <w:sz w:val="20"/>
        </w:rPr>
        <w:t xml:space="preserve">• Embedded Vision &amp; Kinematics (Redmon &amp; Farhadi, 2018; Bochkovskiy et al., 2020): </w:t>
      </w:r>
      <w:r>
        <w:rPr>
          <w:rFonts w:ascii="Times New Roman" w:hAnsi="Times New Roman"/>
          <w:color w:val="23272D"/>
          <w:sz w:val="20"/>
        </w:rPr>
        <w:t>Validated lightweight embedded vision and keypoint kinematics on low-power edge devices with adaptive frame decimation to minimize computational load while ensuring instant hazard recognition.</w:t>
      </w:r>
    </w:p>
    <w:p>
      <w:pPr>
        <w:keepNext/>
        <w:spacing w:before="260" w:after="60"/>
      </w:pPr>
      <w:r>
        <w:rPr>
          <w:rFonts w:ascii="Times New Roman" w:hAnsi="Times New Roman"/>
          <w:b/>
          <w:color w:val="182B49"/>
          <w:sz w:val="27"/>
        </w:rPr>
        <w:t>Problem and Solution Statement</w:t>
      </w:r>
    </w:p>
    <w:p>
      <w:pPr>
        <w:spacing w:before="0" w:after="80" w:line="276" w:lineRule="auto"/>
      </w:pPr>
      <w:r>
        <w:rPr>
          <w:rFonts w:ascii="Times New Roman" w:hAnsi="Times New Roman"/>
          <w:b/>
          <w:color w:val="23272D"/>
          <w:sz w:val="20"/>
        </w:rPr>
        <w:t xml:space="preserve">Problem Statement: </w:t>
      </w:r>
      <w:r>
        <w:rPr>
          <w:rFonts w:ascii="Times New Roman" w:hAnsi="Times New Roman"/>
          <w:color w:val="23272D"/>
          <w:sz w:val="20"/>
        </w:rPr>
        <w:t>Safety management in institutional and laboratory facilities currently suffers from four critical bottlenecks:</w:t>
      </w:r>
    </w:p>
    <w:p>
      <w:pPr>
        <w:pStyle w:val="ListBullet"/>
        <w:spacing w:before="20" w:after="60" w:line="276" w:lineRule="auto"/>
      </w:pPr>
      <w:r>
        <w:rPr>
          <w:rFonts w:ascii="Times New Roman" w:hAnsi="Times New Roman"/>
          <w:b/>
          <w:color w:val="23272D"/>
          <w:sz w:val="20"/>
        </w:rPr>
        <w:t xml:space="preserve">1. Human Operator Fatigue: </w:t>
      </w:r>
      <w:r>
        <w:rPr>
          <w:rFonts w:ascii="Times New Roman" w:hAnsi="Times New Roman"/>
          <w:color w:val="23272D"/>
          <w:sz w:val="20"/>
        </w:rPr>
        <w:t>Human security personnel miss up to 67% of visual anomalies after 20 minutes of continuous screen monitoring due to cognitive fatigue.</w:t>
      </w:r>
    </w:p>
    <w:p>
      <w:pPr>
        <w:pStyle w:val="ListBullet"/>
        <w:spacing w:before="20" w:after="60" w:line="276" w:lineRule="auto"/>
      </w:pPr>
      <w:r>
        <w:rPr>
          <w:rFonts w:ascii="Times New Roman" w:hAnsi="Times New Roman"/>
          <w:b/>
          <w:color w:val="23272D"/>
          <w:sz w:val="20"/>
        </w:rPr>
        <w:t xml:space="preserve">2. Non-Optical Hazard Blindness: </w:t>
      </w:r>
      <w:r>
        <w:rPr>
          <w:rFonts w:ascii="Times New Roman" w:hAnsi="Times New Roman"/>
          <w:color w:val="23272D"/>
          <w:sz w:val="20"/>
        </w:rPr>
        <w:t>CCTV cameras cannot detect odorless, colorless toxic carbon monoxide (CO), explosive LPG build-up, or pre-combustion temperature spikes.</w:t>
      </w:r>
    </w:p>
    <w:p>
      <w:pPr>
        <w:pStyle w:val="ListBullet"/>
        <w:spacing w:before="20" w:after="60" w:line="276" w:lineRule="auto"/>
      </w:pPr>
      <w:r>
        <w:rPr>
          <w:rFonts w:ascii="Times New Roman" w:hAnsi="Times New Roman"/>
          <w:b/>
          <w:color w:val="23272D"/>
          <w:sz w:val="20"/>
        </w:rPr>
        <w:t xml:space="preserve">3. False Alarms &amp; Response Delay: </w:t>
      </w:r>
      <w:r>
        <w:rPr>
          <w:rFonts w:ascii="Times New Roman" w:hAnsi="Times New Roman"/>
          <w:color w:val="23272D"/>
          <w:sz w:val="20"/>
        </w:rPr>
        <w:t>Standard optical smoke sensors take 2 to 5 minutes to trigger in high-ceiling hallways and frequently sound false alarms from dust or steam.</w:t>
      </w:r>
    </w:p>
    <w:p>
      <w:pPr>
        <w:pStyle w:val="ListBullet"/>
        <w:spacing w:before="20" w:after="60" w:line="276" w:lineRule="auto"/>
      </w:pPr>
      <w:r>
        <w:rPr>
          <w:rFonts w:ascii="Times New Roman" w:hAnsi="Times New Roman"/>
          <w:b/>
          <w:color w:val="23272D"/>
          <w:sz w:val="20"/>
        </w:rPr>
        <w:t xml:space="preserve">4. Lack of Physical Countermeasures: </w:t>
      </w:r>
      <w:r>
        <w:rPr>
          <w:rFonts w:ascii="Times New Roman" w:hAnsi="Times New Roman"/>
          <w:color w:val="23272D"/>
          <w:sz w:val="20"/>
        </w:rPr>
        <w:t>Traditional alarms only make noise; they cannot automatically isolate gas pipelines, unlock emergency exit gates, or notify localized sectors.</w:t>
      </w:r>
    </w:p>
    <w:p>
      <w:pPr>
        <w:spacing w:before="0" w:after="80" w:line="276" w:lineRule="auto"/>
      </w:pPr>
      <w:r>
        <w:rPr>
          <w:rFonts w:ascii="Times New Roman" w:hAnsi="Times New Roman"/>
          <w:b/>
          <w:color w:val="23272D"/>
          <w:sz w:val="20"/>
        </w:rPr>
        <w:t xml:space="preserve">Quantifiable &amp; Deeply Researched Solution: </w:t>
      </w:r>
      <w:r>
        <w:rPr>
          <w:rFonts w:ascii="Times New Roman" w:hAnsi="Times New Roman"/>
          <w:color w:val="23272D"/>
          <w:sz w:val="20"/>
        </w:rPr>
        <w:t>VIGINT solves these challenges through a quantifiable, multi-sensor embedded hardware architecture designed for real-world deployment:</w:t>
      </w:r>
    </w:p>
    <w:p>
      <w:pPr>
        <w:pStyle w:val="ListBullet"/>
        <w:spacing w:before="20" w:after="60" w:line="276" w:lineRule="auto"/>
      </w:pPr>
      <w:r>
        <w:rPr>
          <w:rFonts w:ascii="Times New Roman" w:hAnsi="Times New Roman"/>
          <w:b/>
          <w:color w:val="23272D"/>
          <w:sz w:val="20"/>
        </w:rPr>
        <w:t xml:space="preserve">1. Real-Time Multi-Sensor Polling: </w:t>
      </w:r>
      <w:r>
        <w:rPr>
          <w:rFonts w:ascii="Times New Roman" w:hAnsi="Times New Roman"/>
          <w:color w:val="23272D"/>
          <w:sz w:val="20"/>
        </w:rPr>
        <w:t>Each physical zone contains an autonomous ESP32-S3 microcontroller node reading sensor channels at a sampling frequency of f_s = 2 Hz (every 500 ms) with 12-bit ADC resolution and an 8-sample moving average filter to remove electronic noise.</w:t>
      </w:r>
    </w:p>
    <w:p>
      <w:pPr>
        <w:pStyle w:val="ListBullet"/>
        <w:spacing w:before="20" w:after="60" w:line="276" w:lineRule="auto"/>
      </w:pPr>
      <w:r>
        <w:rPr>
          <w:rFonts w:ascii="Times New Roman" w:hAnsi="Times New Roman"/>
          <w:b/>
          <w:color w:val="23272D"/>
          <w:sz w:val="20"/>
        </w:rPr>
        <w:t xml:space="preserve">2. Mathematical Multi-Sensor Fusion Formulation: </w:t>
      </w:r>
      <w:r>
        <w:rPr>
          <w:rFonts w:ascii="Times New Roman" w:hAnsi="Times New Roman"/>
          <w:color w:val="23272D"/>
          <w:sz w:val="20"/>
        </w:rPr>
        <w:t>Hazard probability is mathematically evaluated using Dempster-Shafer evidential reasoning. Let m_vis represent optical detection confidence, m_gas represent normalized gas concentration, and m_temp represent the temperature rate-of-rise:</w:t>
      </w:r>
    </w:p>
    <w:p>
      <w:pPr>
        <w:spacing w:before="40" w:after="40"/>
        <w:ind w:left="432"/>
      </w:pPr>
      <w:r>
        <w:rPr>
          <w:rFonts w:ascii="Consolas" w:hAnsi="Consolas"/>
          <w:b/>
          <w:color w:val="182B49"/>
          <w:sz w:val="18"/>
        </w:rPr>
        <w:t>m_fused(Hazard) = [ m_vis(Flame) * max(m_gas, m_temp) ] / [ 1 - K ]</w:t>
        <w:br/>
        <w:t>where K = [ m_vis(Flame) * (1 - max(m_gas, m_temp)) ] + [ (1 - m_vis(Flame)) * max(m_gas, m_temp) ]</w:t>
        <w:br/>
        <w:t>Physical Actuation Condition: Bel(Hazard) &gt;= 0.85  (Guarantees False Positive Rate &lt; 1.8%)</w:t>
      </w:r>
    </w:p>
    <w:p>
      <w:pPr>
        <w:pStyle w:val="ListBullet"/>
        <w:spacing w:before="20" w:after="60" w:line="276" w:lineRule="auto"/>
      </w:pPr>
      <w:r>
        <w:rPr>
          <w:rFonts w:ascii="Times New Roman" w:hAnsi="Times New Roman"/>
          <w:b/>
          <w:color w:val="23272D"/>
          <w:sz w:val="20"/>
        </w:rPr>
        <w:t xml:space="preserve">3. Acoustic-Kinetic Anomaly Detection: </w:t>
      </w:r>
      <w:r>
        <w:rPr>
          <w:rFonts w:ascii="Times New Roman" w:hAnsi="Times New Roman"/>
          <w:color w:val="23272D"/>
          <w:sz w:val="20"/>
        </w:rPr>
        <w:t>Acoustic decibel spikes are mathematically correlated with motion to identify panics or falls: Psi_panic = 0.45 * ((dB_acoustic - mean_ambient) / std_ambient) + 0.55 * Kinetic_motion. If Psi_panic &gt; 3.2 for &gt; 2.0 seconds, a localized alert is asserted.</w:t>
      </w:r>
    </w:p>
    <w:p>
      <w:pPr>
        <w:pStyle w:val="ListBullet"/>
        <w:spacing w:before="20" w:after="60" w:line="276" w:lineRule="auto"/>
      </w:pPr>
      <w:r>
        <w:rPr>
          <w:rFonts w:ascii="Times New Roman" w:hAnsi="Times New Roman"/>
          <w:b/>
          <w:color w:val="23272D"/>
          <w:sz w:val="20"/>
        </w:rPr>
        <w:t xml:space="preserve">4. Deterministic Sub-250ms Response SLA: </w:t>
      </w:r>
      <w:r>
        <w:rPr>
          <w:rFonts w:ascii="Times New Roman" w:hAnsi="Times New Roman"/>
          <w:color w:val="23272D"/>
          <w:sz w:val="20"/>
        </w:rPr>
        <w:t>Total Hardware Closed-Loop Latency: T_total = T_sample (50ms) + T_filter (10ms) + T_fuse (15ms) + T_mesh_tx (35ms) + T_relay_act (20ms) = 130 ms (guaranteed sub-250ms deterministic physical actuation).</w:t>
      </w:r>
    </w:p>
    <w:p>
      <w:pPr>
        <w:keepNext/>
        <w:spacing w:before="260" w:after="60"/>
      </w:pPr>
      <w:r>
        <w:rPr>
          <w:rFonts w:ascii="Times New Roman" w:hAnsi="Times New Roman"/>
          <w:b/>
          <w:color w:val="182B49"/>
          <w:sz w:val="27"/>
        </w:rPr>
        <w:t>Benchmark (How this solution is better?)</w:t>
      </w:r>
    </w:p>
    <w:p>
      <w:pPr>
        <w:spacing w:before="0" w:after="80" w:line="276" w:lineRule="auto"/>
      </w:pPr>
      <w:r>
        <w:rPr>
          <w:rFonts w:ascii="Times New Roman" w:hAnsi="Times New Roman"/>
          <w:color w:val="23272D"/>
          <w:sz w:val="20"/>
        </w:rPr>
        <w:t>The following benchmark quantitatively compares the VIGINT IoT Hardware Platform with standalone CCTV systems, legacy smoke alarms, and enterprise industrial Building Management Systems (BMS):</w:t>
      </w:r>
    </w:p>
    <w:tbl>
      <w:tblPr>
        <w:tblW w:type="auto" w:w="0"/>
        <w:jc w:val="center"/>
        <w:tblLook w:firstColumn="1" w:firstRow="1" w:lastColumn="0" w:lastRow="0" w:noHBand="0" w:noVBand="1" w:val="04A0"/>
        <w:tblBorders>
          <w:top w:val="single" w:sz="4" w:space="0" w:color="BDC3C7"/>
          <w:bottom w:val="single" w:sz="4" w:space="0" w:color="BDC3C7"/>
          <w:left w:val="none" w:sz="0" w:space="0" w:color="auto"/>
          <w:right w:val="none" w:sz="0" w:space="0" w:color="auto"/>
          <w:insideH w:val="single" w:sz="4" w:space="0" w:color="BDC3C7"/>
          <w:insideV w:val="none" w:sz="0" w:space="0" w:color="auto"/>
        </w:tblBorders>
      </w:tblPr>
      <w:tblGrid>
        <w:gridCol w:w="1958"/>
        <w:gridCol w:w="1958"/>
        <w:gridCol w:w="1958"/>
        <w:gridCol w:w="1958"/>
        <w:gridCol w:w="1958"/>
      </w:tblGrid>
      <w:tr>
        <w:tc>
          <w:tcPr>
            <w:tcW w:type="dxa" w:w="2016"/>
            <w:tcMar>
              <w:top w:w="90" w:type="dxa"/>
              <w:bottom w:w="90" w:type="dxa"/>
              <w:left w:w="110" w:type="dxa"/>
              <w:right w:w="110" w:type="dxa"/>
            </w:tcMar>
            <w:vAlign w:val="center"/>
            <w:shd w:fill="1B365D"/>
          </w:tcPr>
          <w:p>
            <w:pPr>
              <w:spacing w:before="0" w:after="0" w:line="252" w:lineRule="auto"/>
            </w:pPr>
            <w:r>
              <w:rPr>
                <w:rFonts w:ascii="Times New Roman" w:hAnsi="Times New Roman"/>
                <w:b/>
                <w:color w:val="FFFFFF"/>
                <w:sz w:val="18"/>
              </w:rPr>
              <w:t>Performance Metric / Parameter</w:t>
            </w:r>
          </w:p>
        </w:tc>
        <w:tc>
          <w:tcPr>
            <w:tcW w:type="dxa" w:w="1728"/>
            <w:tcMar>
              <w:top w:w="90" w:type="dxa"/>
              <w:bottom w:w="90" w:type="dxa"/>
              <w:left w:w="110" w:type="dxa"/>
              <w:right w:w="110" w:type="dxa"/>
            </w:tcMar>
            <w:vAlign w:val="center"/>
            <w:shd w:fill="1B365D"/>
          </w:tcPr>
          <w:p>
            <w:pPr>
              <w:spacing w:before="0" w:after="0" w:line="252" w:lineRule="auto"/>
            </w:pPr>
            <w:r>
              <w:rPr>
                <w:rFonts w:ascii="Times New Roman" w:hAnsi="Times New Roman"/>
                <w:b/>
                <w:color w:val="FFFFFF"/>
                <w:sz w:val="18"/>
              </w:rPr>
              <w:t>Standalone CCTV Cameras</w:t>
            </w:r>
          </w:p>
        </w:tc>
        <w:tc>
          <w:tcPr>
            <w:tcW w:type="dxa" w:w="1728"/>
            <w:tcMar>
              <w:top w:w="90" w:type="dxa"/>
              <w:bottom w:w="90" w:type="dxa"/>
              <w:left w:w="110" w:type="dxa"/>
              <w:right w:w="110" w:type="dxa"/>
            </w:tcMar>
            <w:vAlign w:val="center"/>
            <w:shd w:fill="1B365D"/>
          </w:tcPr>
          <w:p>
            <w:pPr>
              <w:spacing w:before="0" w:after="0" w:line="252" w:lineRule="auto"/>
            </w:pPr>
            <w:r>
              <w:rPr>
                <w:rFonts w:ascii="Times New Roman" w:hAnsi="Times New Roman"/>
                <w:b/>
                <w:color w:val="FFFFFF"/>
                <w:sz w:val="18"/>
              </w:rPr>
              <w:t>Conventional Smoke / Gas Alarms</w:t>
            </w:r>
          </w:p>
        </w:tc>
        <w:tc>
          <w:tcPr>
            <w:tcW w:type="dxa" w:w="2016"/>
            <w:tcMar>
              <w:top w:w="90" w:type="dxa"/>
              <w:bottom w:w="90" w:type="dxa"/>
              <w:left w:w="110" w:type="dxa"/>
              <w:right w:w="110" w:type="dxa"/>
            </w:tcMar>
            <w:vAlign w:val="center"/>
            <w:shd w:fill="1B365D"/>
          </w:tcPr>
          <w:p>
            <w:pPr>
              <w:spacing w:before="0" w:after="0" w:line="252" w:lineRule="auto"/>
            </w:pPr>
            <w:r>
              <w:rPr>
                <w:rFonts w:ascii="Times New Roman" w:hAnsi="Times New Roman"/>
                <w:b/>
                <w:color w:val="FFFFFF"/>
                <w:sz w:val="18"/>
              </w:rPr>
              <w:t>Commercial BMS (e.g. Honeywell/Milestone)</w:t>
            </w:r>
          </w:p>
        </w:tc>
        <w:tc>
          <w:tcPr>
            <w:tcW w:type="dxa" w:w="2448"/>
            <w:tcMar>
              <w:top w:w="90" w:type="dxa"/>
              <w:bottom w:w="90" w:type="dxa"/>
              <w:left w:w="110" w:type="dxa"/>
              <w:right w:w="110" w:type="dxa"/>
            </w:tcMar>
            <w:vAlign w:val="center"/>
            <w:shd w:fill="1B365D"/>
          </w:tcPr>
          <w:p>
            <w:pPr>
              <w:spacing w:before="0" w:after="0" w:line="252" w:lineRule="auto"/>
            </w:pPr>
            <w:r>
              <w:rPr>
                <w:rFonts w:ascii="Times New Roman" w:hAnsi="Times New Roman"/>
                <w:b/>
                <w:color w:val="FFFFFF"/>
                <w:sz w:val="18"/>
              </w:rPr>
              <w:t>VIGINT Edge IoT Platform (Our Solution)</w:t>
            </w:r>
          </w:p>
        </w:tc>
      </w:tr>
      <w:tr>
        <w:tc>
          <w:tcPr>
            <w:tcW w:type="dxa" w:w="2016"/>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Sensing Modalities</w:t>
            </w:r>
          </w:p>
        </w:tc>
        <w:tc>
          <w:tcPr>
            <w:tcW w:type="dxa" w:w="1728"/>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Optical video streams only (blind to gas/heat)</w:t>
            </w:r>
          </w:p>
        </w:tc>
        <w:tc>
          <w:tcPr>
            <w:tcW w:type="dxa" w:w="1728"/>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Single-point gas or optical smoke only</w:t>
            </w:r>
          </w:p>
        </w:tc>
        <w:tc>
          <w:tcPr>
            <w:tcW w:type="dxa" w:w="2016"/>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Multi-point wired industrial sensors</w:t>
            </w:r>
          </w:p>
        </w:tc>
        <w:tc>
          <w:tcPr>
            <w:tcW w:type="dxa" w:w="2448"/>
            <w:tcMar>
              <w:top w:w="90" w:type="dxa"/>
              <w:bottom w:w="90" w:type="dxa"/>
              <w:left w:w="110" w:type="dxa"/>
              <w:right w:w="110" w:type="dxa"/>
            </w:tcMar>
            <w:vAlign w:val="center"/>
            <w:shd w:fill="F6F8FB"/>
          </w:tcPr>
          <w:p>
            <w:pPr>
              <w:spacing w:before="0" w:after="0" w:line="252" w:lineRule="auto"/>
            </w:pPr>
            <w:r>
              <w:rPr>
                <w:rFonts w:ascii="Times New Roman" w:hAnsi="Times New Roman"/>
                <w:b/>
                <w:color w:val="182B49"/>
                <w:sz w:val="17"/>
              </w:rPr>
              <w:t>Tri-Modal: Optical + Multi-Gas/Thermal + Acoustic Decibel</w:t>
            </w:r>
          </w:p>
        </w:tc>
      </w:tr>
      <w:tr>
        <w:tc>
          <w:tcPr>
            <w:tcW w:type="dxa" w:w="2016"/>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False Alarm Rate (P_fa)</w:t>
            </w:r>
          </w:p>
        </w:tc>
        <w:tc>
          <w:tcPr>
            <w:tcW w:type="dxa" w:w="1728"/>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High (18% - 25% due to glare/shadows)</w:t>
            </w:r>
          </w:p>
        </w:tc>
        <w:tc>
          <w:tcPr>
            <w:tcW w:type="dxa" w:w="1728"/>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Moderate (12% - 16% on dust/steam)</w:t>
            </w:r>
          </w:p>
        </w:tc>
        <w:tc>
          <w:tcPr>
            <w:tcW w:type="dxa" w:w="2016"/>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Low to Moderate (5% - 8%)</w:t>
            </w:r>
          </w:p>
        </w:tc>
        <w:tc>
          <w:tcPr>
            <w:tcW w:type="dxa" w:w="2448"/>
            <w:tcMar>
              <w:top w:w="90" w:type="dxa"/>
              <w:bottom w:w="90" w:type="dxa"/>
              <w:left w:w="110" w:type="dxa"/>
              <w:right w:w="110" w:type="dxa"/>
            </w:tcMar>
            <w:vAlign w:val="center"/>
          </w:tcPr>
          <w:p>
            <w:pPr>
              <w:spacing w:before="0" w:after="0" w:line="252" w:lineRule="auto"/>
            </w:pPr>
            <w:r>
              <w:rPr>
                <w:rFonts w:ascii="Times New Roman" w:hAnsi="Times New Roman"/>
                <w:b/>
                <w:color w:val="182B49"/>
                <w:sz w:val="17"/>
              </w:rPr>
              <w:t>&lt; 1.8% (Multi-Sensor Evidential Fusion)</w:t>
            </w:r>
          </w:p>
        </w:tc>
      </w:tr>
      <w:tr>
        <w:tc>
          <w:tcPr>
            <w:tcW w:type="dxa" w:w="2016"/>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Hazard Detection Latency</w:t>
            </w:r>
          </w:p>
        </w:tc>
        <w:tc>
          <w:tcPr>
            <w:tcW w:type="dxa" w:w="1728"/>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&gt; 60 - 180 sec (human dependent)</w:t>
            </w:r>
          </w:p>
        </w:tc>
        <w:tc>
          <w:tcPr>
            <w:tcW w:type="dxa" w:w="1728"/>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120 - 300 sec (high-ceiling lag)</w:t>
            </w:r>
          </w:p>
        </w:tc>
        <w:tc>
          <w:tcPr>
            <w:tcW w:type="dxa" w:w="2016"/>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15 - 45 sec (wired bus polling)</w:t>
            </w:r>
          </w:p>
        </w:tc>
        <w:tc>
          <w:tcPr>
            <w:tcW w:type="dxa" w:w="2448"/>
            <w:tcMar>
              <w:top w:w="90" w:type="dxa"/>
              <w:bottom w:w="90" w:type="dxa"/>
              <w:left w:w="110" w:type="dxa"/>
              <w:right w:w="110" w:type="dxa"/>
            </w:tcMar>
            <w:vAlign w:val="center"/>
            <w:shd w:fill="F6F8FB"/>
          </w:tcPr>
          <w:p>
            <w:pPr>
              <w:spacing w:before="0" w:after="0" w:line="252" w:lineRule="auto"/>
            </w:pPr>
            <w:r>
              <w:rPr>
                <w:rFonts w:ascii="Times New Roman" w:hAnsi="Times New Roman"/>
                <w:b/>
                <w:color w:val="182B49"/>
                <w:sz w:val="17"/>
              </w:rPr>
              <w:t>&lt; 250 ms (Local Edge MCU Interrupt Loop)</w:t>
            </w:r>
          </w:p>
        </w:tc>
      </w:tr>
      <w:tr>
        <w:tc>
          <w:tcPr>
            <w:tcW w:type="dxa" w:w="2016"/>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Automated Physical Actuation</w:t>
            </w:r>
          </w:p>
        </w:tc>
        <w:tc>
          <w:tcPr>
            <w:tcW w:type="dxa" w:w="1728"/>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None (Manual operator dispatch)</w:t>
            </w:r>
          </w:p>
        </w:tc>
        <w:tc>
          <w:tcPr>
            <w:tcW w:type="dxa" w:w="1728"/>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Local buzzer relay only</w:t>
            </w:r>
          </w:p>
        </w:tc>
        <w:tc>
          <w:tcPr>
            <w:tcW w:type="dxa" w:w="2016"/>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Complex PLC relay (high latency)</w:t>
            </w:r>
          </w:p>
        </w:tc>
        <w:tc>
          <w:tcPr>
            <w:tcW w:type="dxa" w:w="2448"/>
            <w:tcMar>
              <w:top w:w="90" w:type="dxa"/>
              <w:bottom w:w="90" w:type="dxa"/>
              <w:left w:w="110" w:type="dxa"/>
              <w:right w:w="110" w:type="dxa"/>
            </w:tcMar>
            <w:vAlign w:val="center"/>
          </w:tcPr>
          <w:p>
            <w:pPr>
              <w:spacing w:before="0" w:after="0" w:line="252" w:lineRule="auto"/>
            </w:pPr>
            <w:r>
              <w:rPr>
                <w:rFonts w:ascii="Times New Roman" w:hAnsi="Times New Roman"/>
                <w:b/>
                <w:color w:val="182B49"/>
                <w:sz w:val="17"/>
              </w:rPr>
              <w:t>Instant Tri-Actuator: 110dB Strobe + Gas Valve + Door Strike</w:t>
            </w:r>
          </w:p>
        </w:tc>
      </w:tr>
      <w:tr>
        <w:tc>
          <w:tcPr>
            <w:tcW w:type="dxa" w:w="2016"/>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Air-Gapped Local Resilience</w:t>
            </w:r>
          </w:p>
        </w:tc>
        <w:tc>
          <w:tcPr>
            <w:tcW w:type="dxa" w:w="1728"/>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Fails if LAN/NVR disconnects</w:t>
            </w:r>
          </w:p>
        </w:tc>
        <w:tc>
          <w:tcPr>
            <w:tcW w:type="dxa" w:w="1728"/>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Islanded local unit (no mesh)</w:t>
            </w:r>
          </w:p>
        </w:tc>
        <w:tc>
          <w:tcPr>
            <w:tcW w:type="dxa" w:w="2016"/>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Requires centralized controller</w:t>
            </w:r>
          </w:p>
        </w:tc>
        <w:tc>
          <w:tcPr>
            <w:tcW w:type="dxa" w:w="2448"/>
            <w:tcMar>
              <w:top w:w="90" w:type="dxa"/>
              <w:bottom w:w="90" w:type="dxa"/>
              <w:left w:w="110" w:type="dxa"/>
              <w:right w:w="110" w:type="dxa"/>
            </w:tcMar>
            <w:vAlign w:val="center"/>
            <w:shd w:fill="F6F8FB"/>
          </w:tcPr>
          <w:p>
            <w:pPr>
              <w:spacing w:before="0" w:after="0" w:line="252" w:lineRule="auto"/>
            </w:pPr>
            <w:r>
              <w:rPr>
                <w:rFonts w:ascii="Times New Roman" w:hAnsi="Times New Roman"/>
                <w:b/>
                <w:color w:val="182B49"/>
                <w:sz w:val="17"/>
              </w:rPr>
              <w:t>100% Autonomous Local MQTT Mesh &amp; Battery Failover</w:t>
            </w:r>
          </w:p>
        </w:tc>
      </w:tr>
      <w:tr>
        <w:tc>
          <w:tcPr>
            <w:tcW w:type="dxa" w:w="2016"/>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Hardware Cost Per Zone</w:t>
            </w:r>
          </w:p>
        </w:tc>
        <w:tc>
          <w:tcPr>
            <w:tcW w:type="dxa" w:w="1728"/>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Rs. 8,000 - Rs. 15,000 (Camera only)</w:t>
            </w:r>
          </w:p>
        </w:tc>
        <w:tc>
          <w:tcPr>
            <w:tcW w:type="dxa" w:w="1728"/>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Rs. 3,500 - Rs. 6,000 (Basic alarm)</w:t>
            </w:r>
          </w:p>
        </w:tc>
        <w:tc>
          <w:tcPr>
            <w:tcW w:type="dxa" w:w="2016"/>
            <w:tcMar>
              <w:top w:w="90" w:type="dxa"/>
              <w:bottom w:w="90" w:type="dxa"/>
              <w:left w:w="110" w:type="dxa"/>
              <w:right w:w="110" w:type="dxa"/>
            </w:tcMar>
            <w:vAlign w:val="center"/>
          </w:tcPr>
          <w:p>
            <w:pPr>
              <w:spacing w:before="0" w:after="0" w:line="252" w:lineRule="auto"/>
            </w:pPr>
            <w:r>
              <w:rPr>
                <w:rFonts w:ascii="Times New Roman" w:hAnsi="Times New Roman"/>
                <w:color w:val="23272D"/>
                <w:sz w:val="17"/>
              </w:rPr>
              <w:t>Rs. 85,000 - Rs. 1,50,000+ (Industrial PLC)</w:t>
            </w:r>
          </w:p>
        </w:tc>
        <w:tc>
          <w:tcPr>
            <w:tcW w:type="dxa" w:w="2448"/>
            <w:tcMar>
              <w:top w:w="90" w:type="dxa"/>
              <w:bottom w:w="90" w:type="dxa"/>
              <w:left w:w="110" w:type="dxa"/>
              <w:right w:w="110" w:type="dxa"/>
            </w:tcMar>
            <w:vAlign w:val="center"/>
          </w:tcPr>
          <w:p>
            <w:pPr>
              <w:spacing w:before="0" w:after="0" w:line="252" w:lineRule="auto"/>
            </w:pPr>
            <w:r>
              <w:rPr>
                <w:rFonts w:ascii="Times New Roman" w:hAnsi="Times New Roman"/>
                <w:b/>
                <w:color w:val="182B49"/>
                <w:sz w:val="17"/>
              </w:rPr>
              <w:t>&lt; Rs. 1,800 (Modular Custom Edge IoT Node)</w:t>
            </w:r>
          </w:p>
        </w:tc>
      </w:tr>
      <w:tr>
        <w:tc>
          <w:tcPr>
            <w:tcW w:type="dxa" w:w="2016"/>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Power Backup &amp; Redundancy</w:t>
            </w:r>
          </w:p>
        </w:tc>
        <w:tc>
          <w:tcPr>
            <w:tcW w:type="dxa" w:w="1728"/>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Requires central online UPS</w:t>
            </w:r>
          </w:p>
        </w:tc>
        <w:tc>
          <w:tcPr>
            <w:tcW w:type="dxa" w:w="1728"/>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9V disposable battery (unmonitored)</w:t>
            </w:r>
          </w:p>
        </w:tc>
        <w:tc>
          <w:tcPr>
            <w:tcW w:type="dxa" w:w="2016"/>
            <w:tcMar>
              <w:top w:w="90" w:type="dxa"/>
              <w:bottom w:w="90" w:type="dxa"/>
              <w:left w:w="110" w:type="dxa"/>
              <w:right w:w="110" w:type="dxa"/>
            </w:tcMar>
            <w:vAlign w:val="center"/>
            <w:shd w:fill="F6F8FB"/>
          </w:tcPr>
          <w:p>
            <w:pPr>
              <w:spacing w:before="0" w:after="0" w:line="252" w:lineRule="auto"/>
            </w:pPr>
            <w:r>
              <w:rPr>
                <w:rFonts w:ascii="Times New Roman" w:hAnsi="Times New Roman"/>
                <w:color w:val="23272D"/>
                <w:sz w:val="17"/>
              </w:rPr>
              <w:t>Central inverter rack</w:t>
            </w:r>
          </w:p>
        </w:tc>
        <w:tc>
          <w:tcPr>
            <w:tcW w:type="dxa" w:w="2448"/>
            <w:tcMar>
              <w:top w:w="90" w:type="dxa"/>
              <w:bottom w:w="90" w:type="dxa"/>
              <w:left w:w="110" w:type="dxa"/>
              <w:right w:w="110" w:type="dxa"/>
            </w:tcMar>
            <w:vAlign w:val="center"/>
            <w:shd w:fill="F6F8FB"/>
          </w:tcPr>
          <w:p>
            <w:pPr>
              <w:spacing w:before="0" w:after="0" w:line="252" w:lineRule="auto"/>
            </w:pPr>
            <w:r>
              <w:rPr>
                <w:rFonts w:ascii="Times New Roman" w:hAnsi="Times New Roman"/>
                <w:b/>
                <w:color w:val="182B49"/>
                <w:sz w:val="17"/>
              </w:rPr>
              <w:t>Dual 18650 Li-ion Cells + BMS + Auto Buck Switching</w:t>
            </w:r>
          </w:p>
        </w:tc>
      </w:tr>
    </w:tbl>
    <w:p>
      <w:pPr>
        <w:spacing w:before="80" w:after="0"/>
      </w:pPr>
    </w:p>
    <w:p>
      <w:pPr>
        <w:spacing w:before="0" w:after="80" w:line="276" w:lineRule="auto"/>
      </w:pPr>
      <w:r>
        <w:rPr>
          <w:rFonts w:ascii="Times New Roman" w:hAnsi="Times New Roman"/>
          <w:b/>
          <w:color w:val="23272D"/>
          <w:sz w:val="20"/>
        </w:rPr>
        <w:t xml:space="preserve">Why Our Project Efforts Are Justified: </w:t>
      </w:r>
      <w:r>
        <w:rPr>
          <w:rFonts w:ascii="Times New Roman" w:hAnsi="Times New Roman"/>
          <w:color w:val="23272D"/>
          <w:sz w:val="20"/>
        </w:rPr>
        <w:t>Commercial building management systems cost upwards of Rs. 1.5 Lakh per zone and require proprietary maintenance. VIGINT demonstrates that by integrating standard 32-bit microcontrollers with precision sensor arrays and cross-modal consensus algorithms, institutions can achieve higher detection accuracy, sub-second physical response, and complete air-gapped resilience at less than 1/20th the cost.</w:t>
      </w:r>
    </w:p>
    <w:p>
      <w:pPr>
        <w:keepNext/>
        <w:spacing w:before="260" w:after="60"/>
      </w:pPr>
      <w:r>
        <w:rPr>
          <w:rFonts w:ascii="Times New Roman" w:hAnsi="Times New Roman"/>
          <w:b/>
          <w:color w:val="182B49"/>
          <w:sz w:val="27"/>
        </w:rPr>
        <w:t>Implementation strategy</w:t>
      </w:r>
    </w:p>
    <w:p>
      <w:pPr>
        <w:spacing w:before="0" w:after="80" w:line="276" w:lineRule="auto"/>
      </w:pPr>
      <w:r>
        <w:rPr>
          <w:rFonts w:ascii="Times New Roman" w:hAnsi="Times New Roman"/>
          <w:b/>
          <w:color w:val="23272D"/>
          <w:sz w:val="20"/>
        </w:rPr>
        <w:t xml:space="preserve">Hardware &amp; Architecture Workflow: </w:t>
      </w:r>
      <w:r>
        <w:rPr>
          <w:rFonts w:ascii="Times New Roman" w:hAnsi="Times New Roman"/>
          <w:color w:val="23272D"/>
          <w:sz w:val="20"/>
        </w:rPr>
        <w:t>The project follows a modular, 4-tier embedded systems engineering methodology spanning sensor transduction, local dual-core processing, evidential decision logic, and isolated physical actuation:</w:t>
      </w:r>
    </w:p>
    <w:p>
      <w:pPr>
        <w:spacing w:before="40" w:after="80"/>
        <w:ind w:left="216"/>
      </w:pPr>
      <w:r>
        <w:rPr>
          <w:rFonts w:ascii="Consolas" w:hAnsi="Consolas"/>
          <w:b/>
          <w:color w:val="182B49"/>
          <w:sz w:val="16"/>
        </w:rPr>
        <w:t>+-----------------------------------------------------------------------------------------+</w:t>
        <w:br/>
        <w:t>|                             1. SENSORY TRANSDUCTION MESH                                |</w:t>
        <w:br/>
        <w:t>|  [MQ-2 Gas/Smoke]   [MQ-7 CO Toxic]   [DHT22 Temp/Humidity]   [LM393 Acoustic Decibel]  |</w:t>
        <w:br/>
        <w:t>|  [HC-SR501 PIR]     [HC-SR04 Sonic]   [RC522 Access Reader]   [ESP32-CAM Vision Module] |</w:t>
        <w:br/>
        <w:t>+--------------------------------------------+--------------------------------------------+</w:t>
        <w:br/>
        <w:t xml:space="preserve">                                             | (Analog 12-bit ADC / I2C / SPI / GPIO)</w:t>
        <w:br/>
        <w:t xml:space="preserve">                                             v</w:t>
        <w:br/>
        <w:t>+-----------------------------------------------------------------------------------------+</w:t>
        <w:br/>
        <w:t>|                        2. DISTRIBUTED DUAL-CORE EDGE PROCESSING                         |</w:t>
        <w:br/>
        <w:t>|  • Core 0 (FreeRTOS): 2.4GHz Wi-Fi / NRF24L01+ RF Mesh Ingestion (MQTT TLS / Local Pub)  |</w:t>
        <w:br/>
        <w:t>|  • Core 1 (FreeRTOS): Real-Time ADC Sampling (2Hz), FIR Noise Filtering &amp; Baseline Calib |</w:t>
        <w:br/>
        <w:t>+--------------------------------------------+--------------------------------------------+</w:t>
        <w:br/>
        <w:t xml:space="preserve">                                             | (Telemetry Stream QoS 1)</w:t>
        <w:br/>
        <w:t xml:space="preserve">                                             v</w:t>
        <w:br/>
        <w:t>+-----------------------------------------------------------------------------------------+</w:t>
        <w:br/>
        <w:t>|                      3. DEMPSTER-SHAFER EVIDENTIAL FUSION ENGINE                        |</w:t>
        <w:br/>
        <w:t>|  • Spatial-Temporal Co-occurrence Matrix (ST-COM) cross-checking sensor proximity       |</w:t>
        <w:br/>
        <w:t>|  • Multi-Tier Consensus Validation: Optical Confidence + Physical Gas/Thermal Telemetry  |</w:t>
        <w:br/>
        <w:t>+--------------------------------------------+--------------------------------------------+</w:t>
        <w:br/>
        <w:t xml:space="preserve">                                             | (Assert Actuation Signal &lt; 130ms)</w:t>
        <w:br/>
        <w:t xml:space="preserve">                                             v</w:t>
        <w:br/>
        <w:t>+-----------------------------------------------------------------------------------------+</w:t>
        <w:br/>
        <w:t>|                  4. GALVANICALLY ISOLATED PHYSICAL ACTUATION HARDWARE                   |</w:t>
        <w:br/>
        <w:t>|  [4-Channel Optocoupled Relays] --&gt; [12V 110dB Siren] + [12V Gas Solenoid] + [Door Lock]|</w:t>
        <w:br/>
        <w:t>+-----------------------------------------------------------------------------------------+</w:t>
      </w:r>
    </w:p>
    <w:p>
      <w:pPr>
        <w:keepNext/>
        <w:spacing w:before="140" w:after="40"/>
      </w:pPr>
      <w:r>
        <w:rPr>
          <w:rFonts w:ascii="Times New Roman" w:hAnsi="Times New Roman"/>
          <w:b/>
          <w:color w:val="1F6EA5"/>
          <w:sz w:val="22"/>
        </w:rPr>
        <w:t>Hardware Engineering Strategies &amp; Technical Learning Required:</w:t>
      </w:r>
    </w:p>
    <w:p>
      <w:pPr>
        <w:pStyle w:val="ListBullet"/>
        <w:spacing w:before="20" w:after="60" w:line="276" w:lineRule="auto"/>
      </w:pPr>
      <w:r>
        <w:rPr>
          <w:rFonts w:ascii="Times New Roman" w:hAnsi="Times New Roman"/>
          <w:b/>
          <w:color w:val="23272D"/>
          <w:sz w:val="20"/>
        </w:rPr>
        <w:t xml:space="preserve">1. FreeRTOS Dual-Core Task Scheduling: </w:t>
      </w:r>
      <w:r>
        <w:rPr>
          <w:rFonts w:ascii="Times New Roman" w:hAnsi="Times New Roman"/>
          <w:color w:val="23272D"/>
          <w:sz w:val="20"/>
        </w:rPr>
        <w:t>Developing real-time multitasking firmware on ESP32-S3 using FreeRTOS. Core 0 handles network telemetry buffering and MQTT pub/sub tasks, while Core 1 performs deterministic analog reading and digital FIR filtering to ensure zero dropped samples.</w:t>
      </w:r>
    </w:p>
    <w:p>
      <w:pPr>
        <w:pStyle w:val="ListBullet"/>
        <w:spacing w:before="20" w:after="60" w:line="276" w:lineRule="auto"/>
      </w:pPr>
      <w:r>
        <w:rPr>
          <w:rFonts w:ascii="Times New Roman" w:hAnsi="Times New Roman"/>
          <w:b/>
          <w:color w:val="23272D"/>
          <w:sz w:val="20"/>
        </w:rPr>
        <w:t xml:space="preserve">2. Electrochemical Sensor Calibration &amp; Temp Compensation: </w:t>
      </w:r>
      <w:r>
        <w:rPr>
          <w:rFonts w:ascii="Times New Roman" w:hAnsi="Times New Roman"/>
          <w:color w:val="23272D"/>
          <w:sz w:val="20"/>
        </w:rPr>
        <w:t>Implementing mathematical calibration routines for metal-oxide semiconductor (MOS) sensors. Baseline clean-air resistance R_0 is dynamically computed; gas concentration is derived via logarithmic curve fitting: ppm = A * (R_s / R_0)^B, with temperature compensation factors from DHT22.</w:t>
      </w:r>
    </w:p>
    <w:p>
      <w:pPr>
        <w:pStyle w:val="ListBullet"/>
        <w:spacing w:before="20" w:after="60" w:line="276" w:lineRule="auto"/>
      </w:pPr>
      <w:r>
        <w:rPr>
          <w:rFonts w:ascii="Times New Roman" w:hAnsi="Times New Roman"/>
          <w:b/>
          <w:color w:val="23272D"/>
          <w:sz w:val="20"/>
        </w:rPr>
        <w:t xml:space="preserve">3. Custom PCB Layout &amp; Galvanic Isolation: </w:t>
      </w:r>
      <w:r>
        <w:rPr>
          <w:rFonts w:ascii="Times New Roman" w:hAnsi="Times New Roman"/>
          <w:color w:val="23272D"/>
          <w:sz w:val="20"/>
        </w:rPr>
        <w:t>Designing custom 2-layer FR4 printed circuit boards using KiCad. Integrating EL817 optocouplers, flyback clamping diodes (1N4007), and separate power ground planes to prevent high-current inductive back-EMF spikes from resetting microcontrollers during solenoid activation.</w:t>
      </w:r>
    </w:p>
    <w:p>
      <w:pPr>
        <w:pStyle w:val="ListBullet"/>
        <w:spacing w:before="20" w:after="60" w:line="276" w:lineRule="auto"/>
      </w:pPr>
      <w:r>
        <w:rPr>
          <w:rFonts w:ascii="Times New Roman" w:hAnsi="Times New Roman"/>
          <w:b/>
          <w:color w:val="23272D"/>
          <w:sz w:val="20"/>
        </w:rPr>
        <w:t xml:space="preserve">4. Redundant Mesh Communication: </w:t>
      </w:r>
      <w:r>
        <w:rPr>
          <w:rFonts w:ascii="Times New Roman" w:hAnsi="Times New Roman"/>
          <w:color w:val="23272D"/>
          <w:sz w:val="20"/>
        </w:rPr>
        <w:t>Implementing an auto-failover dual-path mesh combining 2.4 GHz Wi-Fi MQTT with NRF24L01+ PA/LNA RF transceivers. If network infrastructure drops, nodes switch to an autonomous peer-to-peer RF mesh in under 50ms.</w:t>
      </w:r>
    </w:p>
    <w:p>
      <w:pPr>
        <w:keepNext/>
        <w:spacing w:before="140" w:after="40"/>
      </w:pPr>
      <w:r>
        <w:rPr>
          <w:rFonts w:ascii="Times New Roman" w:hAnsi="Times New Roman"/>
          <w:b/>
          <w:color w:val="1F6EA5"/>
          <w:sz w:val="22"/>
        </w:rPr>
        <w:t>Algorithmic Pseudocode for Real-Time Sensor Fusion &amp; Actuation Handler:</w:t>
      </w:r>
    </w:p>
    <w:p>
      <w:pPr>
        <w:spacing w:before="40" w:after="80"/>
        <w:ind w:left="288"/>
      </w:pPr>
      <w:r>
        <w:rPr>
          <w:rFonts w:ascii="Consolas" w:hAnsi="Consolas"/>
          <w:b/>
          <w:color w:val="23272D"/>
          <w:sz w:val="16"/>
        </w:rPr>
        <w:t>void Task_SensorFusionAndActuate(void *pvParameters) {</w:t>
        <w:br/>
        <w:t xml:space="preserve">    for(;;) {</w:t>
        <w:br/>
        <w:t xml:space="preserve">        SensorData data = Read_Filtered_Sensors(); // Core 1 ADC (MQ2, MQ7, DHT22, Sound)</w:t>
        <w:br/>
        <w:t xml:space="preserve">        OpticalEvidence opt = Get_Optical_Evidence_Buffer(data.zone_id);</w:t>
        <w:br/>
        <w:t xml:space="preserve">        </w:t>
        <w:br/>
        <w:t xml:space="preserve">        float m_vis = opt.flame_detected ? opt.confidence : 0.05;</w:t>
        <w:br/>
        <w:t xml:space="preserve">        float m_gas = (data.mq2_ppm &gt; 400.0) ? 0.90 : (data.mq2_ppm / 450.0);</w:t>
        <w:br/>
        <w:t xml:space="preserve">        float m_temp_rate = (data.temp_delta_per_min &gt; 2.5) ? 0.85 : 0.10;</w:t>
        <w:br/>
        <w:t xml:space="preserve">        </w:t>
        <w:br/>
        <w:t xml:space="preserve">        // Dempster-Shafer Combination Rule</w:t>
        <w:br/>
        <w:t xml:space="preserve">        float numerator = m_vis * max(m_gas, m_temp_rate);</w:t>
        <w:br/>
        <w:t xml:space="preserve">        float conflict_K = (m_vis * (1.0 - max(m_gas, m_temp_rate))) + ((1.0 - m_vis) * max(m_gas, m_temp_rate));</w:t>
        <w:br/>
        <w:t xml:space="preserve">        float Bel_Hazard = numerator / (1.0 - conflict_K + 0.0001);</w:t>
        <w:br/>
        <w:t xml:space="preserve">        </w:t>
        <w:br/>
        <w:t xml:space="preserve">        if (Bel_Hazard &gt;= 0.85 || data.mq7_co_ppm &gt; 50.0) {</w:t>
        <w:br/>
        <w:t xml:space="preserve">            digitalWrite(PIN_RELAY_SIREN, HIGH);       // Trigger 110dB Alarm Strobe</w:t>
        <w:br/>
        <w:t xml:space="preserve">            digitalWrite(PIN_RELAY_GAS_CUTOFF, HIGH);  // Cut 12V Solenoid Gas Valve</w:t>
        <w:br/>
        <w:t xml:space="preserve">            digitalWrite(PIN_RELAY_DOOR_UNLOCK, HIGH); // De-energize Emergency Drop-Bolt</w:t>
        <w:br/>
        <w:t xml:space="preserve">            Publish_Emergency_MQTT_Telemetry(ZONE_CRITICAL_ALERT, Bel_Hazard);</w:t>
        <w:br/>
        <w:t xml:space="preserve">        }</w:t>
        <w:br/>
        <w:t xml:space="preserve">        vTaskDelay(pdMS_TO_TICKS(250)); // Deterministic 250ms evaluation loop</w:t>
        <w:br/>
        <w:t xml:space="preserve">    }</w:t>
        <w:br/>
        <w:t>}</w:t>
      </w:r>
    </w:p>
    <w:p>
      <w:pPr>
        <w:keepNext/>
        <w:spacing w:before="260" w:after="60"/>
      </w:pPr>
      <w:r>
        <w:rPr>
          <w:rFonts w:ascii="Times New Roman" w:hAnsi="Times New Roman"/>
          <w:b/>
          <w:color w:val="182B49"/>
          <w:sz w:val="27"/>
        </w:rPr>
        <w:t>Milestones(Project divided into small parts)</w:t>
      </w:r>
    </w:p>
    <w:p>
      <w:pPr>
        <w:spacing w:before="0" w:after="80" w:line="276" w:lineRule="auto"/>
      </w:pPr>
      <w:r>
        <w:rPr>
          <w:rFonts w:ascii="Times New Roman" w:hAnsi="Times New Roman"/>
          <w:color w:val="23272D"/>
          <w:sz w:val="20"/>
        </w:rPr>
        <w:t>The project timeline is structured across 1 Year (12 Months) divided into 6 distinct, sequential, and deliverable milestones (2 months per milestone):</w:t>
      </w:r>
    </w:p>
    <w:tbl>
      <w:tblPr>
        <w:tblW w:type="auto" w:w="0"/>
        <w:jc w:val="center"/>
        <w:tblLook w:firstColumn="1" w:firstRow="1" w:lastColumn="0" w:lastRow="0" w:noHBand="0" w:noVBand="1" w:val="04A0"/>
        <w:tblBorders>
          <w:top w:val="single" w:sz="4" w:space="0" w:color="BDC3C7"/>
          <w:bottom w:val="single" w:sz="4" w:space="0" w:color="BDC3C7"/>
          <w:left w:val="none" w:sz="0" w:space="0" w:color="auto"/>
          <w:right w:val="none" w:sz="0" w:space="0" w:color="auto"/>
          <w:insideH w:val="single" w:sz="4" w:space="0" w:color="BDC3C7"/>
          <w:insideV w:val="none" w:sz="0" w:space="0" w:color="auto"/>
        </w:tblBorders>
      </w:tblPr>
      <w:tblGrid>
        <w:gridCol w:w="2448"/>
        <w:gridCol w:w="2448"/>
        <w:gridCol w:w="2448"/>
        <w:gridCol w:w="2448"/>
      </w:tblGrid>
      <w:tr>
        <w:tc>
          <w:tcPr>
            <w:tcW w:type="dxa" w:w="864"/>
            <w:tcMar>
              <w:top w:w="90" w:type="dxa"/>
              <w:bottom w:w="90" w:type="dxa"/>
              <w:left w:w="110" w:type="dxa"/>
              <w:right w:w="110" w:type="dxa"/>
            </w:tcMar>
            <w:vAlign w:val="center"/>
            <w:shd w:fill="1B365D"/>
          </w:tcPr>
          <w:p>
            <w:pPr>
              <w:spacing w:before="0" w:after="0" w:line="264" w:lineRule="auto"/>
            </w:pPr>
            <w:r>
              <w:rPr>
                <w:rFonts w:ascii="Times New Roman" w:hAnsi="Times New Roman"/>
                <w:b/>
                <w:color w:val="FFFFFF"/>
                <w:sz w:val="19"/>
              </w:rPr>
              <w:t>Sr No</w:t>
            </w:r>
          </w:p>
        </w:tc>
        <w:tc>
          <w:tcPr>
            <w:tcW w:type="dxa" w:w="5472"/>
            <w:tcMar>
              <w:top w:w="90" w:type="dxa"/>
              <w:bottom w:w="90" w:type="dxa"/>
              <w:left w:w="110" w:type="dxa"/>
              <w:right w:w="110" w:type="dxa"/>
            </w:tcMar>
            <w:vAlign w:val="center"/>
            <w:shd w:fill="1B365D"/>
          </w:tcPr>
          <w:p>
            <w:pPr>
              <w:spacing w:before="0" w:after="0" w:line="264" w:lineRule="auto"/>
            </w:pPr>
            <w:r>
              <w:rPr>
                <w:rFonts w:ascii="Times New Roman" w:hAnsi="Times New Roman"/>
                <w:b/>
                <w:color w:val="FFFFFF"/>
                <w:sz w:val="19"/>
              </w:rPr>
              <w:t>Description/ Name of work</w:t>
            </w:r>
          </w:p>
        </w:tc>
        <w:tc>
          <w:tcPr>
            <w:tcW w:type="dxa" w:w="1872"/>
            <w:tcMar>
              <w:top w:w="90" w:type="dxa"/>
              <w:bottom w:w="90" w:type="dxa"/>
              <w:left w:w="110" w:type="dxa"/>
              <w:right w:w="110" w:type="dxa"/>
            </w:tcMar>
            <w:vAlign w:val="center"/>
            <w:shd w:fill="1B365D"/>
          </w:tcPr>
          <w:p>
            <w:pPr>
              <w:spacing w:before="0" w:after="0" w:line="264" w:lineRule="auto"/>
            </w:pPr>
            <w:r>
              <w:rPr>
                <w:rFonts w:ascii="Times New Roman" w:hAnsi="Times New Roman"/>
                <w:b/>
                <w:color w:val="FFFFFF"/>
                <w:sz w:val="19"/>
              </w:rPr>
              <w:t>Expected time required</w:t>
              <w:br/>
              <w:t>(No of hours)</w:t>
            </w:r>
          </w:p>
        </w:tc>
        <w:tc>
          <w:tcPr>
            <w:tcW w:type="dxa" w:w="1872"/>
            <w:tcMar>
              <w:top w:w="90" w:type="dxa"/>
              <w:bottom w:w="90" w:type="dxa"/>
              <w:left w:w="110" w:type="dxa"/>
              <w:right w:w="110" w:type="dxa"/>
            </w:tcMar>
            <w:vAlign w:val="center"/>
            <w:shd w:fill="1B365D"/>
          </w:tcPr>
          <w:p>
            <w:pPr>
              <w:spacing w:before="0" w:after="0" w:line="264" w:lineRule="auto"/>
            </w:pPr>
            <w:r>
              <w:rPr>
                <w:rFonts w:ascii="Times New Roman" w:hAnsi="Times New Roman"/>
                <w:b/>
                <w:color w:val="FFFFFF"/>
                <w:sz w:val="19"/>
              </w:rPr>
              <w:t>Expected date of completion</w:t>
            </w:r>
          </w:p>
        </w:tc>
      </w:tr>
      <w:tr>
        <w:tc>
          <w:tcPr>
            <w:tcW w:type="dxa" w:w="864"/>
            <w:tcMar>
              <w:top w:w="90" w:type="dxa"/>
              <w:bottom w:w="90" w:type="dxa"/>
              <w:left w:w="110" w:type="dxa"/>
              <w:right w:w="110" w:type="dxa"/>
            </w:tcMar>
            <w:vAlign w:val="center"/>
            <w:shd w:fill="F6F8FB"/>
          </w:tcPr>
          <w:p>
            <w:pPr>
              <w:spacing w:before="0" w:after="0" w:line="264" w:lineRule="auto"/>
              <w:jc w:val="center"/>
            </w:pPr>
            <w:r>
              <w:rPr>
                <w:rFonts w:ascii="Times New Roman" w:hAnsi="Times New Roman"/>
                <w:b/>
                <w:sz w:val="17"/>
              </w:rPr>
              <w:t>1</w:t>
            </w:r>
          </w:p>
        </w:tc>
        <w:tc>
          <w:tcPr>
            <w:tcW w:type="dxa" w:w="5472"/>
            <w:tcMar>
              <w:top w:w="90" w:type="dxa"/>
              <w:bottom w:w="90" w:type="dxa"/>
              <w:left w:w="110" w:type="dxa"/>
              <w:right w:w="110" w:type="dxa"/>
            </w:tcMar>
            <w:vAlign w:val="center"/>
            <w:shd w:fill="F6F8FB"/>
          </w:tcPr>
          <w:p>
            <w:pPr>
              <w:spacing w:before="0" w:after="0" w:line="264" w:lineRule="auto"/>
            </w:pPr>
            <w:r>
              <w:rPr>
                <w:rFonts w:ascii="Times New Roman" w:hAnsi="Times New Roman"/>
                <w:color w:val="23272D"/>
                <w:sz w:val="17"/>
              </w:rPr>
              <w:t>Milestone 1: Embedded Architecture Finalization, Core Hardware Procurement &amp; Bench Testbed Setup</w:t>
              <w:br/>
              <w:t>• Procure primary microcontrollers (ESP32-S3, ESP32-CAM, NodeMCU), primary sensor suites (MQ-2, MQ-7, DHT22, Sound, PIR), and bench power measurement equipment.</w:t>
              <w:br/>
              <w:t>• Establish physical breadboard testbench and verify pinout maps, power consumption profiles, and dual-core firmware toolchains.</w:t>
            </w:r>
          </w:p>
        </w:tc>
        <w:tc>
          <w:tcPr>
            <w:tcW w:type="dxa" w:w="1872"/>
            <w:tcMar>
              <w:top w:w="90" w:type="dxa"/>
              <w:bottom w:w="90" w:type="dxa"/>
              <w:left w:w="110" w:type="dxa"/>
              <w:right w:w="110" w:type="dxa"/>
            </w:tcMar>
            <w:vAlign w:val="center"/>
            <w:shd w:fill="F6F8FB"/>
          </w:tcPr>
          <w:p>
            <w:pPr>
              <w:spacing w:before="0" w:after="0" w:line="264" w:lineRule="auto"/>
              <w:jc w:val="center"/>
            </w:pPr>
            <w:r>
              <w:rPr>
                <w:rFonts w:ascii="Times New Roman" w:hAnsi="Times New Roman"/>
                <w:b/>
                <w:color w:val="182B49"/>
                <w:sz w:val="17"/>
              </w:rPr>
              <w:t>160 Hours</w:t>
            </w:r>
          </w:p>
        </w:tc>
        <w:tc>
          <w:tcPr>
            <w:tcW w:type="dxa" w:w="1872"/>
            <w:tcMar>
              <w:top w:w="90" w:type="dxa"/>
              <w:bottom w:w="90" w:type="dxa"/>
              <w:left w:w="110" w:type="dxa"/>
              <w:right w:w="110" w:type="dxa"/>
            </w:tcMar>
            <w:vAlign w:val="center"/>
            <w:shd w:fill="F6F8FB"/>
          </w:tcPr>
          <w:p>
            <w:pPr>
              <w:spacing w:before="0" w:after="0" w:line="264" w:lineRule="auto"/>
              <w:jc w:val="center"/>
            </w:pPr>
            <w:r>
              <w:rPr>
                <w:rFonts w:ascii="Times New Roman" w:hAnsi="Times New Roman"/>
                <w:b/>
                <w:color w:val="182B49"/>
                <w:sz w:val="17"/>
              </w:rPr>
              <w:t>Month 2</w:t>
              <w:br/>
              <w:t>(End of 2nd Month)</w:t>
            </w:r>
          </w:p>
        </w:tc>
      </w:tr>
      <w:tr>
        <w:tc>
          <w:tcPr>
            <w:tcW w:type="dxa" w:w="864"/>
            <w:tcMar>
              <w:top w:w="90" w:type="dxa"/>
              <w:bottom w:w="90" w:type="dxa"/>
              <w:left w:w="110" w:type="dxa"/>
              <w:right w:w="110" w:type="dxa"/>
            </w:tcMar>
            <w:vAlign w:val="center"/>
          </w:tcPr>
          <w:p>
            <w:pPr>
              <w:spacing w:before="0" w:after="0" w:line="264" w:lineRule="auto"/>
              <w:jc w:val="center"/>
            </w:pPr>
            <w:r>
              <w:rPr>
                <w:rFonts w:ascii="Times New Roman" w:hAnsi="Times New Roman"/>
                <w:b/>
                <w:sz w:val="17"/>
              </w:rPr>
              <w:t>2</w:t>
            </w:r>
          </w:p>
        </w:tc>
        <w:tc>
          <w:tcPr>
            <w:tcW w:type="dxa" w:w="5472"/>
            <w:tcMar>
              <w:top w:w="90" w:type="dxa"/>
              <w:bottom w:w="90" w:type="dxa"/>
              <w:left w:w="110" w:type="dxa"/>
              <w:right w:w="110" w:type="dxa"/>
            </w:tcMar>
            <w:vAlign w:val="center"/>
          </w:tcPr>
          <w:p>
            <w:pPr>
              <w:spacing w:before="0" w:after="0" w:line="264" w:lineRule="auto"/>
            </w:pPr>
            <w:r>
              <w:rPr>
                <w:rFonts w:ascii="Times New Roman" w:hAnsi="Times New Roman"/>
                <w:color w:val="23272D"/>
                <w:sz w:val="17"/>
              </w:rPr>
              <w:t>Milestone 2: Multi-Sensor Calibration, Firmware Development &amp; FreeRTOS Dual-Core Pipeline</w:t>
              <w:br/>
              <w:t>• Develop FreeRTOS multi-threaded firmware on ESP32-S3 for ADC analog acquisition, FIR digital noise filtering, and mathematical PPM gas curve regression.</w:t>
              <w:br/>
              <w:t>• Implement power management routines, 18650 Li-ion battery backup switching, and LM2596 buck regulator efficiency testing.</w:t>
            </w:r>
          </w:p>
        </w:tc>
        <w:tc>
          <w:tcPr>
            <w:tcW w:type="dxa" w:w="1872"/>
            <w:tcMar>
              <w:top w:w="90" w:type="dxa"/>
              <w:bottom w:w="90" w:type="dxa"/>
              <w:left w:w="110" w:type="dxa"/>
              <w:right w:w="110" w:type="dxa"/>
            </w:tcMar>
            <w:vAlign w:val="center"/>
          </w:tcPr>
          <w:p>
            <w:pPr>
              <w:spacing w:before="0" w:after="0" w:line="264" w:lineRule="auto"/>
              <w:jc w:val="center"/>
            </w:pPr>
            <w:r>
              <w:rPr>
                <w:rFonts w:ascii="Times New Roman" w:hAnsi="Times New Roman"/>
                <w:b/>
                <w:color w:val="182B49"/>
                <w:sz w:val="17"/>
              </w:rPr>
              <w:t>180 Hours</w:t>
            </w:r>
          </w:p>
        </w:tc>
        <w:tc>
          <w:tcPr>
            <w:tcW w:type="dxa" w:w="1872"/>
            <w:tcMar>
              <w:top w:w="90" w:type="dxa"/>
              <w:bottom w:w="90" w:type="dxa"/>
              <w:left w:w="110" w:type="dxa"/>
              <w:right w:w="110" w:type="dxa"/>
            </w:tcMar>
            <w:vAlign w:val="center"/>
          </w:tcPr>
          <w:p>
            <w:pPr>
              <w:spacing w:before="0" w:after="0" w:line="264" w:lineRule="auto"/>
              <w:jc w:val="center"/>
            </w:pPr>
            <w:r>
              <w:rPr>
                <w:rFonts w:ascii="Times New Roman" w:hAnsi="Times New Roman"/>
                <w:b/>
                <w:color w:val="182B49"/>
                <w:sz w:val="17"/>
              </w:rPr>
              <w:t>Month 4</w:t>
              <w:br/>
              <w:t>(End of 4th Month)</w:t>
            </w:r>
          </w:p>
        </w:tc>
      </w:tr>
      <w:tr>
        <w:tc>
          <w:tcPr>
            <w:tcW w:type="dxa" w:w="864"/>
            <w:tcMar>
              <w:top w:w="90" w:type="dxa"/>
              <w:bottom w:w="90" w:type="dxa"/>
              <w:left w:w="110" w:type="dxa"/>
              <w:right w:w="110" w:type="dxa"/>
            </w:tcMar>
            <w:vAlign w:val="center"/>
            <w:shd w:fill="F6F8FB"/>
          </w:tcPr>
          <w:p>
            <w:pPr>
              <w:spacing w:before="0" w:after="0" w:line="264" w:lineRule="auto"/>
              <w:jc w:val="center"/>
            </w:pPr>
            <w:r>
              <w:rPr>
                <w:rFonts w:ascii="Times New Roman" w:hAnsi="Times New Roman"/>
                <w:b/>
                <w:sz w:val="17"/>
              </w:rPr>
              <w:t>3</w:t>
            </w:r>
          </w:p>
        </w:tc>
        <w:tc>
          <w:tcPr>
            <w:tcW w:type="dxa" w:w="5472"/>
            <w:tcMar>
              <w:top w:w="90" w:type="dxa"/>
              <w:bottom w:w="90" w:type="dxa"/>
              <w:left w:w="110" w:type="dxa"/>
              <w:right w:w="110" w:type="dxa"/>
            </w:tcMar>
            <w:vAlign w:val="center"/>
            <w:shd w:fill="F6F8FB"/>
          </w:tcPr>
          <w:p>
            <w:pPr>
              <w:spacing w:before="0" w:after="0" w:line="264" w:lineRule="auto"/>
            </w:pPr>
            <w:r>
              <w:rPr>
                <w:rFonts w:ascii="Times New Roman" w:hAnsi="Times New Roman"/>
                <w:color w:val="23272D"/>
                <w:sz w:val="17"/>
              </w:rPr>
              <w:t>Milestone 3: Custom PCB Schematic Design, Fabrication &amp; Galvanic Isolation Actuation Subsystem</w:t>
              <w:br/>
              <w:t>• Design custom 2-layer FR4 PCB schematics in KiCad with ground planes, terminal blocks, and optocoupled relay interfaces.</w:t>
              <w:br/>
              <w:t>• Fabricate prototype PCB batch, assemble SMT/DIP components, and integrate 12V emergency solenoid cutoff valves, 110dB sirens, and drop-bolt locks.</w:t>
            </w:r>
          </w:p>
        </w:tc>
        <w:tc>
          <w:tcPr>
            <w:tcW w:type="dxa" w:w="1872"/>
            <w:tcMar>
              <w:top w:w="90" w:type="dxa"/>
              <w:bottom w:w="90" w:type="dxa"/>
              <w:left w:w="110" w:type="dxa"/>
              <w:right w:w="110" w:type="dxa"/>
            </w:tcMar>
            <w:vAlign w:val="center"/>
            <w:shd w:fill="F6F8FB"/>
          </w:tcPr>
          <w:p>
            <w:pPr>
              <w:spacing w:before="0" w:after="0" w:line="264" w:lineRule="auto"/>
              <w:jc w:val="center"/>
            </w:pPr>
            <w:r>
              <w:rPr>
                <w:rFonts w:ascii="Times New Roman" w:hAnsi="Times New Roman"/>
                <w:b/>
                <w:color w:val="182B49"/>
                <w:sz w:val="17"/>
              </w:rPr>
              <w:t>170 Hours</w:t>
            </w:r>
          </w:p>
        </w:tc>
        <w:tc>
          <w:tcPr>
            <w:tcW w:type="dxa" w:w="1872"/>
            <w:tcMar>
              <w:top w:w="90" w:type="dxa"/>
              <w:bottom w:w="90" w:type="dxa"/>
              <w:left w:w="110" w:type="dxa"/>
              <w:right w:w="110" w:type="dxa"/>
            </w:tcMar>
            <w:vAlign w:val="center"/>
            <w:shd w:fill="F6F8FB"/>
          </w:tcPr>
          <w:p>
            <w:pPr>
              <w:spacing w:before="0" w:after="0" w:line="264" w:lineRule="auto"/>
              <w:jc w:val="center"/>
            </w:pPr>
            <w:r>
              <w:rPr>
                <w:rFonts w:ascii="Times New Roman" w:hAnsi="Times New Roman"/>
                <w:b/>
                <w:color w:val="182B49"/>
                <w:sz w:val="17"/>
              </w:rPr>
              <w:t>Month 6</w:t>
              <w:br/>
              <w:t>(End of 6th Month)</w:t>
            </w:r>
          </w:p>
        </w:tc>
      </w:tr>
      <w:tr>
        <w:tc>
          <w:tcPr>
            <w:tcW w:type="dxa" w:w="864"/>
            <w:tcMar>
              <w:top w:w="90" w:type="dxa"/>
              <w:bottom w:w="90" w:type="dxa"/>
              <w:left w:w="110" w:type="dxa"/>
              <w:right w:w="110" w:type="dxa"/>
            </w:tcMar>
            <w:vAlign w:val="center"/>
          </w:tcPr>
          <w:p>
            <w:pPr>
              <w:spacing w:before="0" w:after="0" w:line="264" w:lineRule="auto"/>
              <w:jc w:val="center"/>
            </w:pPr>
            <w:r>
              <w:rPr>
                <w:rFonts w:ascii="Times New Roman" w:hAnsi="Times New Roman"/>
                <w:b/>
                <w:sz w:val="17"/>
              </w:rPr>
              <w:t>4</w:t>
            </w:r>
          </w:p>
        </w:tc>
        <w:tc>
          <w:tcPr>
            <w:tcW w:type="dxa" w:w="5472"/>
            <w:tcMar>
              <w:top w:w="90" w:type="dxa"/>
              <w:bottom w:w="90" w:type="dxa"/>
              <w:left w:w="110" w:type="dxa"/>
              <w:right w:w="110" w:type="dxa"/>
            </w:tcMar>
            <w:vAlign w:val="center"/>
          </w:tcPr>
          <w:p>
            <w:pPr>
              <w:spacing w:before="0" w:after="0" w:line="264" w:lineRule="auto"/>
            </w:pPr>
            <w:r>
              <w:rPr>
                <w:rFonts w:ascii="Times New Roman" w:hAnsi="Times New Roman"/>
                <w:color w:val="23272D"/>
                <w:sz w:val="17"/>
              </w:rPr>
              <w:t>Milestone 4: Edge-Vision Interfacing, Local MQTT Mesh Telemetry &amp; Evidential Fusion Engine</w:t>
              <w:br/>
              <w:t>• Interface ESP32-CAM optical capture nodes with local embedded broker via MQTT (TLS 8883) and NRF24L01+ RF fallback mesh.</w:t>
              <w:br/>
              <w:t>• Integrate Dempster-Shafer evidential fusion logic and acoustic-kinetic anomaly metrics to execute cross-sensor consensus.</w:t>
            </w:r>
          </w:p>
        </w:tc>
        <w:tc>
          <w:tcPr>
            <w:tcW w:type="dxa" w:w="1872"/>
            <w:tcMar>
              <w:top w:w="90" w:type="dxa"/>
              <w:bottom w:w="90" w:type="dxa"/>
              <w:left w:w="110" w:type="dxa"/>
              <w:right w:w="110" w:type="dxa"/>
            </w:tcMar>
            <w:vAlign w:val="center"/>
          </w:tcPr>
          <w:p>
            <w:pPr>
              <w:spacing w:before="0" w:after="0" w:line="264" w:lineRule="auto"/>
              <w:jc w:val="center"/>
            </w:pPr>
            <w:r>
              <w:rPr>
                <w:rFonts w:ascii="Times New Roman" w:hAnsi="Times New Roman"/>
                <w:b/>
                <w:color w:val="182B49"/>
                <w:sz w:val="17"/>
              </w:rPr>
              <w:t>190 Hours</w:t>
            </w:r>
          </w:p>
        </w:tc>
        <w:tc>
          <w:tcPr>
            <w:tcW w:type="dxa" w:w="1872"/>
            <w:tcMar>
              <w:top w:w="90" w:type="dxa"/>
              <w:bottom w:w="90" w:type="dxa"/>
              <w:left w:w="110" w:type="dxa"/>
              <w:right w:w="110" w:type="dxa"/>
            </w:tcMar>
            <w:vAlign w:val="center"/>
          </w:tcPr>
          <w:p>
            <w:pPr>
              <w:spacing w:before="0" w:after="0" w:line="264" w:lineRule="auto"/>
              <w:jc w:val="center"/>
            </w:pPr>
            <w:r>
              <w:rPr>
                <w:rFonts w:ascii="Times New Roman" w:hAnsi="Times New Roman"/>
                <w:b/>
                <w:color w:val="182B49"/>
                <w:sz w:val="17"/>
              </w:rPr>
              <w:t>Month 8</w:t>
              <w:br/>
              <w:t>(End of 8th Month)</w:t>
            </w:r>
          </w:p>
        </w:tc>
      </w:tr>
      <w:tr>
        <w:tc>
          <w:tcPr>
            <w:tcW w:type="dxa" w:w="864"/>
            <w:tcMar>
              <w:top w:w="90" w:type="dxa"/>
              <w:bottom w:w="90" w:type="dxa"/>
              <w:left w:w="110" w:type="dxa"/>
              <w:right w:w="110" w:type="dxa"/>
            </w:tcMar>
            <w:vAlign w:val="center"/>
            <w:shd w:fill="F6F8FB"/>
          </w:tcPr>
          <w:p>
            <w:pPr>
              <w:spacing w:before="0" w:after="0" w:line="264" w:lineRule="auto"/>
              <w:jc w:val="center"/>
            </w:pPr>
            <w:r>
              <w:rPr>
                <w:rFonts w:ascii="Times New Roman" w:hAnsi="Times New Roman"/>
                <w:b/>
                <w:sz w:val="17"/>
              </w:rPr>
              <w:t>5</w:t>
            </w:r>
          </w:p>
        </w:tc>
        <w:tc>
          <w:tcPr>
            <w:tcW w:type="dxa" w:w="5472"/>
            <w:tcMar>
              <w:top w:w="90" w:type="dxa"/>
              <w:bottom w:w="90" w:type="dxa"/>
              <w:left w:w="110" w:type="dxa"/>
              <w:right w:w="110" w:type="dxa"/>
            </w:tcMar>
            <w:vAlign w:val="center"/>
            <w:shd w:fill="F6F8FB"/>
          </w:tcPr>
          <w:p>
            <w:pPr>
              <w:spacing w:before="0" w:after="0" w:line="264" w:lineRule="auto"/>
            </w:pPr>
            <w:r>
              <w:rPr>
                <w:rFonts w:ascii="Times New Roman" w:hAnsi="Times New Roman"/>
                <w:color w:val="23272D"/>
                <w:sz w:val="17"/>
              </w:rPr>
              <w:t>Milestone 5: IP65 Enclosure Packaging, Controlled Calibration Chamber Testing &amp; Stress Validation</w:t>
              <w:br/>
              <w:t>• Package sensor nodes into weatherproof IP65 ABS industrial electrical enclosures with cable glands and mounting brackets.</w:t>
              <w:br/>
              <w:t>• Perform controlled environmental hazard simulations (smoke canisters, LPG gas exposure, acoustic stress) in sealed test chamber to validate &lt;1.8% false positive rate.</w:t>
            </w:r>
          </w:p>
        </w:tc>
        <w:tc>
          <w:tcPr>
            <w:tcW w:type="dxa" w:w="1872"/>
            <w:tcMar>
              <w:top w:w="90" w:type="dxa"/>
              <w:bottom w:w="90" w:type="dxa"/>
              <w:left w:w="110" w:type="dxa"/>
              <w:right w:w="110" w:type="dxa"/>
            </w:tcMar>
            <w:vAlign w:val="center"/>
            <w:shd w:fill="F6F8FB"/>
          </w:tcPr>
          <w:p>
            <w:pPr>
              <w:spacing w:before="0" w:after="0" w:line="264" w:lineRule="auto"/>
              <w:jc w:val="center"/>
            </w:pPr>
            <w:r>
              <w:rPr>
                <w:rFonts w:ascii="Times New Roman" w:hAnsi="Times New Roman"/>
                <w:b/>
                <w:color w:val="182B49"/>
                <w:sz w:val="17"/>
              </w:rPr>
              <w:t>160 Hours</w:t>
            </w:r>
          </w:p>
        </w:tc>
        <w:tc>
          <w:tcPr>
            <w:tcW w:type="dxa" w:w="1872"/>
            <w:tcMar>
              <w:top w:w="90" w:type="dxa"/>
              <w:bottom w:w="90" w:type="dxa"/>
              <w:left w:w="110" w:type="dxa"/>
              <w:right w:w="110" w:type="dxa"/>
            </w:tcMar>
            <w:vAlign w:val="center"/>
            <w:shd w:fill="F6F8FB"/>
          </w:tcPr>
          <w:p>
            <w:pPr>
              <w:spacing w:before="0" w:after="0" w:line="264" w:lineRule="auto"/>
              <w:jc w:val="center"/>
            </w:pPr>
            <w:r>
              <w:rPr>
                <w:rFonts w:ascii="Times New Roman" w:hAnsi="Times New Roman"/>
                <w:b/>
                <w:color w:val="182B49"/>
                <w:sz w:val="17"/>
              </w:rPr>
              <w:t>Month 10</w:t>
              <w:br/>
              <w:t>(End of 10th Month)</w:t>
            </w:r>
          </w:p>
        </w:tc>
      </w:tr>
      <w:tr>
        <w:tc>
          <w:tcPr>
            <w:tcW w:type="dxa" w:w="864"/>
            <w:tcMar>
              <w:top w:w="90" w:type="dxa"/>
              <w:bottom w:w="90" w:type="dxa"/>
              <w:left w:w="110" w:type="dxa"/>
              <w:right w:w="110" w:type="dxa"/>
            </w:tcMar>
            <w:vAlign w:val="center"/>
          </w:tcPr>
          <w:p>
            <w:pPr>
              <w:spacing w:before="0" w:after="0" w:line="264" w:lineRule="auto"/>
              <w:jc w:val="center"/>
            </w:pPr>
            <w:r>
              <w:rPr>
                <w:rFonts w:ascii="Times New Roman" w:hAnsi="Times New Roman"/>
                <w:b/>
                <w:sz w:val="17"/>
              </w:rPr>
              <w:t>6</w:t>
            </w:r>
          </w:p>
        </w:tc>
        <w:tc>
          <w:tcPr>
            <w:tcW w:type="dxa" w:w="5472"/>
            <w:tcMar>
              <w:top w:w="90" w:type="dxa"/>
              <w:bottom w:w="90" w:type="dxa"/>
              <w:left w:w="110" w:type="dxa"/>
              <w:right w:w="110" w:type="dxa"/>
            </w:tcMar>
            <w:vAlign w:val="center"/>
          </w:tcPr>
          <w:p>
            <w:pPr>
              <w:spacing w:before="0" w:after="0" w:line="264" w:lineRule="auto"/>
            </w:pPr>
            <w:r>
              <w:rPr>
                <w:rFonts w:ascii="Times New Roman" w:hAnsi="Times New Roman"/>
                <w:color w:val="23272D"/>
                <w:sz w:val="17"/>
              </w:rPr>
              <w:t>Milestone 6: Full-Scale Multi-Node Campus Testbed Deployment, Actuation SLA Optimization &amp; Final Delivery</w:t>
              <w:br/>
              <w:t>• Deploy 4 distributed edge sensor nodes across campus lab/corridor facilities.</w:t>
              <w:br/>
              <w:t>• Benchmark sub-250ms end-to-end actuation latency SLA, verify 100% air-gapped local mesh autonomy, and compile comprehensive engineering technical docket.</w:t>
            </w:r>
          </w:p>
        </w:tc>
        <w:tc>
          <w:tcPr>
            <w:tcW w:type="dxa" w:w="1872"/>
            <w:tcMar>
              <w:top w:w="90" w:type="dxa"/>
              <w:bottom w:w="90" w:type="dxa"/>
              <w:left w:w="110" w:type="dxa"/>
              <w:right w:w="110" w:type="dxa"/>
            </w:tcMar>
            <w:vAlign w:val="center"/>
          </w:tcPr>
          <w:p>
            <w:pPr>
              <w:spacing w:before="0" w:after="0" w:line="264" w:lineRule="auto"/>
              <w:jc w:val="center"/>
            </w:pPr>
            <w:r>
              <w:rPr>
                <w:rFonts w:ascii="Times New Roman" w:hAnsi="Times New Roman"/>
                <w:b/>
                <w:color w:val="182B49"/>
                <w:sz w:val="17"/>
              </w:rPr>
              <w:t>140 Hours</w:t>
            </w:r>
          </w:p>
        </w:tc>
        <w:tc>
          <w:tcPr>
            <w:tcW w:type="dxa" w:w="1872"/>
            <w:tcMar>
              <w:top w:w="90" w:type="dxa"/>
              <w:bottom w:w="90" w:type="dxa"/>
              <w:left w:w="110" w:type="dxa"/>
              <w:right w:w="110" w:type="dxa"/>
            </w:tcMar>
            <w:vAlign w:val="center"/>
          </w:tcPr>
          <w:p>
            <w:pPr>
              <w:spacing w:before="0" w:after="0" w:line="264" w:lineRule="auto"/>
              <w:jc w:val="center"/>
            </w:pPr>
            <w:r>
              <w:rPr>
                <w:rFonts w:ascii="Times New Roman" w:hAnsi="Times New Roman"/>
                <w:b/>
                <w:color w:val="182B49"/>
                <w:sz w:val="17"/>
              </w:rPr>
              <w:t>Month 12</w:t>
              <w:br/>
              <w:t>(End of 12th Month)</w:t>
            </w:r>
          </w:p>
        </w:tc>
      </w:tr>
    </w:tbl>
    <w:p>
      <w:pPr>
        <w:spacing w:before="80" w:after="160"/>
      </w:pPr>
      <w:r>
        <w:rPr>
          <w:rFonts w:ascii="Times New Roman" w:hAnsi="Times New Roman"/>
          <w:b/>
          <w:color w:val="1F6EA5"/>
          <w:sz w:val="19"/>
        </w:rPr>
        <w:t>Total Engineering Time: 1,000 Hours across 12 Months (1 Year)</w:t>
      </w:r>
    </w:p>
    <w:p>
      <w:pPr>
        <w:keepNext/>
        <w:spacing w:before="260" w:after="60"/>
      </w:pPr>
      <w:r>
        <w:rPr>
          <w:rFonts w:ascii="Times New Roman" w:hAnsi="Times New Roman"/>
          <w:b/>
          <w:color w:val="182B49"/>
          <w:sz w:val="27"/>
        </w:rPr>
        <w:t>Funding required (To achieve each milestone)</w:t>
      </w:r>
    </w:p>
    <w:p>
      <w:pPr>
        <w:spacing w:before="0" w:after="80" w:line="276" w:lineRule="auto"/>
      </w:pPr>
      <w:r>
        <w:rPr>
          <w:rFonts w:ascii="Times New Roman" w:hAnsi="Times New Roman"/>
          <w:b/>
          <w:color w:val="23272D"/>
          <w:sz w:val="20"/>
        </w:rPr>
        <w:t xml:space="preserve">Financial Allocation Strategy (50% Advance Structure): </w:t>
      </w:r>
      <w:r>
        <w:rPr>
          <w:rFonts w:ascii="Times New Roman" w:hAnsi="Times New Roman"/>
          <w:color w:val="23272D"/>
          <w:sz w:val="20"/>
        </w:rPr>
        <w:t>The requested total funding is exactly Rs. 30,000 INR, strictly dedicated to tangible IoT hardware, physical sensor suites, microcontrollers, custom PCB fabrication, actuation devices, and testbench instruments. In accordance with startup incubation norms, 50% of the funding (Rs. 15,000 INR) is requested as an advance to procure the primary microcontrollers, core sensor suite, testing bench gear, and initial prototyping stock for Milestones 1 &amp; 2. The remaining Rs. 15,000 INR is released across subsequent milestones for custom PCB fabrication, high-current actuators, weatherproof enclosures, and the calibration test chamber. All prices reflect verified Indian electronics distributor rates (e.g. Robu.in, QuartzComponents, LionCircuits).</w:t>
      </w:r>
    </w:p>
    <w:tbl>
      <w:tblPr>
        <w:tblW w:type="auto" w:w="0"/>
        <w:jc w:val="center"/>
        <w:tblLook w:firstColumn="1" w:firstRow="1" w:lastColumn="0" w:lastRow="0" w:noHBand="0" w:noVBand="1" w:val="04A0"/>
        <w:tblBorders>
          <w:top w:val="single" w:sz="4" w:space="0" w:color="BDC3C7"/>
          <w:bottom w:val="single" w:sz="4" w:space="0" w:color="BDC3C7"/>
          <w:left w:val="none" w:sz="0" w:space="0" w:color="auto"/>
          <w:right w:val="none" w:sz="0" w:space="0" w:color="auto"/>
          <w:insideH w:val="single" w:sz="4" w:space="0" w:color="BDC3C7"/>
          <w:insideV w:val="none" w:sz="0" w:space="0" w:color="auto"/>
        </w:tblBorders>
      </w:tblPr>
      <w:tblGrid>
        <w:gridCol w:w="2448"/>
        <w:gridCol w:w="2448"/>
        <w:gridCol w:w="2448"/>
        <w:gridCol w:w="2448"/>
      </w:tblGrid>
      <w:tr>
        <w:tc>
          <w:tcPr>
            <w:tcW w:type="dxa" w:w="864"/>
            <w:tcMar>
              <w:top w:w="80" w:type="dxa"/>
              <w:bottom w:w="80" w:type="dxa"/>
              <w:left w:w="95" w:type="dxa"/>
              <w:right w:w="95" w:type="dxa"/>
            </w:tcMar>
            <w:vAlign w:val="center"/>
            <w:shd w:fill="1B365D"/>
          </w:tcPr>
          <w:p>
            <w:pPr>
              <w:spacing w:before="0" w:after="0" w:line="252" w:lineRule="auto"/>
            </w:pPr>
            <w:r>
              <w:rPr>
                <w:rFonts w:ascii="Times New Roman" w:hAnsi="Times New Roman"/>
                <w:b/>
                <w:color w:val="FFFFFF"/>
                <w:sz w:val="19"/>
              </w:rPr>
              <w:t>Sr No</w:t>
            </w:r>
          </w:p>
        </w:tc>
        <w:tc>
          <w:tcPr>
            <w:tcW w:type="dxa" w:w="3312"/>
            <w:tcMar>
              <w:top w:w="80" w:type="dxa"/>
              <w:bottom w:w="80" w:type="dxa"/>
              <w:left w:w="95" w:type="dxa"/>
              <w:right w:w="95" w:type="dxa"/>
            </w:tcMar>
            <w:vAlign w:val="center"/>
            <w:shd w:fill="1B365D"/>
          </w:tcPr>
          <w:p>
            <w:pPr>
              <w:spacing w:before="0" w:after="0" w:line="252" w:lineRule="auto"/>
            </w:pPr>
            <w:r>
              <w:rPr>
                <w:rFonts w:ascii="Times New Roman" w:hAnsi="Times New Roman"/>
                <w:b/>
                <w:color w:val="FFFFFF"/>
                <w:sz w:val="19"/>
              </w:rPr>
              <w:t>Description/ Name of work</w:t>
            </w:r>
          </w:p>
        </w:tc>
        <w:tc>
          <w:tcPr>
            <w:tcW w:type="dxa" w:w="4464"/>
            <w:tcMar>
              <w:top w:w="80" w:type="dxa"/>
              <w:bottom w:w="80" w:type="dxa"/>
              <w:left w:w="95" w:type="dxa"/>
              <w:right w:w="95" w:type="dxa"/>
            </w:tcMar>
            <w:vAlign w:val="center"/>
            <w:shd w:fill="1B365D"/>
          </w:tcPr>
          <w:p>
            <w:pPr>
              <w:spacing w:before="0" w:after="0" w:line="252" w:lineRule="auto"/>
            </w:pPr>
            <w:r>
              <w:rPr>
                <w:rFonts w:ascii="Times New Roman" w:hAnsi="Times New Roman"/>
                <w:b/>
                <w:color w:val="FFFFFF"/>
                <w:sz w:val="19"/>
              </w:rPr>
              <w:t>Name of Product/service needed</w:t>
            </w:r>
          </w:p>
        </w:tc>
        <w:tc>
          <w:tcPr>
            <w:tcW w:type="dxa" w:w="1440"/>
            <w:tcMar>
              <w:top w:w="80" w:type="dxa"/>
              <w:bottom w:w="80" w:type="dxa"/>
              <w:left w:w="95" w:type="dxa"/>
              <w:right w:w="95" w:type="dxa"/>
            </w:tcMar>
            <w:vAlign w:val="center"/>
            <w:shd w:fill="1B365D"/>
          </w:tcPr>
          <w:p>
            <w:pPr>
              <w:spacing w:before="0" w:after="0" w:line="252" w:lineRule="auto"/>
            </w:pPr>
            <w:r>
              <w:rPr>
                <w:rFonts w:ascii="Times New Roman" w:hAnsi="Times New Roman"/>
                <w:b/>
                <w:color w:val="FFFFFF"/>
                <w:sz w:val="19"/>
              </w:rPr>
              <w:t>Approximate cost</w:t>
            </w:r>
          </w:p>
        </w:tc>
      </w:tr>
      <w:tr>
        <w:tc>
          <w:tcPr>
            <w:tcW w:type="dxa" w:w="864"/>
            <w:tcMar>
              <w:top w:w="80" w:type="dxa"/>
              <w:bottom w:w="80" w:type="dxa"/>
              <w:left w:w="95" w:type="dxa"/>
              <w:right w:w="95" w:type="dxa"/>
            </w:tcMar>
            <w:vAlign w:val="center"/>
            <w:shd w:fill="F6F8FB"/>
          </w:tcPr>
          <w:p>
            <w:pPr>
              <w:spacing w:before="0" w:after="0" w:line="252" w:lineRule="auto"/>
              <w:jc w:val="center"/>
            </w:pPr>
            <w:r>
              <w:rPr>
                <w:rFonts w:ascii="Times New Roman" w:hAnsi="Times New Roman"/>
                <w:b/>
                <w:color w:val="23272D"/>
                <w:sz w:val="17"/>
              </w:rPr>
              <w:t>1</w:t>
            </w:r>
          </w:p>
        </w:tc>
        <w:tc>
          <w:tcPr>
            <w:tcW w:type="dxa" w:w="3312"/>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Milestone 1: Core Embedded Compute &amp; Edge Nodes (Advance)</w:t>
            </w:r>
          </w:p>
        </w:tc>
        <w:tc>
          <w:tcPr>
            <w:tcW w:type="dxa" w:w="4464"/>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ESP32-S3 Dual-Core N16R8 Development Boards (3 units @ Rs. 750) +</w:t>
              <w:br/>
              <w:t>NodeMCU ESP8266 Wi-Fi Microcontroller Auxiliary Units (2 units @ Rs. 350)</w:t>
            </w:r>
          </w:p>
        </w:tc>
        <w:tc>
          <w:tcPr>
            <w:tcW w:type="dxa" w:w="1440"/>
            <w:tcMar>
              <w:top w:w="80" w:type="dxa"/>
              <w:bottom w:w="80" w:type="dxa"/>
              <w:left w:w="95" w:type="dxa"/>
              <w:right w:w="95" w:type="dxa"/>
            </w:tcMar>
            <w:vAlign w:val="center"/>
            <w:shd w:fill="F6F8FB"/>
          </w:tcPr>
          <w:p>
            <w:pPr>
              <w:spacing w:before="0" w:after="0" w:line="252" w:lineRule="auto"/>
              <w:jc w:val="right"/>
            </w:pPr>
            <w:r>
              <w:rPr>
                <w:rFonts w:ascii="Times New Roman" w:hAnsi="Times New Roman"/>
                <w:b/>
                <w:color w:val="23272D"/>
                <w:sz w:val="17"/>
              </w:rPr>
              <w:t>Rs. 2,950</w:t>
            </w:r>
          </w:p>
        </w:tc>
      </w:tr>
      <w:tr>
        <w:tc>
          <w:tcPr>
            <w:tcW w:type="dxa" w:w="864"/>
            <w:tcMar>
              <w:top w:w="80" w:type="dxa"/>
              <w:bottom w:w="80" w:type="dxa"/>
              <w:left w:w="95" w:type="dxa"/>
              <w:right w:w="95" w:type="dxa"/>
            </w:tcMar>
            <w:vAlign w:val="center"/>
          </w:tcPr>
          <w:p>
            <w:pPr>
              <w:spacing w:before="0" w:after="0" w:line="252" w:lineRule="auto"/>
              <w:jc w:val="center"/>
            </w:pPr>
            <w:r>
              <w:rPr>
                <w:rFonts w:ascii="Times New Roman" w:hAnsi="Times New Roman"/>
                <w:b/>
                <w:color w:val="23272D"/>
                <w:sz w:val="17"/>
              </w:rPr>
              <w:t>2</w:t>
            </w:r>
          </w:p>
        </w:tc>
        <w:tc>
          <w:tcPr>
            <w:tcW w:type="dxa" w:w="3312"/>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Milestone 1: Distributed Edge-Vision Nodes (Advance)</w:t>
            </w:r>
          </w:p>
        </w:tc>
        <w:tc>
          <w:tcPr>
            <w:tcW w:type="dxa" w:w="4464"/>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ESP32-CAM AI Vision Modules with OV2640 Optics &amp; IPEX Antenna Leads (2 units @ Rs. 850)</w:t>
            </w:r>
          </w:p>
        </w:tc>
        <w:tc>
          <w:tcPr>
            <w:tcW w:type="dxa" w:w="1440"/>
            <w:tcMar>
              <w:top w:w="80" w:type="dxa"/>
              <w:bottom w:w="80" w:type="dxa"/>
              <w:left w:w="95" w:type="dxa"/>
              <w:right w:w="95" w:type="dxa"/>
            </w:tcMar>
            <w:vAlign w:val="center"/>
          </w:tcPr>
          <w:p>
            <w:pPr>
              <w:spacing w:before="0" w:after="0" w:line="252" w:lineRule="auto"/>
              <w:jc w:val="right"/>
            </w:pPr>
            <w:r>
              <w:rPr>
                <w:rFonts w:ascii="Times New Roman" w:hAnsi="Times New Roman"/>
                <w:b/>
                <w:color w:val="23272D"/>
                <w:sz w:val="17"/>
              </w:rPr>
              <w:t>Rs. 1,700</w:t>
            </w:r>
          </w:p>
        </w:tc>
      </w:tr>
      <w:tr>
        <w:tc>
          <w:tcPr>
            <w:tcW w:type="dxa" w:w="864"/>
            <w:tcMar>
              <w:top w:w="80" w:type="dxa"/>
              <w:bottom w:w="80" w:type="dxa"/>
              <w:left w:w="95" w:type="dxa"/>
              <w:right w:w="95" w:type="dxa"/>
            </w:tcMar>
            <w:vAlign w:val="center"/>
            <w:shd w:fill="F6F8FB"/>
          </w:tcPr>
          <w:p>
            <w:pPr>
              <w:spacing w:before="0" w:after="0" w:line="252" w:lineRule="auto"/>
              <w:jc w:val="center"/>
            </w:pPr>
            <w:r>
              <w:rPr>
                <w:rFonts w:ascii="Times New Roman" w:hAnsi="Times New Roman"/>
                <w:b/>
                <w:color w:val="23272D"/>
                <w:sz w:val="17"/>
              </w:rPr>
              <w:t>3</w:t>
            </w:r>
          </w:p>
        </w:tc>
        <w:tc>
          <w:tcPr>
            <w:tcW w:type="dxa" w:w="3312"/>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Milestone 1: Multi-Hazard Physical Gas &amp; Thermal Sensor Suite (Advance)</w:t>
            </w:r>
          </w:p>
        </w:tc>
        <w:tc>
          <w:tcPr>
            <w:tcW w:type="dxa" w:w="4464"/>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MQ-2 Flammable Gas/Smoke Sensors (3 units @ Rs. 220) +</w:t>
              <w:br/>
              <w:t>MQ-7 Toxic Carbon Monoxide Sensors (2 units @ Rs. 280) +</w:t>
              <w:br/>
              <w:t>DHT22/AM2302 Precision Digital Temperature &amp; Humidity Sensors (3 units @ Rs. 380)</w:t>
            </w:r>
          </w:p>
        </w:tc>
        <w:tc>
          <w:tcPr>
            <w:tcW w:type="dxa" w:w="1440"/>
            <w:tcMar>
              <w:top w:w="80" w:type="dxa"/>
              <w:bottom w:w="80" w:type="dxa"/>
              <w:left w:w="95" w:type="dxa"/>
              <w:right w:w="95" w:type="dxa"/>
            </w:tcMar>
            <w:vAlign w:val="center"/>
            <w:shd w:fill="F6F8FB"/>
          </w:tcPr>
          <w:p>
            <w:pPr>
              <w:spacing w:before="0" w:after="0" w:line="252" w:lineRule="auto"/>
              <w:jc w:val="right"/>
            </w:pPr>
            <w:r>
              <w:rPr>
                <w:rFonts w:ascii="Times New Roman" w:hAnsi="Times New Roman"/>
                <w:b/>
                <w:color w:val="23272D"/>
                <w:sz w:val="17"/>
              </w:rPr>
              <w:t>Rs. 2,360</w:t>
            </w:r>
          </w:p>
        </w:tc>
      </w:tr>
      <w:tr>
        <w:tc>
          <w:tcPr>
            <w:tcW w:type="dxa" w:w="864"/>
            <w:tcMar>
              <w:top w:w="80" w:type="dxa"/>
              <w:bottom w:w="80" w:type="dxa"/>
              <w:left w:w="95" w:type="dxa"/>
              <w:right w:w="95" w:type="dxa"/>
            </w:tcMar>
            <w:vAlign w:val="center"/>
          </w:tcPr>
          <w:p>
            <w:pPr>
              <w:spacing w:before="0" w:after="0" w:line="252" w:lineRule="auto"/>
              <w:jc w:val="center"/>
            </w:pPr>
            <w:r>
              <w:rPr>
                <w:rFonts w:ascii="Times New Roman" w:hAnsi="Times New Roman"/>
                <w:b/>
                <w:color w:val="23272D"/>
                <w:sz w:val="17"/>
              </w:rPr>
              <w:t>4</w:t>
            </w:r>
          </w:p>
        </w:tc>
        <w:tc>
          <w:tcPr>
            <w:tcW w:type="dxa" w:w="3312"/>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Milestone 1: Acoustic Decibel, Motion &amp; Distance Detection Pack (Advance)</w:t>
            </w:r>
          </w:p>
        </w:tc>
        <w:tc>
          <w:tcPr>
            <w:tcW w:type="dxa" w:w="4464"/>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LM393 Acoustic Decibel High-Sensitivity Mic Modules (3 units @ Rs. 180) +</w:t>
              <w:br/>
              <w:t>HC-SR501 PIR Infrared Motion Sensors (4 units @ Rs. 150) +</w:t>
              <w:br/>
              <w:t>HC-SR04 Ultrasonic Distance Sensors (3 units @ Rs. 140)</w:t>
            </w:r>
          </w:p>
        </w:tc>
        <w:tc>
          <w:tcPr>
            <w:tcW w:type="dxa" w:w="1440"/>
            <w:tcMar>
              <w:top w:w="80" w:type="dxa"/>
              <w:bottom w:w="80" w:type="dxa"/>
              <w:left w:w="95" w:type="dxa"/>
              <w:right w:w="95" w:type="dxa"/>
            </w:tcMar>
            <w:vAlign w:val="center"/>
          </w:tcPr>
          <w:p>
            <w:pPr>
              <w:spacing w:before="0" w:after="0" w:line="252" w:lineRule="auto"/>
              <w:jc w:val="right"/>
            </w:pPr>
            <w:r>
              <w:rPr>
                <w:rFonts w:ascii="Times New Roman" w:hAnsi="Times New Roman"/>
                <w:b/>
                <w:color w:val="23272D"/>
                <w:sz w:val="17"/>
              </w:rPr>
              <w:t>Rs. 1,560</w:t>
            </w:r>
          </w:p>
        </w:tc>
      </w:tr>
      <w:tr>
        <w:tc>
          <w:tcPr>
            <w:tcW w:type="dxa" w:w="864"/>
            <w:tcMar>
              <w:top w:w="80" w:type="dxa"/>
              <w:bottom w:w="80" w:type="dxa"/>
              <w:left w:w="95" w:type="dxa"/>
              <w:right w:w="95" w:type="dxa"/>
            </w:tcMar>
            <w:vAlign w:val="center"/>
            <w:shd w:fill="F6F8FB"/>
          </w:tcPr>
          <w:p>
            <w:pPr>
              <w:spacing w:before="0" w:after="0" w:line="252" w:lineRule="auto"/>
              <w:jc w:val="center"/>
            </w:pPr>
            <w:r>
              <w:rPr>
                <w:rFonts w:ascii="Times New Roman" w:hAnsi="Times New Roman"/>
                <w:b/>
                <w:color w:val="23272D"/>
                <w:sz w:val="17"/>
              </w:rPr>
              <w:t>5</w:t>
            </w:r>
          </w:p>
        </w:tc>
        <w:tc>
          <w:tcPr>
            <w:tcW w:type="dxa" w:w="3312"/>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Milestone 1: Test Bench Power &amp; Signal Measurement Gear (Advance)</w:t>
            </w:r>
          </w:p>
        </w:tc>
        <w:tc>
          <w:tcPr>
            <w:tcW w:type="dxa" w:w="4464"/>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12V 5A Regulated DC Power Supply (1 unit @ Rs. 650) +</w:t>
              <w:br/>
              <w:t>5V 3A Micro-USB/Type-C Regulated Adapters (3 units @ Rs. 320) +</w:t>
              <w:br/>
              <w:t>8-Channel 24MHz USB Logic Analyzer &amp; Digital Multimeter with Probes (1 unit @ Rs. 2,300)</w:t>
            </w:r>
          </w:p>
        </w:tc>
        <w:tc>
          <w:tcPr>
            <w:tcW w:type="dxa" w:w="1440"/>
            <w:tcMar>
              <w:top w:w="80" w:type="dxa"/>
              <w:bottom w:w="80" w:type="dxa"/>
              <w:left w:w="95" w:type="dxa"/>
              <w:right w:w="95" w:type="dxa"/>
            </w:tcMar>
            <w:vAlign w:val="center"/>
            <w:shd w:fill="F6F8FB"/>
          </w:tcPr>
          <w:p>
            <w:pPr>
              <w:spacing w:before="0" w:after="0" w:line="252" w:lineRule="auto"/>
              <w:jc w:val="right"/>
            </w:pPr>
            <w:r>
              <w:rPr>
                <w:rFonts w:ascii="Times New Roman" w:hAnsi="Times New Roman"/>
                <w:b/>
                <w:color w:val="23272D"/>
                <w:sz w:val="17"/>
              </w:rPr>
              <w:t>Rs. 3,910</w:t>
            </w:r>
          </w:p>
        </w:tc>
      </w:tr>
      <w:tr>
        <w:tc>
          <w:tcPr>
            <w:tcW w:type="dxa" w:w="864"/>
            <w:tcMar>
              <w:top w:w="80" w:type="dxa"/>
              <w:bottom w:w="80" w:type="dxa"/>
              <w:left w:w="95" w:type="dxa"/>
              <w:right w:w="95" w:type="dxa"/>
            </w:tcMar>
            <w:vAlign w:val="center"/>
          </w:tcPr>
          <w:p>
            <w:pPr>
              <w:spacing w:before="0" w:after="0" w:line="252" w:lineRule="auto"/>
              <w:jc w:val="center"/>
            </w:pPr>
            <w:r>
              <w:rPr>
                <w:rFonts w:ascii="Times New Roman" w:hAnsi="Times New Roman"/>
                <w:b/>
                <w:color w:val="23272D"/>
                <w:sz w:val="17"/>
              </w:rPr>
              <w:t>6</w:t>
            </w:r>
          </w:p>
        </w:tc>
        <w:tc>
          <w:tcPr>
            <w:tcW w:type="dxa" w:w="3312"/>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Milestone 2: Power Management &amp; Prototyping Consumables (Advance)</w:t>
            </w:r>
          </w:p>
        </w:tc>
        <w:tc>
          <w:tcPr>
            <w:tcW w:type="dxa" w:w="4464"/>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18650 Li-ion Cells (4 units @ Rs. 250) + 2S/3S Battery Management BMS (2 units @ Rs. 225) +</w:t>
              <w:br/>
              <w:t>LM2596 DC-DC Step-Down Buck Converters (4 units @ Rs. 140) +</w:t>
              <w:br/>
              <w:t>Solderless Breadboards, Jumper Wire Bundles, Zero PCBs &amp; Terminal Blocks</w:t>
            </w:r>
          </w:p>
        </w:tc>
        <w:tc>
          <w:tcPr>
            <w:tcW w:type="dxa" w:w="1440"/>
            <w:tcMar>
              <w:top w:w="80" w:type="dxa"/>
              <w:bottom w:w="80" w:type="dxa"/>
              <w:left w:w="95" w:type="dxa"/>
              <w:right w:w="95" w:type="dxa"/>
            </w:tcMar>
            <w:vAlign w:val="center"/>
          </w:tcPr>
          <w:p>
            <w:pPr>
              <w:spacing w:before="0" w:after="0" w:line="252" w:lineRule="auto"/>
              <w:jc w:val="right"/>
            </w:pPr>
            <w:r>
              <w:rPr>
                <w:rFonts w:ascii="Times New Roman" w:hAnsi="Times New Roman"/>
                <w:b/>
                <w:color w:val="23272D"/>
                <w:sz w:val="17"/>
              </w:rPr>
              <w:t>Rs. 2,520</w:t>
            </w:r>
          </w:p>
        </w:tc>
      </w:tr>
      <w:tr>
        <w:tc>
          <w:tcPr>
            <w:tcW w:type="dxa" w:w="864"/>
            <w:tcMar>
              <w:top w:w="80" w:type="dxa"/>
              <w:bottom w:w="80" w:type="dxa"/>
              <w:left w:w="95" w:type="dxa"/>
              <w:right w:w="95" w:type="dxa"/>
            </w:tcMar>
            <w:vAlign w:val="center"/>
            <w:shd w:fill="EAECEE"/>
          </w:tcPr>
          <w:p>
            <w:pPr>
              <w:spacing w:before="0" w:after="0" w:line="252" w:lineRule="auto"/>
            </w:pPr>
            <w:r>
              <w:rPr>
                <w:rFonts w:ascii="Times New Roman" w:hAnsi="Times New Roman"/>
                <w:b/>
                <w:color w:val="182B49"/>
                <w:sz w:val="18"/>
              </w:rPr>
            </w:r>
          </w:p>
        </w:tc>
        <w:tc>
          <w:tcPr>
            <w:tcW w:type="dxa" w:w="3312"/>
            <w:tcMar>
              <w:top w:w="80" w:type="dxa"/>
              <w:bottom w:w="80" w:type="dxa"/>
              <w:left w:w="95" w:type="dxa"/>
              <w:right w:w="95" w:type="dxa"/>
            </w:tcMar>
            <w:vAlign w:val="center"/>
            <w:shd w:fill="EAECEE"/>
          </w:tcPr>
          <w:p>
            <w:pPr>
              <w:spacing w:before="0" w:after="0" w:line="252" w:lineRule="auto"/>
            </w:pPr>
            <w:r>
              <w:rPr>
                <w:rFonts w:ascii="Times New Roman" w:hAnsi="Times New Roman"/>
                <w:b/>
                <w:color w:val="182B49"/>
                <w:sz w:val="18"/>
              </w:rPr>
              <w:t>Subtotal: Phase 1 Initial Advance Requirement (50% Upfront)</w:t>
            </w:r>
          </w:p>
        </w:tc>
        <w:tc>
          <w:tcPr>
            <w:tcW w:type="dxa" w:w="4464"/>
            <w:tcMar>
              <w:top w:w="80" w:type="dxa"/>
              <w:bottom w:w="80" w:type="dxa"/>
              <w:left w:w="95" w:type="dxa"/>
              <w:right w:w="95" w:type="dxa"/>
            </w:tcMar>
            <w:vAlign w:val="center"/>
            <w:shd w:fill="EAECEE"/>
          </w:tcPr>
          <w:p>
            <w:pPr>
              <w:spacing w:before="0" w:after="0" w:line="252" w:lineRule="auto"/>
            </w:pPr>
            <w:r>
              <w:rPr>
                <w:rFonts w:ascii="Times New Roman" w:hAnsi="Times New Roman"/>
                <w:b/>
                <w:color w:val="182B49"/>
                <w:sz w:val="18"/>
              </w:rPr>
              <w:t>Core Microcontrollers, Sensor Suite, Test Bench Instruments &amp; Power Management</w:t>
            </w:r>
          </w:p>
        </w:tc>
        <w:tc>
          <w:tcPr>
            <w:tcW w:type="dxa" w:w="1440"/>
            <w:tcMar>
              <w:top w:w="80" w:type="dxa"/>
              <w:bottom w:w="80" w:type="dxa"/>
              <w:left w:w="95" w:type="dxa"/>
              <w:right w:w="95" w:type="dxa"/>
            </w:tcMar>
            <w:vAlign w:val="center"/>
            <w:shd w:fill="EAECEE"/>
          </w:tcPr>
          <w:p>
            <w:pPr>
              <w:spacing w:before="0" w:after="0" w:line="252" w:lineRule="auto"/>
              <w:jc w:val="right"/>
            </w:pPr>
            <w:r>
              <w:rPr>
                <w:rFonts w:ascii="Times New Roman" w:hAnsi="Times New Roman"/>
                <w:b/>
                <w:color w:val="182B49"/>
                <w:sz w:val="18"/>
              </w:rPr>
              <w:t>Rs. 15,000</w:t>
            </w:r>
          </w:p>
        </w:tc>
      </w:tr>
      <w:tr>
        <w:tc>
          <w:tcPr>
            <w:tcW w:type="dxa" w:w="864"/>
            <w:tcMar>
              <w:top w:w="80" w:type="dxa"/>
              <w:bottom w:w="80" w:type="dxa"/>
              <w:left w:w="95" w:type="dxa"/>
              <w:right w:w="95" w:type="dxa"/>
            </w:tcMar>
            <w:vAlign w:val="center"/>
          </w:tcPr>
          <w:p>
            <w:pPr>
              <w:spacing w:before="0" w:after="0" w:line="252" w:lineRule="auto"/>
              <w:jc w:val="center"/>
            </w:pPr>
            <w:r>
              <w:rPr>
                <w:rFonts w:ascii="Times New Roman" w:hAnsi="Times New Roman"/>
                <w:b/>
                <w:color w:val="23272D"/>
                <w:sz w:val="17"/>
              </w:rPr>
              <w:t>7</w:t>
            </w:r>
          </w:p>
        </w:tc>
        <w:tc>
          <w:tcPr>
            <w:tcW w:type="dxa" w:w="3312"/>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Milestone 3: Custom PCB Fabrication &amp; Component Assembly (Tranche 2)</w:t>
            </w:r>
          </w:p>
        </w:tc>
        <w:tc>
          <w:tcPr>
            <w:tcW w:type="dxa" w:w="4464"/>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Custom 2-Layer FR4 IoT Sensor Node PCB Batch (10 pcs via LionCircuits/Indian Fab) +</w:t>
              <w:br/>
              <w:t>SMD/DIP Stencil, Terminal Blocks, Filtering Capacitors &amp; Precision Resistor Assortment</w:t>
            </w:r>
          </w:p>
        </w:tc>
        <w:tc>
          <w:tcPr>
            <w:tcW w:type="dxa" w:w="1440"/>
            <w:tcMar>
              <w:top w:w="80" w:type="dxa"/>
              <w:bottom w:w="80" w:type="dxa"/>
              <w:left w:w="95" w:type="dxa"/>
              <w:right w:w="95" w:type="dxa"/>
            </w:tcMar>
            <w:vAlign w:val="center"/>
          </w:tcPr>
          <w:p>
            <w:pPr>
              <w:spacing w:before="0" w:after="0" w:line="252" w:lineRule="auto"/>
              <w:jc w:val="right"/>
            </w:pPr>
            <w:r>
              <w:rPr>
                <w:rFonts w:ascii="Times New Roman" w:hAnsi="Times New Roman"/>
                <w:b/>
                <w:color w:val="23272D"/>
                <w:sz w:val="17"/>
              </w:rPr>
              <w:t>Rs. 2,800</w:t>
            </w:r>
          </w:p>
        </w:tc>
      </w:tr>
      <w:tr>
        <w:tc>
          <w:tcPr>
            <w:tcW w:type="dxa" w:w="864"/>
            <w:tcMar>
              <w:top w:w="80" w:type="dxa"/>
              <w:bottom w:w="80" w:type="dxa"/>
              <w:left w:w="95" w:type="dxa"/>
              <w:right w:w="95" w:type="dxa"/>
            </w:tcMar>
            <w:vAlign w:val="center"/>
            <w:shd w:fill="F6F8FB"/>
          </w:tcPr>
          <w:p>
            <w:pPr>
              <w:spacing w:before="0" w:after="0" w:line="252" w:lineRule="auto"/>
              <w:jc w:val="center"/>
            </w:pPr>
            <w:r>
              <w:rPr>
                <w:rFonts w:ascii="Times New Roman" w:hAnsi="Times New Roman"/>
                <w:b/>
                <w:color w:val="23272D"/>
                <w:sz w:val="17"/>
              </w:rPr>
              <w:t>8</w:t>
            </w:r>
          </w:p>
        </w:tc>
        <w:tc>
          <w:tcPr>
            <w:tcW w:type="dxa" w:w="3312"/>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Milestone 3: Physical Actuators &amp; High-Current Relays (Tranche 2)</w:t>
            </w:r>
          </w:p>
        </w:tc>
        <w:tc>
          <w:tcPr>
            <w:tcW w:type="dxa" w:w="4464"/>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Optocoupled 4-Channel 5V Relay Boards (2 units @ Rs. 280) +</w:t>
              <w:br/>
              <w:t>12V Solenoid Electric Emergency Drop-Bolt Lock Prototype (1 unit @ Rs. 950) +</w:t>
              <w:br/>
              <w:t>12V 1/2-Inch Brass Emergency Solenoid Gas Cutoff Valve (1 unit @ Rs. 1,250)</w:t>
            </w:r>
          </w:p>
        </w:tc>
        <w:tc>
          <w:tcPr>
            <w:tcW w:type="dxa" w:w="1440"/>
            <w:tcMar>
              <w:top w:w="80" w:type="dxa"/>
              <w:bottom w:w="80" w:type="dxa"/>
              <w:left w:w="95" w:type="dxa"/>
              <w:right w:w="95" w:type="dxa"/>
            </w:tcMar>
            <w:vAlign w:val="center"/>
            <w:shd w:fill="F6F8FB"/>
          </w:tcPr>
          <w:p>
            <w:pPr>
              <w:spacing w:before="0" w:after="0" w:line="252" w:lineRule="auto"/>
              <w:jc w:val="right"/>
            </w:pPr>
            <w:r>
              <w:rPr>
                <w:rFonts w:ascii="Times New Roman" w:hAnsi="Times New Roman"/>
                <w:b/>
                <w:color w:val="23272D"/>
                <w:sz w:val="17"/>
              </w:rPr>
              <w:t>Rs. 2,760</w:t>
            </w:r>
          </w:p>
        </w:tc>
      </w:tr>
      <w:tr>
        <w:tc>
          <w:tcPr>
            <w:tcW w:type="dxa" w:w="864"/>
            <w:tcMar>
              <w:top w:w="80" w:type="dxa"/>
              <w:bottom w:w="80" w:type="dxa"/>
              <w:left w:w="95" w:type="dxa"/>
              <w:right w:w="95" w:type="dxa"/>
            </w:tcMar>
            <w:vAlign w:val="center"/>
          </w:tcPr>
          <w:p>
            <w:pPr>
              <w:spacing w:before="0" w:after="0" w:line="252" w:lineRule="auto"/>
              <w:jc w:val="center"/>
            </w:pPr>
            <w:r>
              <w:rPr>
                <w:rFonts w:ascii="Times New Roman" w:hAnsi="Times New Roman"/>
                <w:b/>
                <w:color w:val="23272D"/>
                <w:sz w:val="17"/>
              </w:rPr>
              <w:t>9</w:t>
            </w:r>
          </w:p>
        </w:tc>
        <w:tc>
          <w:tcPr>
            <w:tcW w:type="dxa" w:w="3312"/>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Milestone 4: Industrial Alarm Sirens &amp; Status Displays (Tranche 3)</w:t>
            </w:r>
          </w:p>
        </w:tc>
        <w:tc>
          <w:tcPr>
            <w:tcW w:type="dxa" w:w="4464"/>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12V 110dB Emergency Alarm Strobe Flasher Sirens (2 units @ Rs. 650) +</w:t>
              <w:br/>
              <w:t>0.96-Inch I2C OLED &amp; 20x4 LCD Status Displays (3 units @ Rs. 250) +</w:t>
              <w:br/>
              <w:t>RC522 RFID / NFC Reader Modules &amp; Access Tags (2 units @ Rs. 220)</w:t>
            </w:r>
          </w:p>
        </w:tc>
        <w:tc>
          <w:tcPr>
            <w:tcW w:type="dxa" w:w="1440"/>
            <w:tcMar>
              <w:top w:w="80" w:type="dxa"/>
              <w:bottom w:w="80" w:type="dxa"/>
              <w:left w:w="95" w:type="dxa"/>
              <w:right w:w="95" w:type="dxa"/>
            </w:tcMar>
            <w:vAlign w:val="center"/>
          </w:tcPr>
          <w:p>
            <w:pPr>
              <w:spacing w:before="0" w:after="0" w:line="252" w:lineRule="auto"/>
              <w:jc w:val="right"/>
            </w:pPr>
            <w:r>
              <w:rPr>
                <w:rFonts w:ascii="Times New Roman" w:hAnsi="Times New Roman"/>
                <w:b/>
                <w:color w:val="23272D"/>
                <w:sz w:val="17"/>
              </w:rPr>
              <w:t>Rs. 2,490</w:t>
            </w:r>
          </w:p>
        </w:tc>
      </w:tr>
      <w:tr>
        <w:tc>
          <w:tcPr>
            <w:tcW w:type="dxa" w:w="864"/>
            <w:tcMar>
              <w:top w:w="80" w:type="dxa"/>
              <w:bottom w:w="80" w:type="dxa"/>
              <w:left w:w="95" w:type="dxa"/>
              <w:right w:w="95" w:type="dxa"/>
            </w:tcMar>
            <w:vAlign w:val="center"/>
            <w:shd w:fill="F6F8FB"/>
          </w:tcPr>
          <w:p>
            <w:pPr>
              <w:spacing w:before="0" w:after="0" w:line="252" w:lineRule="auto"/>
              <w:jc w:val="center"/>
            </w:pPr>
            <w:r>
              <w:rPr>
                <w:rFonts w:ascii="Times New Roman" w:hAnsi="Times New Roman"/>
                <w:b/>
                <w:color w:val="23272D"/>
                <w:sz w:val="17"/>
              </w:rPr>
              <w:t>10</w:t>
            </w:r>
          </w:p>
        </w:tc>
        <w:tc>
          <w:tcPr>
            <w:tcW w:type="dxa" w:w="3312"/>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Milestone 4: Long-Range RF Mesh &amp; Interconnect Gear (Tranche 3)</w:t>
            </w:r>
          </w:p>
        </w:tc>
        <w:tc>
          <w:tcPr>
            <w:tcW w:type="dxa" w:w="4464"/>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NRF24L01+ PA/LNA 2.4GHz Long-Range RF Transceiver Modules with Antennas (2 units @ Rs. 350) +</w:t>
              <w:br/>
              <w:t>2.4GHz 5dBi High-Gain Omni Antennas with SMA Pigtails (4 units @ Rs. 220) +</w:t>
              <w:br/>
              <w:t>8-Port Fast Ethernet Desktop Switch for Wired Bench Interconnect (1 unit @ Rs. 950)</w:t>
            </w:r>
          </w:p>
        </w:tc>
        <w:tc>
          <w:tcPr>
            <w:tcW w:type="dxa" w:w="1440"/>
            <w:tcMar>
              <w:top w:w="80" w:type="dxa"/>
              <w:bottom w:w="80" w:type="dxa"/>
              <w:left w:w="95" w:type="dxa"/>
              <w:right w:w="95" w:type="dxa"/>
            </w:tcMar>
            <w:vAlign w:val="center"/>
            <w:shd w:fill="F6F8FB"/>
          </w:tcPr>
          <w:p>
            <w:pPr>
              <w:spacing w:before="0" w:after="0" w:line="252" w:lineRule="auto"/>
              <w:jc w:val="right"/>
            </w:pPr>
            <w:r>
              <w:rPr>
                <w:rFonts w:ascii="Times New Roman" w:hAnsi="Times New Roman"/>
                <w:b/>
                <w:color w:val="23272D"/>
                <w:sz w:val="17"/>
              </w:rPr>
              <w:t>Rs. 2,530</w:t>
            </w:r>
          </w:p>
        </w:tc>
      </w:tr>
      <w:tr>
        <w:tc>
          <w:tcPr>
            <w:tcW w:type="dxa" w:w="864"/>
            <w:tcMar>
              <w:top w:w="80" w:type="dxa"/>
              <w:bottom w:w="80" w:type="dxa"/>
              <w:left w:w="95" w:type="dxa"/>
              <w:right w:w="95" w:type="dxa"/>
            </w:tcMar>
            <w:vAlign w:val="center"/>
          </w:tcPr>
          <w:p>
            <w:pPr>
              <w:spacing w:before="0" w:after="0" w:line="252" w:lineRule="auto"/>
              <w:jc w:val="center"/>
            </w:pPr>
            <w:r>
              <w:rPr>
                <w:rFonts w:ascii="Times New Roman" w:hAnsi="Times New Roman"/>
                <w:b/>
                <w:color w:val="23272D"/>
                <w:sz w:val="17"/>
              </w:rPr>
              <w:t>11</w:t>
            </w:r>
          </w:p>
        </w:tc>
        <w:tc>
          <w:tcPr>
            <w:tcW w:type="dxa" w:w="3312"/>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Milestone 5: Weatherproof Enclosures &amp; Mounting Hardware (Tranche 4)</w:t>
            </w:r>
          </w:p>
        </w:tc>
        <w:tc>
          <w:tcPr>
            <w:tcW w:type="dxa" w:w="4464"/>
            <w:tcMar>
              <w:top w:w="80" w:type="dxa"/>
              <w:bottom w:w="80" w:type="dxa"/>
              <w:left w:w="95" w:type="dxa"/>
              <w:right w:w="95" w:type="dxa"/>
            </w:tcMar>
            <w:vAlign w:val="center"/>
          </w:tcPr>
          <w:p>
            <w:pPr>
              <w:spacing w:before="0" w:after="0" w:line="252" w:lineRule="auto"/>
            </w:pPr>
            <w:r>
              <w:rPr>
                <w:rFonts w:ascii="Times New Roman" w:hAnsi="Times New Roman"/>
                <w:color w:val="23272D"/>
                <w:sz w:val="17"/>
              </w:rPr>
              <w:t>IP65 ABS Weatherproof Industrial Project Enclosures (4 units @ Rs. 450) +</w:t>
              <w:br/>
              <w:t>PG7 Waterproof Cable Glands, Brass Standoffs, Screws, and Wall Mounting Brackets</w:t>
            </w:r>
          </w:p>
        </w:tc>
        <w:tc>
          <w:tcPr>
            <w:tcW w:type="dxa" w:w="1440"/>
            <w:tcMar>
              <w:top w:w="80" w:type="dxa"/>
              <w:bottom w:w="80" w:type="dxa"/>
              <w:left w:w="95" w:type="dxa"/>
              <w:right w:w="95" w:type="dxa"/>
            </w:tcMar>
            <w:vAlign w:val="center"/>
          </w:tcPr>
          <w:p>
            <w:pPr>
              <w:spacing w:before="0" w:after="0" w:line="252" w:lineRule="auto"/>
              <w:jc w:val="right"/>
            </w:pPr>
            <w:r>
              <w:rPr>
                <w:rFonts w:ascii="Times New Roman" w:hAnsi="Times New Roman"/>
                <w:b/>
                <w:color w:val="23272D"/>
                <w:sz w:val="17"/>
              </w:rPr>
              <w:t>Rs. 2,450</w:t>
            </w:r>
          </w:p>
        </w:tc>
      </w:tr>
      <w:tr>
        <w:tc>
          <w:tcPr>
            <w:tcW w:type="dxa" w:w="864"/>
            <w:tcMar>
              <w:top w:w="80" w:type="dxa"/>
              <w:bottom w:w="80" w:type="dxa"/>
              <w:left w:w="95" w:type="dxa"/>
              <w:right w:w="95" w:type="dxa"/>
            </w:tcMar>
            <w:vAlign w:val="center"/>
            <w:shd w:fill="F6F8FB"/>
          </w:tcPr>
          <w:p>
            <w:pPr>
              <w:spacing w:before="0" w:after="0" w:line="252" w:lineRule="auto"/>
              <w:jc w:val="center"/>
            </w:pPr>
            <w:r>
              <w:rPr>
                <w:rFonts w:ascii="Times New Roman" w:hAnsi="Times New Roman"/>
                <w:b/>
                <w:color w:val="23272D"/>
                <w:sz w:val="17"/>
              </w:rPr>
              <w:t>12</w:t>
            </w:r>
          </w:p>
        </w:tc>
        <w:tc>
          <w:tcPr>
            <w:tcW w:type="dxa" w:w="3312"/>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Milestone 6: Precision Calibration Rig &amp; Field Deployment Bench (Tranche 5)</w:t>
            </w:r>
          </w:p>
        </w:tc>
        <w:tc>
          <w:tcPr>
            <w:tcW w:type="dxa" w:w="4464"/>
            <w:tcMar>
              <w:top w:w="80" w:type="dxa"/>
              <w:bottom w:w="80" w:type="dxa"/>
              <w:left w:w="95" w:type="dxa"/>
              <w:right w:w="95" w:type="dxa"/>
            </w:tcMar>
            <w:vAlign w:val="center"/>
            <w:shd w:fill="F6F8FB"/>
          </w:tcPr>
          <w:p>
            <w:pPr>
              <w:spacing w:before="0" w:after="0" w:line="252" w:lineRule="auto"/>
            </w:pPr>
            <w:r>
              <w:rPr>
                <w:rFonts w:ascii="Times New Roman" w:hAnsi="Times New Roman"/>
                <w:color w:val="23272D"/>
                <w:sz w:val="17"/>
              </w:rPr>
              <w:t>Sealed Acrylic Multi-Gas/Smoke Calibration Test Rig Chamber +</w:t>
              <w:br/>
              <w:t>Aerosol Smoke Test Canisters, Needle Valves, Fitting Couplers &amp; Tubing</w:t>
            </w:r>
          </w:p>
        </w:tc>
        <w:tc>
          <w:tcPr>
            <w:tcW w:type="dxa" w:w="1440"/>
            <w:tcMar>
              <w:top w:w="80" w:type="dxa"/>
              <w:bottom w:w="80" w:type="dxa"/>
              <w:left w:w="95" w:type="dxa"/>
              <w:right w:w="95" w:type="dxa"/>
            </w:tcMar>
            <w:vAlign w:val="center"/>
            <w:shd w:fill="F6F8FB"/>
          </w:tcPr>
          <w:p>
            <w:pPr>
              <w:spacing w:before="0" w:after="0" w:line="252" w:lineRule="auto"/>
              <w:jc w:val="right"/>
            </w:pPr>
            <w:r>
              <w:rPr>
                <w:rFonts w:ascii="Times New Roman" w:hAnsi="Times New Roman"/>
                <w:b/>
                <w:color w:val="23272D"/>
                <w:sz w:val="17"/>
              </w:rPr>
              <w:t>Rs. 1,970</w:t>
            </w:r>
          </w:p>
        </w:tc>
      </w:tr>
      <w:tr>
        <w:tc>
          <w:tcPr>
            <w:tcW w:type="dxa" w:w="864"/>
            <w:tcMar>
              <w:top w:w="80" w:type="dxa"/>
              <w:bottom w:w="80" w:type="dxa"/>
              <w:left w:w="95" w:type="dxa"/>
              <w:right w:w="95" w:type="dxa"/>
            </w:tcMar>
            <w:vAlign w:val="center"/>
            <w:shd w:fill="EAECEE"/>
          </w:tcPr>
          <w:p>
            <w:pPr>
              <w:spacing w:before="0" w:after="0" w:line="252" w:lineRule="auto"/>
            </w:pPr>
            <w:r>
              <w:rPr>
                <w:rFonts w:ascii="Times New Roman" w:hAnsi="Times New Roman"/>
                <w:b/>
                <w:color w:val="182B49"/>
                <w:sz w:val="18"/>
              </w:rPr>
            </w:r>
          </w:p>
        </w:tc>
        <w:tc>
          <w:tcPr>
            <w:tcW w:type="dxa" w:w="3312"/>
            <w:tcMar>
              <w:top w:w="80" w:type="dxa"/>
              <w:bottom w:w="80" w:type="dxa"/>
              <w:left w:w="95" w:type="dxa"/>
              <w:right w:w="95" w:type="dxa"/>
            </w:tcMar>
            <w:vAlign w:val="center"/>
            <w:shd w:fill="EAECEE"/>
          </w:tcPr>
          <w:p>
            <w:pPr>
              <w:spacing w:before="0" w:after="0" w:line="252" w:lineRule="auto"/>
            </w:pPr>
            <w:r>
              <w:rPr>
                <w:rFonts w:ascii="Times New Roman" w:hAnsi="Times New Roman"/>
                <w:b/>
                <w:color w:val="182B49"/>
                <w:sz w:val="18"/>
              </w:rPr>
              <w:t>Subtotal: Phase 2 Subsequent Milestone Tranches (Milestones 3 to 6)</w:t>
            </w:r>
          </w:p>
        </w:tc>
        <w:tc>
          <w:tcPr>
            <w:tcW w:type="dxa" w:w="4464"/>
            <w:tcMar>
              <w:top w:w="80" w:type="dxa"/>
              <w:bottom w:w="80" w:type="dxa"/>
              <w:left w:w="95" w:type="dxa"/>
              <w:right w:w="95" w:type="dxa"/>
            </w:tcMar>
            <w:vAlign w:val="center"/>
            <w:shd w:fill="EAECEE"/>
          </w:tcPr>
          <w:p>
            <w:pPr>
              <w:spacing w:before="0" w:after="0" w:line="252" w:lineRule="auto"/>
            </w:pPr>
            <w:r>
              <w:rPr>
                <w:rFonts w:ascii="Times New Roman" w:hAnsi="Times New Roman"/>
                <w:b/>
                <w:color w:val="182B49"/>
                <w:sz w:val="18"/>
              </w:rPr>
              <w:t>Custom PCBs, Actuators, Industrial Sirens, RF Mesh, IP65 Cases &amp; Calibration Chamber</w:t>
            </w:r>
          </w:p>
        </w:tc>
        <w:tc>
          <w:tcPr>
            <w:tcW w:type="dxa" w:w="1440"/>
            <w:tcMar>
              <w:top w:w="80" w:type="dxa"/>
              <w:bottom w:w="80" w:type="dxa"/>
              <w:left w:w="95" w:type="dxa"/>
              <w:right w:w="95" w:type="dxa"/>
            </w:tcMar>
            <w:vAlign w:val="center"/>
            <w:shd w:fill="EAECEE"/>
          </w:tcPr>
          <w:p>
            <w:pPr>
              <w:spacing w:before="0" w:after="0" w:line="252" w:lineRule="auto"/>
              <w:jc w:val="right"/>
            </w:pPr>
            <w:r>
              <w:rPr>
                <w:rFonts w:ascii="Times New Roman" w:hAnsi="Times New Roman"/>
                <w:b/>
                <w:color w:val="182B49"/>
                <w:sz w:val="18"/>
              </w:rPr>
              <w:t>Rs. 15,000</w:t>
            </w:r>
          </w:p>
        </w:tc>
      </w:tr>
      <w:tr>
        <w:tc>
          <w:tcPr>
            <w:tcW w:type="dxa" w:w="864"/>
            <w:tcMar>
              <w:top w:w="80" w:type="dxa"/>
              <w:bottom w:w="80" w:type="dxa"/>
              <w:left w:w="95" w:type="dxa"/>
              <w:right w:w="95" w:type="dxa"/>
            </w:tcMar>
            <w:vAlign w:val="center"/>
            <w:shd w:fill="D4EFDF"/>
          </w:tcPr>
          <w:p>
            <w:pPr>
              <w:spacing w:before="0" w:after="0" w:line="252" w:lineRule="auto"/>
            </w:pPr>
            <w:r>
              <w:rPr>
                <w:rFonts w:ascii="Times New Roman" w:hAnsi="Times New Roman"/>
                <w:b/>
                <w:color w:val="145A32"/>
                <w:sz w:val="19"/>
              </w:rPr>
            </w:r>
          </w:p>
        </w:tc>
        <w:tc>
          <w:tcPr>
            <w:tcW w:type="dxa" w:w="3312"/>
            <w:tcMar>
              <w:top w:w="80" w:type="dxa"/>
              <w:bottom w:w="80" w:type="dxa"/>
              <w:left w:w="95" w:type="dxa"/>
              <w:right w:w="95" w:type="dxa"/>
            </w:tcMar>
            <w:vAlign w:val="center"/>
            <w:shd w:fill="D4EFDF"/>
          </w:tcPr>
          <w:p>
            <w:pPr>
              <w:spacing w:before="0" w:after="0" w:line="252" w:lineRule="auto"/>
            </w:pPr>
            <w:r>
              <w:rPr>
                <w:rFonts w:ascii="Times New Roman" w:hAnsi="Times New Roman"/>
                <w:b/>
                <w:color w:val="145A32"/>
                <w:sz w:val="19"/>
              </w:rPr>
              <w:t>TOTAL FUNDING REQUIRED (100% Dedicated IoT &amp; Embedded Hardware)</w:t>
            </w:r>
          </w:p>
        </w:tc>
        <w:tc>
          <w:tcPr>
            <w:tcW w:type="dxa" w:w="4464"/>
            <w:tcMar>
              <w:top w:w="80" w:type="dxa"/>
              <w:bottom w:w="80" w:type="dxa"/>
              <w:left w:w="95" w:type="dxa"/>
              <w:right w:w="95" w:type="dxa"/>
            </w:tcMar>
            <w:vAlign w:val="center"/>
            <w:shd w:fill="D4EFDF"/>
          </w:tcPr>
          <w:p>
            <w:pPr>
              <w:spacing w:before="0" w:after="0" w:line="252" w:lineRule="auto"/>
            </w:pPr>
            <w:r>
              <w:rPr>
                <w:rFonts w:ascii="Times New Roman" w:hAnsi="Times New Roman"/>
                <w:b/>
                <w:color w:val="145A32"/>
                <w:sz w:val="19"/>
              </w:rPr>
              <w:t>Total</w:t>
            </w:r>
          </w:p>
        </w:tc>
        <w:tc>
          <w:tcPr>
            <w:tcW w:type="dxa" w:w="1440"/>
            <w:tcMar>
              <w:top w:w="80" w:type="dxa"/>
              <w:bottom w:w="80" w:type="dxa"/>
              <w:left w:w="95" w:type="dxa"/>
              <w:right w:w="95" w:type="dxa"/>
            </w:tcMar>
            <w:vAlign w:val="center"/>
            <w:shd w:fill="D4EFDF"/>
          </w:tcPr>
          <w:p>
            <w:pPr>
              <w:spacing w:before="0" w:after="0" w:line="252" w:lineRule="auto"/>
              <w:jc w:val="right"/>
            </w:pPr>
            <w:r>
              <w:rPr>
                <w:rFonts w:ascii="Times New Roman" w:hAnsi="Times New Roman"/>
                <w:b/>
                <w:color w:val="145A32"/>
                <w:sz w:val="19"/>
              </w:rPr>
              <w:t>Rs. 30,000</w:t>
            </w:r>
          </w:p>
        </w:tc>
      </w:tr>
    </w:tbl>
    <w:p>
      <w:pPr>
        <w:spacing w:before="80" w:after="0"/>
      </w:pPr>
    </w:p>
    <w:p>
      <w:pPr>
        <w:keepNext/>
        <w:spacing w:before="260" w:after="60"/>
      </w:pPr>
      <w:r>
        <w:rPr>
          <w:rFonts w:ascii="Times New Roman" w:hAnsi="Times New Roman"/>
          <w:b/>
          <w:color w:val="182B49"/>
          <w:sz w:val="27"/>
        </w:rPr>
        <w:t>Contributors</w:t>
      </w:r>
    </w:p>
    <w:p>
      <w:pPr>
        <w:spacing w:before="0" w:after="80" w:line="276" w:lineRule="auto"/>
      </w:pPr>
      <w:r>
        <w:rPr>
          <w:rFonts w:ascii="Times New Roman" w:hAnsi="Times New Roman"/>
          <w:color w:val="23272D"/>
          <w:sz w:val="20"/>
        </w:rPr>
        <w:t>The project is executed by a multidisciplinary student engineering team specializing in embedded systems, IoT sensor hardware, and edge computing:</w:t>
      </w:r>
    </w:p>
    <w:tbl>
      <w:tblPr>
        <w:tblW w:type="auto" w:w="0"/>
        <w:jc w:val="center"/>
        <w:tblLook w:firstColumn="1" w:firstRow="1" w:lastColumn="0" w:lastRow="0" w:noHBand="0" w:noVBand="1" w:val="04A0"/>
        <w:tblBorders>
          <w:top w:val="single" w:sz="4" w:space="0" w:color="BDC3C7"/>
          <w:bottom w:val="single" w:sz="4" w:space="0" w:color="BDC3C7"/>
          <w:left w:val="none" w:sz="0" w:space="0" w:color="auto"/>
          <w:right w:val="none" w:sz="0" w:space="0" w:color="auto"/>
          <w:insideH w:val="single" w:sz="4" w:space="0" w:color="BDC3C7"/>
          <w:insideV w:val="none" w:sz="0" w:space="0" w:color="auto"/>
        </w:tblBorders>
      </w:tblPr>
      <w:tblGrid>
        <w:gridCol w:w="1958"/>
        <w:gridCol w:w="1958"/>
        <w:gridCol w:w="1958"/>
        <w:gridCol w:w="1958"/>
        <w:gridCol w:w="1958"/>
      </w:tblGrid>
      <w:tr>
        <w:tc>
          <w:tcPr>
            <w:tcW w:type="dxa" w:w="864"/>
            <w:tcMar>
              <w:top w:w="90" w:type="dxa"/>
              <w:bottom w:w="90" w:type="dxa"/>
              <w:left w:w="110" w:type="dxa"/>
              <w:right w:w="110" w:type="dxa"/>
            </w:tcMar>
            <w:vAlign w:val="center"/>
            <w:shd w:fill="1B365D"/>
          </w:tcPr>
          <w:p>
            <w:pPr>
              <w:spacing w:before="0" w:after="0"/>
            </w:pPr>
            <w:r>
              <w:rPr>
                <w:rFonts w:ascii="Times New Roman" w:hAnsi="Times New Roman"/>
                <w:b/>
                <w:color w:val="FFFFFF"/>
                <w:sz w:val="19"/>
              </w:rPr>
              <w:t>Sr No</w:t>
            </w:r>
          </w:p>
        </w:tc>
        <w:tc>
          <w:tcPr>
            <w:tcW w:type="dxa" w:w="2592"/>
            <w:tcMar>
              <w:top w:w="90" w:type="dxa"/>
              <w:bottom w:w="90" w:type="dxa"/>
              <w:left w:w="110" w:type="dxa"/>
              <w:right w:w="110" w:type="dxa"/>
            </w:tcMar>
            <w:vAlign w:val="center"/>
            <w:shd w:fill="1B365D"/>
          </w:tcPr>
          <w:p>
            <w:pPr>
              <w:spacing w:before="0" w:after="0"/>
            </w:pPr>
            <w:r>
              <w:rPr>
                <w:rFonts w:ascii="Times New Roman" w:hAnsi="Times New Roman"/>
                <w:b/>
                <w:color w:val="FFFFFF"/>
                <w:sz w:val="19"/>
              </w:rPr>
              <w:t>Name</w:t>
            </w:r>
          </w:p>
        </w:tc>
        <w:tc>
          <w:tcPr>
            <w:tcW w:type="dxa" w:w="1584"/>
            <w:tcMar>
              <w:top w:w="90" w:type="dxa"/>
              <w:bottom w:w="90" w:type="dxa"/>
              <w:left w:w="110" w:type="dxa"/>
              <w:right w:w="110" w:type="dxa"/>
            </w:tcMar>
            <w:vAlign w:val="center"/>
            <w:shd w:fill="1B365D"/>
          </w:tcPr>
          <w:p>
            <w:pPr>
              <w:spacing w:before="0" w:after="0"/>
            </w:pPr>
            <w:r>
              <w:rPr>
                <w:rFonts w:ascii="Times New Roman" w:hAnsi="Times New Roman"/>
                <w:b/>
                <w:color w:val="FFFFFF"/>
                <w:sz w:val="19"/>
              </w:rPr>
              <w:t>Roll no</w:t>
            </w:r>
          </w:p>
        </w:tc>
        <w:tc>
          <w:tcPr>
            <w:tcW w:type="dxa" w:w="2016"/>
            <w:tcMar>
              <w:top w:w="90" w:type="dxa"/>
              <w:bottom w:w="90" w:type="dxa"/>
              <w:left w:w="110" w:type="dxa"/>
              <w:right w:w="110" w:type="dxa"/>
            </w:tcMar>
            <w:vAlign w:val="center"/>
            <w:shd w:fill="1B365D"/>
          </w:tcPr>
          <w:p>
            <w:pPr>
              <w:spacing w:before="0" w:after="0"/>
            </w:pPr>
            <w:r>
              <w:rPr>
                <w:rFonts w:ascii="Times New Roman" w:hAnsi="Times New Roman"/>
                <w:b/>
                <w:color w:val="FFFFFF"/>
                <w:sz w:val="19"/>
              </w:rPr>
              <w:t>Contact No</w:t>
            </w:r>
          </w:p>
        </w:tc>
        <w:tc>
          <w:tcPr>
            <w:tcW w:type="dxa" w:w="3024"/>
            <w:tcMar>
              <w:top w:w="90" w:type="dxa"/>
              <w:bottom w:w="90" w:type="dxa"/>
              <w:left w:w="110" w:type="dxa"/>
              <w:right w:w="110" w:type="dxa"/>
            </w:tcMar>
            <w:vAlign w:val="center"/>
            <w:shd w:fill="1B365D"/>
          </w:tcPr>
          <w:p>
            <w:pPr>
              <w:spacing w:before="0" w:after="0"/>
            </w:pPr>
            <w:r>
              <w:rPr>
                <w:rFonts w:ascii="Times New Roman" w:hAnsi="Times New Roman"/>
                <w:b/>
                <w:color w:val="FFFFFF"/>
                <w:sz w:val="19"/>
              </w:rPr>
              <w:t>Email</w:t>
            </w:r>
          </w:p>
        </w:tc>
      </w:tr>
      <w:tr>
        <w:tc>
          <w:tcPr>
            <w:tcW w:type="dxa" w:w="864"/>
            <w:tcMar>
              <w:top w:w="90" w:type="dxa"/>
              <w:bottom w:w="90" w:type="dxa"/>
              <w:left w:w="110" w:type="dxa"/>
              <w:right w:w="110" w:type="dxa"/>
            </w:tcMar>
            <w:vAlign w:val="center"/>
            <w:shd w:fill="F6F8FB"/>
          </w:tcPr>
          <w:p>
            <w:pPr>
              <w:spacing w:before="0" w:after="0"/>
              <w:jc w:val="center"/>
            </w:pPr>
            <w:r>
              <w:rPr>
                <w:rFonts w:ascii="Times New Roman" w:hAnsi="Times New Roman"/>
                <w:b/>
                <w:color w:val="23272D"/>
                <w:sz w:val="17"/>
              </w:rPr>
              <w:t>1</w:t>
            </w:r>
          </w:p>
        </w:tc>
        <w:tc>
          <w:tcPr>
            <w:tcW w:type="dxa" w:w="2592"/>
            <w:tcMar>
              <w:top w:w="90" w:type="dxa"/>
              <w:bottom w:w="90" w:type="dxa"/>
              <w:left w:w="110" w:type="dxa"/>
              <w:right w:w="110" w:type="dxa"/>
            </w:tcMar>
            <w:vAlign w:val="center"/>
            <w:shd w:fill="F6F8FB"/>
          </w:tcPr>
          <w:p>
            <w:pPr>
              <w:spacing w:before="0" w:after="0"/>
            </w:pPr>
            <w:r>
              <w:rPr>
                <w:rFonts w:ascii="Times New Roman" w:hAnsi="Times New Roman"/>
                <w:color w:val="23272D"/>
                <w:sz w:val="17"/>
              </w:rPr>
              <w:t>Hitansh Parikh</w:t>
            </w:r>
          </w:p>
        </w:tc>
        <w:tc>
          <w:tcPr>
            <w:tcW w:type="dxa" w:w="1584"/>
            <w:tcMar>
              <w:top w:w="90" w:type="dxa"/>
              <w:bottom w:w="90" w:type="dxa"/>
              <w:left w:w="110" w:type="dxa"/>
              <w:right w:w="110" w:type="dxa"/>
            </w:tcMar>
            <w:vAlign w:val="center"/>
            <w:shd w:fill="F6F8FB"/>
          </w:tcPr>
          <w:p>
            <w:pPr>
              <w:spacing w:before="0" w:after="0"/>
            </w:pPr>
            <w:r>
              <w:rPr>
                <w:rFonts w:ascii="Times New Roman" w:hAnsi="Times New Roman"/>
                <w:color w:val="23272D"/>
                <w:sz w:val="17"/>
              </w:rPr>
              <w:t>22BCP142</w:t>
            </w:r>
          </w:p>
        </w:tc>
        <w:tc>
          <w:tcPr>
            <w:tcW w:type="dxa" w:w="2016"/>
            <w:tcMar>
              <w:top w:w="90" w:type="dxa"/>
              <w:bottom w:w="90" w:type="dxa"/>
              <w:left w:w="110" w:type="dxa"/>
              <w:right w:w="110" w:type="dxa"/>
            </w:tcMar>
            <w:vAlign w:val="center"/>
            <w:shd w:fill="F6F8FB"/>
          </w:tcPr>
          <w:p>
            <w:pPr>
              <w:spacing w:before="0" w:after="0"/>
            </w:pPr>
            <w:r>
              <w:rPr>
                <w:rFonts w:ascii="Times New Roman" w:hAnsi="Times New Roman"/>
                <w:color w:val="23272D"/>
                <w:sz w:val="17"/>
              </w:rPr>
              <w:t>+91 98765 43210</w:t>
            </w:r>
          </w:p>
        </w:tc>
        <w:tc>
          <w:tcPr>
            <w:tcW w:type="dxa" w:w="3024"/>
            <w:tcMar>
              <w:top w:w="90" w:type="dxa"/>
              <w:bottom w:w="90" w:type="dxa"/>
              <w:left w:w="110" w:type="dxa"/>
              <w:right w:w="110" w:type="dxa"/>
            </w:tcMar>
            <w:vAlign w:val="center"/>
            <w:shd w:fill="F6F8FB"/>
          </w:tcPr>
          <w:p>
            <w:pPr>
              <w:spacing w:before="0" w:after="0"/>
            </w:pPr>
            <w:r>
              <w:rPr>
                <w:rFonts w:ascii="Times New Roman" w:hAnsi="Times New Roman"/>
                <w:color w:val="23272D"/>
                <w:sz w:val="17"/>
              </w:rPr>
              <w:t>hitansh.parikh@domain.edu.in</w:t>
            </w:r>
          </w:p>
        </w:tc>
      </w:tr>
      <w:tr>
        <w:tc>
          <w:tcPr>
            <w:tcW w:type="dxa" w:w="864"/>
            <w:tcMar>
              <w:top w:w="90" w:type="dxa"/>
              <w:bottom w:w="90" w:type="dxa"/>
              <w:left w:w="110" w:type="dxa"/>
              <w:right w:w="110" w:type="dxa"/>
            </w:tcMar>
            <w:vAlign w:val="center"/>
          </w:tcPr>
          <w:p>
            <w:pPr>
              <w:spacing w:before="0" w:after="0"/>
              <w:jc w:val="center"/>
            </w:pPr>
            <w:r>
              <w:rPr>
                <w:rFonts w:ascii="Times New Roman" w:hAnsi="Times New Roman"/>
                <w:b/>
                <w:color w:val="23272D"/>
                <w:sz w:val="17"/>
              </w:rPr>
              <w:t>2</w:t>
            </w:r>
          </w:p>
        </w:tc>
        <w:tc>
          <w:tcPr>
            <w:tcW w:type="dxa" w:w="2592"/>
            <w:tcMar>
              <w:top w:w="90" w:type="dxa"/>
              <w:bottom w:w="90" w:type="dxa"/>
              <w:left w:w="110" w:type="dxa"/>
              <w:right w:w="110" w:type="dxa"/>
            </w:tcMar>
            <w:vAlign w:val="center"/>
          </w:tcPr>
          <w:p>
            <w:pPr>
              <w:spacing w:before="0" w:after="0"/>
            </w:pPr>
            <w:r>
              <w:rPr>
                <w:rFonts w:ascii="Times New Roman" w:hAnsi="Times New Roman"/>
                <w:color w:val="23272D"/>
                <w:sz w:val="17"/>
              </w:rPr>
              <w:t>Embedded &amp; IoT Engineer</w:t>
            </w:r>
          </w:p>
        </w:tc>
        <w:tc>
          <w:tcPr>
            <w:tcW w:type="dxa" w:w="1584"/>
            <w:tcMar>
              <w:top w:w="90" w:type="dxa"/>
              <w:bottom w:w="90" w:type="dxa"/>
              <w:left w:w="110" w:type="dxa"/>
              <w:right w:w="110" w:type="dxa"/>
            </w:tcMar>
            <w:vAlign w:val="center"/>
          </w:tcPr>
          <w:p>
            <w:pPr>
              <w:spacing w:before="0" w:after="0"/>
            </w:pPr>
            <w:r>
              <w:rPr>
                <w:rFonts w:ascii="Times New Roman" w:hAnsi="Times New Roman"/>
                <w:color w:val="23272D"/>
                <w:sz w:val="17"/>
              </w:rPr>
              <w:t>22BEC088</w:t>
            </w:r>
          </w:p>
        </w:tc>
        <w:tc>
          <w:tcPr>
            <w:tcW w:type="dxa" w:w="2016"/>
            <w:tcMar>
              <w:top w:w="90" w:type="dxa"/>
              <w:bottom w:w="90" w:type="dxa"/>
              <w:left w:w="110" w:type="dxa"/>
              <w:right w:w="110" w:type="dxa"/>
            </w:tcMar>
            <w:vAlign w:val="center"/>
          </w:tcPr>
          <w:p>
            <w:pPr>
              <w:spacing w:before="0" w:after="0"/>
            </w:pPr>
            <w:r>
              <w:rPr>
                <w:rFonts w:ascii="Times New Roman" w:hAnsi="Times New Roman"/>
                <w:color w:val="23272D"/>
                <w:sz w:val="17"/>
              </w:rPr>
              <w:t>+91 98765 43211</w:t>
            </w:r>
          </w:p>
        </w:tc>
        <w:tc>
          <w:tcPr>
            <w:tcW w:type="dxa" w:w="3024"/>
            <w:tcMar>
              <w:top w:w="90" w:type="dxa"/>
              <w:bottom w:w="90" w:type="dxa"/>
              <w:left w:w="110" w:type="dxa"/>
              <w:right w:w="110" w:type="dxa"/>
            </w:tcMar>
            <w:vAlign w:val="center"/>
          </w:tcPr>
          <w:p>
            <w:pPr>
              <w:spacing w:before="0" w:after="0"/>
            </w:pPr>
            <w:r>
              <w:rPr>
                <w:rFonts w:ascii="Times New Roman" w:hAnsi="Times New Roman"/>
                <w:color w:val="23272D"/>
                <w:sz w:val="17"/>
              </w:rPr>
              <w:t>iot.embedded@domain.edu.in</w:t>
            </w:r>
          </w:p>
        </w:tc>
      </w:tr>
      <w:tr>
        <w:tc>
          <w:tcPr>
            <w:tcW w:type="dxa" w:w="864"/>
            <w:tcMar>
              <w:top w:w="90" w:type="dxa"/>
              <w:bottom w:w="90" w:type="dxa"/>
              <w:left w:w="110" w:type="dxa"/>
              <w:right w:w="110" w:type="dxa"/>
            </w:tcMar>
            <w:vAlign w:val="center"/>
            <w:shd w:fill="F6F8FB"/>
          </w:tcPr>
          <w:p>
            <w:pPr>
              <w:spacing w:before="0" w:after="0"/>
              <w:jc w:val="center"/>
            </w:pPr>
            <w:r>
              <w:rPr>
                <w:rFonts w:ascii="Times New Roman" w:hAnsi="Times New Roman"/>
                <w:b/>
                <w:color w:val="23272D"/>
                <w:sz w:val="17"/>
              </w:rPr>
              <w:t>3</w:t>
            </w:r>
          </w:p>
        </w:tc>
        <w:tc>
          <w:tcPr>
            <w:tcW w:type="dxa" w:w="2592"/>
            <w:tcMar>
              <w:top w:w="90" w:type="dxa"/>
              <w:bottom w:w="90" w:type="dxa"/>
              <w:left w:w="110" w:type="dxa"/>
              <w:right w:w="110" w:type="dxa"/>
            </w:tcMar>
            <w:vAlign w:val="center"/>
            <w:shd w:fill="F6F8FB"/>
          </w:tcPr>
          <w:p>
            <w:pPr>
              <w:spacing w:before="0" w:after="0"/>
            </w:pPr>
            <w:r>
              <w:rPr>
                <w:rFonts w:ascii="Times New Roman" w:hAnsi="Times New Roman"/>
                <w:color w:val="23272D"/>
                <w:sz w:val="17"/>
              </w:rPr>
              <w:t>Edge Vision &amp; AI Developer</w:t>
            </w:r>
          </w:p>
        </w:tc>
        <w:tc>
          <w:tcPr>
            <w:tcW w:type="dxa" w:w="1584"/>
            <w:tcMar>
              <w:top w:w="90" w:type="dxa"/>
              <w:bottom w:w="90" w:type="dxa"/>
              <w:left w:w="110" w:type="dxa"/>
              <w:right w:w="110" w:type="dxa"/>
            </w:tcMar>
            <w:vAlign w:val="center"/>
            <w:shd w:fill="F6F8FB"/>
          </w:tcPr>
          <w:p>
            <w:pPr>
              <w:spacing w:before="0" w:after="0"/>
            </w:pPr>
            <w:r>
              <w:rPr>
                <w:rFonts w:ascii="Times New Roman" w:hAnsi="Times New Roman"/>
                <w:color w:val="23272D"/>
                <w:sz w:val="17"/>
              </w:rPr>
              <w:t>22BCP165</w:t>
            </w:r>
          </w:p>
        </w:tc>
        <w:tc>
          <w:tcPr>
            <w:tcW w:type="dxa" w:w="2016"/>
            <w:tcMar>
              <w:top w:w="90" w:type="dxa"/>
              <w:bottom w:w="90" w:type="dxa"/>
              <w:left w:w="110" w:type="dxa"/>
              <w:right w:w="110" w:type="dxa"/>
            </w:tcMar>
            <w:vAlign w:val="center"/>
            <w:shd w:fill="F6F8FB"/>
          </w:tcPr>
          <w:p>
            <w:pPr>
              <w:spacing w:before="0" w:after="0"/>
            </w:pPr>
            <w:r>
              <w:rPr>
                <w:rFonts w:ascii="Times New Roman" w:hAnsi="Times New Roman"/>
                <w:color w:val="23272D"/>
                <w:sz w:val="17"/>
              </w:rPr>
              <w:t>+91 98765 43212</w:t>
            </w:r>
          </w:p>
        </w:tc>
        <w:tc>
          <w:tcPr>
            <w:tcW w:type="dxa" w:w="3024"/>
            <w:tcMar>
              <w:top w:w="90" w:type="dxa"/>
              <w:bottom w:w="90" w:type="dxa"/>
              <w:left w:w="110" w:type="dxa"/>
              <w:right w:w="110" w:type="dxa"/>
            </w:tcMar>
            <w:vAlign w:val="center"/>
            <w:shd w:fill="F6F8FB"/>
          </w:tcPr>
          <w:p>
            <w:pPr>
              <w:spacing w:before="0" w:after="0"/>
            </w:pPr>
            <w:r>
              <w:rPr>
                <w:rFonts w:ascii="Times New Roman" w:hAnsi="Times New Roman"/>
                <w:color w:val="23272D"/>
                <w:sz w:val="17"/>
              </w:rPr>
              <w:t>vision.edge@domain.edu.in</w:t>
            </w:r>
          </w:p>
        </w:tc>
      </w:tr>
      <w:tr>
        <w:tc>
          <w:tcPr>
            <w:tcW w:type="dxa" w:w="864"/>
            <w:tcMar>
              <w:top w:w="90" w:type="dxa"/>
              <w:bottom w:w="90" w:type="dxa"/>
              <w:left w:w="110" w:type="dxa"/>
              <w:right w:w="110" w:type="dxa"/>
            </w:tcMar>
            <w:vAlign w:val="center"/>
          </w:tcPr>
          <w:p>
            <w:pPr>
              <w:spacing w:before="0" w:after="0"/>
              <w:jc w:val="center"/>
            </w:pPr>
            <w:r>
              <w:rPr>
                <w:rFonts w:ascii="Times New Roman" w:hAnsi="Times New Roman"/>
                <w:b/>
                <w:color w:val="23272D"/>
                <w:sz w:val="17"/>
              </w:rPr>
              <w:t>4</w:t>
            </w:r>
          </w:p>
        </w:tc>
        <w:tc>
          <w:tcPr>
            <w:tcW w:type="dxa" w:w="2592"/>
            <w:tcMar>
              <w:top w:w="90" w:type="dxa"/>
              <w:bottom w:w="90" w:type="dxa"/>
              <w:left w:w="110" w:type="dxa"/>
              <w:right w:w="110" w:type="dxa"/>
            </w:tcMar>
            <w:vAlign w:val="center"/>
          </w:tcPr>
          <w:p>
            <w:pPr>
              <w:spacing w:before="0" w:after="0"/>
            </w:pPr>
            <w:r>
              <w:rPr>
                <w:rFonts w:ascii="Times New Roman" w:hAnsi="Times New Roman"/>
                <w:color w:val="23272D"/>
                <w:sz w:val="17"/>
              </w:rPr>
              <w:t>Hardware &amp; PCB Design Lead</w:t>
            </w:r>
          </w:p>
        </w:tc>
        <w:tc>
          <w:tcPr>
            <w:tcW w:type="dxa" w:w="1584"/>
            <w:tcMar>
              <w:top w:w="90" w:type="dxa"/>
              <w:bottom w:w="90" w:type="dxa"/>
              <w:left w:w="110" w:type="dxa"/>
              <w:right w:w="110" w:type="dxa"/>
            </w:tcMar>
            <w:vAlign w:val="center"/>
          </w:tcPr>
          <w:p>
            <w:pPr>
              <w:spacing w:before="0" w:after="0"/>
            </w:pPr>
            <w:r>
              <w:rPr>
                <w:rFonts w:ascii="Times New Roman" w:hAnsi="Times New Roman"/>
                <w:color w:val="23272D"/>
                <w:sz w:val="17"/>
              </w:rPr>
              <w:t>22BEE054</w:t>
            </w:r>
          </w:p>
        </w:tc>
        <w:tc>
          <w:tcPr>
            <w:tcW w:type="dxa" w:w="2016"/>
            <w:tcMar>
              <w:top w:w="90" w:type="dxa"/>
              <w:bottom w:w="90" w:type="dxa"/>
              <w:left w:w="110" w:type="dxa"/>
              <w:right w:w="110" w:type="dxa"/>
            </w:tcMar>
            <w:vAlign w:val="center"/>
          </w:tcPr>
          <w:p>
            <w:pPr>
              <w:spacing w:before="0" w:after="0"/>
            </w:pPr>
            <w:r>
              <w:rPr>
                <w:rFonts w:ascii="Times New Roman" w:hAnsi="Times New Roman"/>
                <w:color w:val="23272D"/>
                <w:sz w:val="17"/>
              </w:rPr>
              <w:t>+91 98765 43213</w:t>
            </w:r>
          </w:p>
        </w:tc>
        <w:tc>
          <w:tcPr>
            <w:tcW w:type="dxa" w:w="3024"/>
            <w:tcMar>
              <w:top w:w="90" w:type="dxa"/>
              <w:bottom w:w="90" w:type="dxa"/>
              <w:left w:w="110" w:type="dxa"/>
              <w:right w:w="110" w:type="dxa"/>
            </w:tcMar>
            <w:vAlign w:val="center"/>
          </w:tcPr>
          <w:p>
            <w:pPr>
              <w:spacing w:before="0" w:after="0"/>
            </w:pPr>
            <w:r>
              <w:rPr>
                <w:rFonts w:ascii="Times New Roman" w:hAnsi="Times New Roman"/>
                <w:color w:val="23272D"/>
                <w:sz w:val="17"/>
              </w:rPr>
              <w:t>hardware.pcb@domain.edu.in</w:t>
            </w:r>
          </w:p>
        </w:tc>
      </w:tr>
    </w:tbl>
    <w:p>
      <w:pPr>
        <w:spacing w:before="80" w:after="0"/>
      </w:pPr>
    </w:p>
    <w:p>
      <w:pPr>
        <w:keepNext/>
        <w:spacing w:before="260" w:after="60"/>
      </w:pPr>
      <w:r>
        <w:rPr>
          <w:rFonts w:ascii="Times New Roman" w:hAnsi="Times New Roman"/>
          <w:b/>
          <w:color w:val="182B49"/>
          <w:sz w:val="27"/>
        </w:rPr>
        <w:t>Mentor’s Details</w:t>
      </w:r>
    </w:p>
    <w:p>
      <w:pPr>
        <w:spacing w:before="20" w:after="40" w:line="276" w:lineRule="auto"/>
      </w:pPr>
      <w:r>
        <w:rPr>
          <w:rFonts w:ascii="Times New Roman" w:hAnsi="Times New Roman"/>
          <w:b/>
          <w:color w:val="182B49"/>
          <w:sz w:val="20"/>
        </w:rPr>
        <w:t xml:space="preserve">Name: </w:t>
      </w:r>
      <w:r>
        <w:rPr>
          <w:rFonts w:ascii="Times New Roman" w:hAnsi="Times New Roman"/>
          <w:color w:val="23272D"/>
          <w:sz w:val="20"/>
        </w:rPr>
        <w:t>Dr. S. K. Sharma (Professor / Head of Department)</w:t>
      </w:r>
    </w:p>
    <w:p>
      <w:pPr>
        <w:spacing w:before="20" w:after="40" w:line="276" w:lineRule="auto"/>
      </w:pPr>
      <w:r>
        <w:rPr>
          <w:rFonts w:ascii="Times New Roman" w:hAnsi="Times New Roman"/>
          <w:b/>
          <w:color w:val="182B49"/>
          <w:sz w:val="20"/>
        </w:rPr>
        <w:t xml:space="preserve">Department: </w:t>
      </w:r>
      <w:r>
        <w:rPr>
          <w:rFonts w:ascii="Times New Roman" w:hAnsi="Times New Roman"/>
          <w:color w:val="23272D"/>
          <w:sz w:val="20"/>
        </w:rPr>
        <w:t>Department of Computer Science &amp; Engineering / Electronics Engineering</w:t>
      </w:r>
    </w:p>
    <w:p>
      <w:pPr>
        <w:spacing w:before="20" w:after="40" w:line="276" w:lineRule="auto"/>
      </w:pPr>
      <w:r>
        <w:rPr>
          <w:rFonts w:ascii="Times New Roman" w:hAnsi="Times New Roman"/>
          <w:b/>
          <w:color w:val="182B49"/>
          <w:sz w:val="20"/>
        </w:rPr>
        <w:t xml:space="preserve">Contact Number: </w:t>
      </w:r>
      <w:r>
        <w:rPr>
          <w:rFonts w:ascii="Times New Roman" w:hAnsi="Times New Roman"/>
          <w:color w:val="23272D"/>
          <w:sz w:val="20"/>
        </w:rPr>
        <w:t>+91 98250 12345</w:t>
      </w:r>
    </w:p>
    <w:p>
      <w:pPr>
        <w:spacing w:before="20" w:after="40" w:line="276" w:lineRule="auto"/>
      </w:pPr>
      <w:r>
        <w:rPr>
          <w:rFonts w:ascii="Times New Roman" w:hAnsi="Times New Roman"/>
          <w:b/>
          <w:color w:val="182B49"/>
          <w:sz w:val="20"/>
        </w:rPr>
        <w:t xml:space="preserve">EmpID: </w:t>
      </w:r>
      <w:r>
        <w:rPr>
          <w:rFonts w:ascii="Times New Roman" w:hAnsi="Times New Roman"/>
          <w:color w:val="23272D"/>
          <w:sz w:val="20"/>
        </w:rPr>
        <w:t>FAC-EMP-8492</w:t>
      </w:r>
    </w:p>
    <w:p>
      <w:pPr>
        <w:spacing w:before="20" w:after="40" w:line="276" w:lineRule="auto"/>
      </w:pPr>
      <w:r>
        <w:rPr>
          <w:rFonts w:ascii="Times New Roman" w:hAnsi="Times New Roman"/>
          <w:b/>
          <w:color w:val="182B49"/>
          <w:sz w:val="20"/>
        </w:rPr>
        <w:t xml:space="preserve">email id: </w:t>
      </w:r>
      <w:r>
        <w:rPr>
          <w:rFonts w:ascii="Times New Roman" w:hAnsi="Times New Roman"/>
          <w:color w:val="23272D"/>
          <w:sz w:val="20"/>
        </w:rPr>
        <w:t>mentor.faculty@domain.edu.in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