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0284C7"/>
          <w:sz w:val="56"/>
        </w:rPr>
        <w:t>MediGuide Care</w:t>
      </w:r>
    </w:p>
    <w:p>
      <w:pPr>
        <w:spacing w:after="360"/>
        <w:jc w:val="center"/>
      </w:pPr>
      <w:r>
        <w:rPr>
          <w:b/>
          <w:color w:val="0D9488"/>
          <w:sz w:val="28"/>
        </w:rPr>
        <w:t>Doctor–Patient Consultation &amp; Clinic Management System</w:t>
      </w:r>
    </w:p>
    <w:p>
      <w:pPr>
        <w:spacing w:after="480"/>
        <w:jc w:val="center"/>
      </w:pPr>
      <w:r>
        <w:rPr>
          <w:i/>
          <w:color w:val="475569"/>
          <w:sz w:val="19"/>
        </w:rPr>
        <w:t>Comprehensive Technical &amp; Architectural Project Documentation</w:t>
        <w:br/>
        <w:t>Technology Stack: Java 17 | Spring Boot 3.2 | PostgreSQL 16 | React 19 | Vite | JWT Security</w:t>
      </w:r>
    </w:p>
    <w:p>
      <w:pPr>
        <w:spacing w:after="120"/>
      </w:pPr>
    </w:p>
    <w:p>
      <w:pPr>
        <w:spacing w:before="360" w:after="120"/>
      </w:pPr>
      <w:r>
        <w:rPr>
          <w:b/>
          <w:color w:val="0284C7"/>
          <w:sz w:val="32"/>
        </w:rPr>
        <w:t>1. Executive Summary</w:t>
      </w:r>
    </w:p>
    <w:p>
      <w:pPr>
        <w:spacing w:after="120"/>
      </w:pPr>
      <w:r>
        <w:t>MediGuide Care is a fullstack clinic consultation and outpatient healthcare platform engineered to bridge the gap between patients and specialized medical doctors. It addresses traditional clinical hurdles such as chaotic phone appointment bookings, paper-based lost prescription notes, uncoordinated physician availability schedules, and inaccessible medical history.</w:t>
      </w:r>
    </w:p>
    <w:p>
      <w:pPr>
        <w:spacing w:after="240"/>
      </w:pPr>
      <w:r>
        <w:t>Built on an enterprise-grade Java 17 / Spring Boot backend and a modern React.js frontend, MediGuide Care provides robust role-based access control (Doctor and Patient), interactive calendar scheduling, specialized doctor discovery by locality and PIN code, digital prescription generation, and an OpenAI-compatible Clinical History Summarizer to empower physicians with instant longitudinal patient insights.</w:t>
      </w:r>
    </w:p>
    <w:p>
      <w:pPr>
        <w:spacing w:before="360" w:after="120"/>
      </w:pPr>
      <w:r>
        <w:rPr>
          <w:b/>
          <w:color w:val="0284C7"/>
          <w:sz w:val="32"/>
        </w:rPr>
        <w:t>2. Technology Stack &amp;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fill="0284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168"/>
            <w:shd w:fill="0284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Technology / Framework</w:t>
            </w:r>
          </w:p>
        </w:tc>
        <w:tc>
          <w:tcPr>
            <w:tcW w:type="dxa" w:w="4320"/>
            <w:shd w:fill="0284C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Core Purpose &amp; Responsibilities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Frontend Client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React 19 + Vite + Modern CSS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Single Page Application (SPA), zero bloat, mobile-responsive clean medical UI, tab-scoped token storage.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Backend Server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Java 17 + Spring Boot 3.2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RESTful API services, layered Controller-Service-Repository architecture, strict input validation.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Security Layer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Spring Security 6 + JJWT + BCrypt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Stateless JWT Bearer authentication, role-based method security (@PreAuthorize), CORS policies.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Database Layer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PostgreSQL 16 + Hibernate / JPA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Relational persistence with HikariCP pool, transactional integrity, foreign-key constraints.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API Docs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SpringDoc OpenAPI 3 + Swagger UI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Self-documenting interactive REST documentation available at /swagger-ui.html.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AI Clinical Client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OpenAI-compatible HTTP Client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Secure, non-diagnostic longitudinal consultation summarizer with clinician disclosure.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0284C7"/>
          <w:sz w:val="32"/>
        </w:rPr>
        <w:t>3. Core Roles &amp; Functional Workflows</w:t>
      </w:r>
    </w:p>
    <w:p>
      <w:pPr>
        <w:spacing w:before="240" w:after="80"/>
      </w:pPr>
      <w:r>
        <w:rPr>
          <w:b/>
          <w:color w:val="0D9488"/>
          <w:sz w:val="26"/>
        </w:rPr>
        <w:t>3.1 Patient Care Portal Workflows</w:t>
      </w:r>
    </w:p>
    <w:p>
      <w:pPr>
        <w:pStyle w:val="ListBullet"/>
        <w:spacing w:after="60"/>
      </w:pPr>
      <w:r>
        <w:rPr>
          <w:b/>
          <w:color w:val="0F172A"/>
        </w:rPr>
        <w:t xml:space="preserve">Role Identity &amp; Registration: </w:t>
      </w:r>
      <w:r>
        <w:rPr>
          <w:color w:val="0F172A"/>
        </w:rPr>
        <w:t>Users choose between Patient or Doctor during registration. Upon signup, each patient is assigned a role-prefixed, cryptographically randomized public ID (e.g., PAT-104291) to shield database sequence numbers.</w:t>
      </w:r>
    </w:p>
    <w:p>
      <w:pPr>
        <w:pStyle w:val="ListBullet"/>
        <w:spacing w:after="60"/>
      </w:pPr>
      <w:r>
        <w:rPr>
          <w:b/>
          <w:color w:val="0F172A"/>
        </w:rPr>
        <w:t xml:space="preserve">Doctor &amp; Clinic Discovery: </w:t>
      </w:r>
      <w:r>
        <w:rPr>
          <w:color w:val="0F172A"/>
        </w:rPr>
        <w:t>Patients can search published doctors filtering by Medical Specialty (e.g., Cardiology, Pediatrics, Dermatology), City, Locality/Area, and 6-digit Indian PIN Code.</w:t>
      </w:r>
    </w:p>
    <w:p>
      <w:pPr>
        <w:pStyle w:val="ListBullet"/>
        <w:spacing w:after="60"/>
      </w:pPr>
      <w:r>
        <w:rPr>
          <w:b/>
          <w:color w:val="0F172A"/>
        </w:rPr>
        <w:t xml:space="preserve">Availability Schedule Discovery: </w:t>
      </w:r>
      <w:r>
        <w:rPr>
          <w:color w:val="0F172A"/>
        </w:rPr>
        <w:t>Patients browse active, future consultation slots published by doctors. Selecting a slot automatically scrolls to booking with custom appointment interval selection.</w:t>
      </w:r>
    </w:p>
    <w:p>
      <w:pPr>
        <w:pStyle w:val="ListBullet"/>
        <w:spacing w:after="60"/>
      </w:pPr>
      <w:r>
        <w:rPr>
          <w:b/>
          <w:color w:val="0F172A"/>
        </w:rPr>
        <w:t xml:space="preserve">Instant Appointment Booking: </w:t>
      </w:r>
      <w:r>
        <w:rPr>
          <w:color w:val="0F172A"/>
        </w:rPr>
        <w:t>Real-time scheduling with concurrency checks prevents double-booking. Reference IDs are issued instantly.</w:t>
      </w:r>
    </w:p>
    <w:p>
      <w:pPr>
        <w:pStyle w:val="ListBullet"/>
        <w:spacing w:after="60"/>
      </w:pPr>
      <w:r>
        <w:rPr>
          <w:b/>
          <w:color w:val="0F172A"/>
        </w:rPr>
        <w:t xml:space="preserve">Booking Management &amp; Cancellation: </w:t>
      </w:r>
      <w:r>
        <w:rPr>
          <w:color w:val="0F172A"/>
        </w:rPr>
        <w:t>Patients track all booked, completed, and cancelled appointments with status pills and doctor contact information.</w:t>
      </w:r>
    </w:p>
    <w:p>
      <w:pPr>
        <w:pStyle w:val="ListBullet"/>
        <w:spacing w:after="60"/>
      </w:pPr>
      <w:r>
        <w:rPr>
          <w:b/>
          <w:color w:val="0F172A"/>
        </w:rPr>
        <w:t xml:space="preserve">Consultation &amp; Prescription History: </w:t>
      </w:r>
      <w:r>
        <w:rPr>
          <w:color w:val="0F172A"/>
        </w:rPr>
        <w:t>Patients can view full digital consultation records: diagnosis notes, clinician advice, and itemized digital prescriptions (medication, dosage, frequency, duration, usage instructions).</w:t>
      </w:r>
    </w:p>
    <w:p>
      <w:pPr>
        <w:spacing w:before="240" w:after="80"/>
      </w:pPr>
      <w:r>
        <w:rPr>
          <w:b/>
          <w:color w:val="0D9488"/>
          <w:sz w:val="26"/>
        </w:rPr>
        <w:t>3.2 Doctor Clinical Portal Workflows</w:t>
      </w:r>
    </w:p>
    <w:p>
      <w:pPr>
        <w:pStyle w:val="ListBullet"/>
        <w:spacing w:after="60"/>
      </w:pPr>
      <w:r>
        <w:rPr>
          <w:b/>
          <w:color w:val="0F172A"/>
        </w:rPr>
        <w:t xml:space="preserve">Clinic &amp; Specialty Profile: </w:t>
      </w:r>
      <w:r>
        <w:rPr>
          <w:color w:val="0F172A"/>
        </w:rPr>
        <w:t>Doctors define and publish their clinical practice details, specialty, clinic address, timings, contact phone, and consultation location for patient discovery.</w:t>
      </w:r>
    </w:p>
    <w:p>
      <w:pPr>
        <w:pStyle w:val="ListBullet"/>
        <w:spacing w:after="60"/>
      </w:pPr>
      <w:r>
        <w:rPr>
          <w:b/>
          <w:color w:val="0F172A"/>
        </w:rPr>
        <w:t xml:space="preserve">Calendar Availability Planner: </w:t>
      </w:r>
      <w:r>
        <w:rPr>
          <w:color w:val="0F172A"/>
        </w:rPr>
        <w:t>Interactive calendar matrix allowing doctors to inspect daily schedules, publish single or batch availability slots (e.g., 09:00 - 13:00), and deactivate slots with 1-click.</w:t>
      </w:r>
    </w:p>
    <w:p>
      <w:pPr>
        <w:pStyle w:val="ListBullet"/>
        <w:spacing w:after="60"/>
      </w:pPr>
      <w:r>
        <w:rPr>
          <w:b/>
          <w:color w:val="0F172A"/>
        </w:rPr>
        <w:t xml:space="preserve">Consultation Queue &amp; Status Lifecycle: </w:t>
      </w:r>
      <w:r>
        <w:rPr>
          <w:color w:val="0F172A"/>
        </w:rPr>
        <w:t>Real-time triage queue of patients with booked appointments. Doctors can transition consultations to COMPLETED or CANCELLED.</w:t>
      </w:r>
    </w:p>
    <w:p>
      <w:pPr>
        <w:pStyle w:val="ListBullet"/>
        <w:spacing w:after="60"/>
      </w:pPr>
      <w:r>
        <w:rPr>
          <w:b/>
          <w:color w:val="0F172A"/>
        </w:rPr>
        <w:t xml:space="preserve">Clinical Documentation &amp; Prescriptions: </w:t>
      </w:r>
      <w:r>
        <w:rPr>
          <w:color w:val="0F172A"/>
        </w:rPr>
        <w:t>Slide-over clinical drawer allowing the physician to enter structured clinical diagnoses, comprehensive treatment instructions, and itemized prescriptions.</w:t>
      </w:r>
    </w:p>
    <w:p>
      <w:pPr>
        <w:pStyle w:val="ListBullet"/>
        <w:spacing w:after="60"/>
      </w:pPr>
      <w:r>
        <w:rPr>
          <w:b/>
          <w:color w:val="0F172A"/>
        </w:rPr>
        <w:t xml:space="preserve">AI Clinical History Summarizer: </w:t>
      </w:r>
      <w:r>
        <w:rPr>
          <w:color w:val="0F172A"/>
        </w:rPr>
        <w:t>Doctors can select any patient from their history and request a structured AI clinical summary of previous diagnoses, treatments, and prescriptions to assist in clinical decision making (with clinician-in-the-loop disclosure).</w:t>
      </w:r>
    </w:p>
    <w:p>
      <w:pPr>
        <w:spacing w:before="360" w:after="120"/>
      </w:pPr>
      <w:r>
        <w:rPr>
          <w:b/>
          <w:color w:val="0284C7"/>
          <w:sz w:val="32"/>
        </w:rPr>
        <w:t>4. Relational Database Schema &amp; Entities</w:t>
      </w:r>
    </w:p>
    <w:p>
      <w:r>
        <w:t>The MediGuide Care relational schema is enforced via PostgreSQL foreign keys, unique constraints, and JPA indexes:</w:t>
      </w:r>
    </w:p>
    <w:p>
      <w:pPr>
        <w:pStyle w:val="ListBullet"/>
        <w:spacing w:after="60"/>
      </w:pPr>
      <w:r>
        <w:rPr>
          <w:b/>
          <w:color w:val="0F172A"/>
        </w:rPr>
        <w:t xml:space="preserve">users: </w:t>
      </w:r>
      <w:r>
        <w:rPr>
          <w:color w:val="0F172A"/>
        </w:rPr>
        <w:t>Stores credentials (email, hashed password, fullName, role: DOCTOR/PATIENT, emailVerified, publicId).</w:t>
      </w:r>
    </w:p>
    <w:p>
      <w:pPr>
        <w:pStyle w:val="ListBullet"/>
        <w:spacing w:after="60"/>
      </w:pPr>
      <w:r>
        <w:rPr>
          <w:b/>
          <w:color w:val="0F172A"/>
        </w:rPr>
        <w:t xml:space="preserve">doctor_profiles: </w:t>
      </w:r>
      <w:r>
        <w:rPr>
          <w:color w:val="0F172A"/>
        </w:rPr>
        <w:t>One-to-One with User (DOCTOR). Specialty, clinicName, clinicAddress, city, area, pinCode, clinicPhone, personalPhone.</w:t>
      </w:r>
    </w:p>
    <w:p>
      <w:pPr>
        <w:pStyle w:val="ListBullet"/>
        <w:spacing w:after="60"/>
      </w:pPr>
      <w:r>
        <w:rPr>
          <w:b/>
          <w:color w:val="0F172A"/>
        </w:rPr>
        <w:t xml:space="preserve">patient_profiles: </w:t>
      </w:r>
      <w:r>
        <w:rPr>
          <w:color w:val="0F172A"/>
        </w:rPr>
        <w:t>One-to-One with User (PATIENT). Private patient contact number and preferences.</w:t>
      </w:r>
    </w:p>
    <w:p>
      <w:pPr>
        <w:pStyle w:val="ListBullet"/>
        <w:spacing w:after="60"/>
      </w:pPr>
      <w:r>
        <w:rPr>
          <w:b/>
          <w:color w:val="0F172A"/>
        </w:rPr>
        <w:t xml:space="preserve">doctor_availabilities: </w:t>
      </w:r>
      <w:r>
        <w:rPr>
          <w:color w:val="0F172A"/>
        </w:rPr>
        <w:t>Many-to-One with User (DOCTOR). Defines future consultation time windows (startTime, endTime, isActive flag).</w:t>
      </w:r>
    </w:p>
    <w:p>
      <w:pPr>
        <w:pStyle w:val="ListBullet"/>
        <w:spacing w:after="60"/>
      </w:pPr>
      <w:r>
        <w:rPr>
          <w:b/>
          <w:color w:val="0F172A"/>
        </w:rPr>
        <w:t xml:space="preserve">appointments: </w:t>
      </w:r>
      <w:r>
        <w:rPr>
          <w:color w:val="0F172A"/>
        </w:rPr>
        <w:t>Links Patient, Doctor, and Availability. Tracks status: BOOKED, COMPLETED, CANCELLED.</w:t>
      </w:r>
    </w:p>
    <w:p>
      <w:pPr>
        <w:pStyle w:val="ListBullet"/>
        <w:spacing w:after="60"/>
      </w:pPr>
      <w:r>
        <w:rPr>
          <w:b/>
          <w:color w:val="0F172A"/>
        </w:rPr>
        <w:t xml:space="preserve">consultation_records: </w:t>
      </w:r>
      <w:r>
        <w:rPr>
          <w:color w:val="0F172A"/>
        </w:rPr>
        <w:t>One-to-One with Appointment. Records clinical diagnosis, general advice, follow-up date, and timestamp.</w:t>
      </w:r>
    </w:p>
    <w:p>
      <w:pPr>
        <w:pStyle w:val="ListBullet"/>
        <w:spacing w:after="60"/>
      </w:pPr>
      <w:r>
        <w:rPr>
          <w:b/>
          <w:color w:val="0F172A"/>
        </w:rPr>
        <w:t xml:space="preserve">prescription_items: </w:t>
      </w:r>
      <w:r>
        <w:rPr>
          <w:color w:val="0F172A"/>
        </w:rPr>
        <w:t>Many-to-One with ConsultationRecord. Medication name, dosage (e.g. 500mg), frequency (e.g. Twice daily), durationDays, and instructions (e.g. After meals).</w:t>
      </w:r>
    </w:p>
    <w:p>
      <w:pPr>
        <w:pStyle w:val="ListBullet"/>
        <w:spacing w:after="60"/>
      </w:pPr>
      <w:r>
        <w:rPr>
          <w:b/>
          <w:color w:val="0F172A"/>
        </w:rPr>
        <w:t xml:space="preserve">email_verification_tokens: </w:t>
      </w:r>
      <w:r>
        <w:rPr>
          <w:color w:val="0F172A"/>
        </w:rPr>
        <w:t>Single-use cryptographically random verification tokens with 24-hour expiration and 60-second cooldown.</w:t>
      </w:r>
    </w:p>
    <w:p>
      <w:pPr>
        <w:spacing w:before="360" w:after="120"/>
      </w:pPr>
      <w:r>
        <w:rPr>
          <w:b/>
          <w:color w:val="0284C7"/>
          <w:sz w:val="32"/>
        </w:rPr>
        <w:t>5. Security &amp; Privacy Architecture</w:t>
      </w:r>
    </w:p>
    <w:p>
      <w:pPr>
        <w:pStyle w:val="ListBullet"/>
        <w:spacing w:after="60"/>
      </w:pPr>
      <w:r>
        <w:rPr>
          <w:b/>
          <w:color w:val="0F172A"/>
        </w:rPr>
        <w:t xml:space="preserve">BCrypt Password Hashing: </w:t>
      </w:r>
      <w:r>
        <w:rPr>
          <w:color w:val="0F172A"/>
        </w:rPr>
        <w:t>All passwords are encrypted using BCrypt with salt rounds, ensuring zero plaintext exposure.</w:t>
      </w:r>
    </w:p>
    <w:p>
      <w:pPr>
        <w:pStyle w:val="ListBullet"/>
        <w:spacing w:after="60"/>
      </w:pPr>
      <w:r>
        <w:rPr>
          <w:b/>
          <w:color w:val="0F172A"/>
        </w:rPr>
        <w:t xml:space="preserve">Stateless JWT Bearer Authentication: </w:t>
      </w:r>
      <w:r>
        <w:rPr>
          <w:color w:val="0F172A"/>
        </w:rPr>
        <w:t>Tokens are signed with HMAC-SHA256 (minimum 256 bits). JWTs are held tab-scoped in memory, eliminating XSS vulnerability in localStorage.</w:t>
      </w:r>
    </w:p>
    <w:p>
      <w:pPr>
        <w:pStyle w:val="ListBullet"/>
        <w:spacing w:after="60"/>
      </w:pPr>
      <w:r>
        <w:rPr>
          <w:b/>
          <w:color w:val="0F172A"/>
        </w:rPr>
        <w:t xml:space="preserve">Public ID Obfuscation: </w:t>
      </w:r>
      <w:r>
        <w:rPr>
          <w:color w:val="0F172A"/>
        </w:rPr>
        <w:t>Internal database primary keys (IDs 1, 2, 3...) are masked externally behind public IDs (DOC-XXXXXX, PAT-XXXXXX) to thwart sequence harvesting.</w:t>
      </w:r>
    </w:p>
    <w:p>
      <w:pPr>
        <w:pStyle w:val="ListBullet"/>
        <w:spacing w:after="60"/>
      </w:pPr>
      <w:r>
        <w:rPr>
          <w:b/>
          <w:color w:val="0F172A"/>
        </w:rPr>
        <w:t xml:space="preserve">Role-Based Method Security: </w:t>
      </w:r>
      <w:r>
        <w:rPr>
          <w:color w:val="0F172A"/>
        </w:rPr>
        <w:t>Spring Security 6 filters validate JWT tokens and enforce role-based authorization (@PreAuthorize('hasRole("DOCTOR")')).</w:t>
      </w:r>
    </w:p>
    <w:p>
      <w:pPr>
        <w:pStyle w:val="ListBullet"/>
        <w:spacing w:after="60"/>
      </w:pPr>
      <w:r>
        <w:rPr>
          <w:b/>
          <w:color w:val="0F172A"/>
        </w:rPr>
        <w:t xml:space="preserve">HIPAA/Privacy Standards: </w:t>
      </w:r>
      <w:r>
        <w:rPr>
          <w:color w:val="0F172A"/>
        </w:rPr>
        <w:t>Patient phone numbers and detailed clinical records are restricted strictly to the consulting doctor and patient.</w:t>
      </w:r>
    </w:p>
    <w:p>
      <w:pPr>
        <w:spacing w:before="360" w:after="120"/>
      </w:pPr>
      <w:r>
        <w:rPr>
          <w:b/>
          <w:color w:val="0284C7"/>
          <w:sz w:val="32"/>
        </w:rPr>
        <w:t>6. Quality Assurance &amp; Test Verification</w:t>
      </w:r>
    </w:p>
    <w:p>
      <w:pPr>
        <w:spacing w:after="80"/>
      </w:pPr>
      <w:r>
        <w:t>The project includes comprehensive automated test suites covering repository operations, service business logic, concurrency locks, controller mappings, and security filters:</w:t>
      </w:r>
    </w:p>
    <w:p>
      <w:pPr>
        <w:pStyle w:val="ListBullet"/>
        <w:spacing w:after="60"/>
      </w:pPr>
      <w:r>
        <w:rPr>
          <w:b/>
          <w:color w:val="0F172A"/>
        </w:rPr>
        <w:t xml:space="preserve">Test Suite Coverage: </w:t>
      </w:r>
      <w:r>
        <w:rPr>
          <w:color w:val="0F172A"/>
        </w:rPr>
        <w:t>298 automated tests pass with 0 failures, 0 errors, and 0 skipped.</w:t>
      </w:r>
    </w:p>
    <w:p>
      <w:pPr>
        <w:pStyle w:val="ListBullet"/>
        <w:spacing w:after="60"/>
      </w:pPr>
      <w:r>
        <w:rPr>
          <w:b/>
          <w:color w:val="0F172A"/>
        </w:rPr>
        <w:t xml:space="preserve">Appointment Concurrency Tests: </w:t>
      </w:r>
      <w:r>
        <w:rPr>
          <w:color w:val="0F172A"/>
        </w:rPr>
        <w:t>Verified concurrent booking requests to ensure slots cannot be double-booked by parallel requests.</w:t>
      </w:r>
    </w:p>
    <w:p>
      <w:pPr>
        <w:pStyle w:val="ListBullet"/>
        <w:spacing w:after="60"/>
      </w:pPr>
      <w:r>
        <w:rPr>
          <w:b/>
          <w:color w:val="0F172A"/>
        </w:rPr>
        <w:t xml:space="preserve">JWT Security Tests: </w:t>
      </w:r>
      <w:r>
        <w:rPr>
          <w:color w:val="0F172A"/>
        </w:rPr>
        <w:t>Tested token creation, claim extraction, tamper detection, and expiration handling.</w:t>
      </w:r>
    </w:p>
    <w:p>
      <w:pPr>
        <w:pStyle w:val="ListBullet"/>
        <w:spacing w:after="60"/>
      </w:pPr>
      <w:r>
        <w:rPr>
          <w:b/>
          <w:color w:val="0F172A"/>
        </w:rPr>
        <w:t xml:space="preserve">AI Clinical Client Tests: </w:t>
      </w:r>
      <w:r>
        <w:rPr>
          <w:color w:val="0F172A"/>
        </w:rPr>
        <w:t>Mocked OpenAI API responses, latency timeouts, and prompt formatting.</w:t>
      </w:r>
    </w:p>
    <w:p>
      <w:pPr>
        <w:spacing w:before="360" w:after="120"/>
      </w:pPr>
      <w:r>
        <w:rPr>
          <w:b/>
          <w:color w:val="0284C7"/>
          <w:sz w:val="32"/>
        </w:rPr>
        <w:t>7. Setup &amp; Execution Instructions</w:t>
      </w:r>
    </w:p>
    <w:p>
      <w:r>
        <w:t>To run MediGuide Care locally:</w:t>
      </w:r>
    </w:p>
    <w:p>
      <w:pPr>
        <w:pStyle w:val="ListBullet"/>
        <w:spacing w:after="60"/>
      </w:pPr>
      <w:r>
        <w:rPr>
          <w:b/>
          <w:color w:val="0F172A"/>
        </w:rPr>
        <w:t xml:space="preserve">Step 1: Database Setup: </w:t>
      </w:r>
      <w:r>
        <w:rPr>
          <w:color w:val="0F172A"/>
        </w:rPr>
        <w:t>Ensure PostgreSQL is running on port 5432 with database `mediguide_db` created.</w:t>
      </w:r>
    </w:p>
    <w:p>
      <w:pPr>
        <w:pStyle w:val="ListBullet"/>
        <w:spacing w:after="60"/>
      </w:pPr>
      <w:r>
        <w:rPr>
          <w:b/>
          <w:color w:val="0F172A"/>
        </w:rPr>
        <w:t xml:space="preserve">Step 2: Start Spring Boot Backend: </w:t>
      </w:r>
      <w:r>
        <w:rPr>
          <w:color w:val="0F172A"/>
        </w:rPr>
        <w:t>Navigate to `backend/` and execute `mvn spring-boot:run`. The backend will start on `http://localhost:8080`.</w:t>
      </w:r>
    </w:p>
    <w:p>
      <w:pPr>
        <w:pStyle w:val="ListBullet"/>
        <w:spacing w:after="60"/>
      </w:pPr>
      <w:r>
        <w:rPr>
          <w:b/>
          <w:color w:val="0F172A"/>
        </w:rPr>
        <w:t xml:space="preserve">Step 3: Start React Frontend: </w:t>
      </w:r>
      <w:r>
        <w:rPr>
          <w:color w:val="0F172A"/>
        </w:rPr>
        <w:t>Navigate to `frontend/` and execute `npm run dev`. The React application will start on `http://localhost:5173`.</w:t>
      </w:r>
    </w:p>
    <w:p>
      <w:pPr>
        <w:pStyle w:val="ListBullet"/>
        <w:spacing w:after="60"/>
      </w:pPr>
      <w:r>
        <w:rPr>
          <w:b/>
          <w:color w:val="0F172A"/>
        </w:rPr>
        <w:t xml:space="preserve">Step 4: Access System: </w:t>
      </w:r>
      <w:r>
        <w:rPr>
          <w:color w:val="0F172A"/>
        </w:rPr>
        <w:t>Visit `http://localhost:5173/` in any browser to access the clean clinical portal.</w:t>
      </w:r>
    </w:p>
    <w:p>
      <w:pPr>
        <w:pStyle w:val="ListBullet"/>
        <w:spacing w:after="60"/>
      </w:pPr>
      <w:r>
        <w:rPr>
          <w:b/>
          <w:color w:val="0F172A"/>
        </w:rPr>
        <w:t xml:space="preserve">Step 5: API Documentation: </w:t>
      </w:r>
      <w:r>
        <w:rPr>
          <w:color w:val="0F172A"/>
        </w:rPr>
        <w:t>Swagger UI documentation is available at `http://localhost:8080/swagger-ui.html`.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