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/>
        <w:jc w:val="center"/>
      </w:pPr>
      <w:r>
        <w:rPr>
          <w:rFonts w:ascii="Calibri" w:cs="Calibri" w:eastAsia="Calibri" w:hAnsi="Calibri"/>
          <w:b/>
          <w:bCs/>
          <w:color w:val="1F3A5F"/>
          <w:spacing w:val="30"/>
          <w:sz w:val="34"/>
          <w:szCs w:val="34"/>
        </w:rPr>
        <w:t xml:space="preserve">MOHAMED KASIB FARHAN CASSIM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444444"/>
          <w:sz w:val="21"/>
          <w:szCs w:val="21"/>
        </w:rPr>
        <w:t xml:space="preserve">GTM Engineer  |  AI Sales Automation  |  Go-to-Market Strategy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United Arab Emirates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|  </w:t>
      </w:r>
      <w:hyperlink w:history="1" r:id="rId64hn36lyt8yduv5jzurtt">
        <w:r>
          <w:rPr>
            <w:rFonts w:ascii="Calibri" w:cs="Calibri" w:eastAsia="Calibri" w:hAnsi="Calibri"/>
            <w:color w:val="1A1A1A"/>
            <w:sz w:val="20"/>
            <w:szCs w:val="20"/>
          </w:rPr>
          <w:t xml:space="preserve">kasibfarhan@gmail.com</w:t>
        </w:r>
      </w:hyperlink>
      <w:r>
        <w:rPr>
          <w:rFonts w:ascii="Calibri" w:cs="Calibri" w:eastAsia="Calibri" w:hAnsi="Calibri"/>
          <w:color w:val="1A1A1A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1A1A1A"/>
          <w:sz w:val="20"/>
          <w:szCs w:val="20"/>
          <w:highlight w:val="yellow"/>
          <w:highlightCs w:val="yellow"/>
        </w:rPr>
        <w:t xml:space="preserve">+971 56 406 165</w:t>
      </w:r>
    </w:p>
    <w:p>
      <w:pPr>
        <w:spacing w:after="40"/>
        <w:jc w:val="center"/>
      </w:pPr>
      <w:hyperlink w:history="1" r:id="rIdqzrsldg89wybyfybdemii">
        <w:r>
          <w:rPr>
            <w:rFonts w:ascii="Calibri" w:cs="Calibri" w:eastAsia="Calibri" w:hAnsi="Calibri"/>
            <w:color w:val="1A1A1A"/>
            <w:sz w:val="20"/>
            <w:szCs w:val="20"/>
          </w:rPr>
          <w:t xml:space="preserve">linkedin.com/in/mohamed-kasib-farhan-cassim-7b2a4222b</w:t>
        </w:r>
      </w:hyperlink>
      <w:r>
        <w:rPr>
          <w:rFonts w:ascii="Calibri" w:cs="Calibri" w:eastAsia="Calibri" w:hAnsi="Calibri"/>
          <w:color w:val="1A1A1A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Own visa (no sponsorship needed)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Driving licence</w:t>
      </w:r>
    </w:p>
    <w:p>
      <w:pPr>
        <w:keepNext/>
        <w:pBdr>
          <w:bottom w:val="single" w:color="1F3A5F" w:sz="10" w:space="1"/>
        </w:pBdr>
        <w:spacing w:after="50" w:before="100"/>
        <w:jc w:val="left"/>
      </w:pPr>
      <w:r>
        <w:rPr>
          <w:rFonts w:ascii="Calibri" w:cs="Calibri" w:eastAsia="Calibri" w:hAnsi="Calibri"/>
          <w:b/>
          <w:bCs/>
          <w:smallCaps w:val="false"/>
          <w:color w:val="1F3A5F"/>
          <w:spacing w:val="30"/>
          <w:sz w:val="22"/>
          <w:szCs w:val="22"/>
        </w:rPr>
        <w:t xml:space="preserve">PROFESSIONAL SUMMARY</w:t>
      </w:r>
    </w:p>
    <w:p>
      <w:pPr>
        <w:spacing w:after="20" w:line="250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GTM engineer who builds the systems behind sales: AI automations, made with Claude Code and APIs, that take work from prospecting to close. Backed by hands-on full-cycle selling (MYR 6.2M+ qualified pipeline from 100+ enterprise accounts). Now building Axsona’s AI-automated GTM engine for market entry into the UAE and Middle East. MBA (CGPA 3.62); fluent in English, Hindi, Tamil and Urdu.</w:t>
      </w:r>
    </w:p>
    <w:p>
      <w:pPr>
        <w:keepNext/>
        <w:pBdr>
          <w:bottom w:val="single" w:color="1F3A5F" w:sz="10" w:space="1"/>
        </w:pBdr>
        <w:spacing w:after="50" w:before="100"/>
        <w:jc w:val="left"/>
      </w:pPr>
      <w:r>
        <w:rPr>
          <w:rFonts w:ascii="Calibri" w:cs="Calibri" w:eastAsia="Calibri" w:hAnsi="Calibri"/>
          <w:b/>
          <w:bCs/>
          <w:smallCaps w:val="false"/>
          <w:color w:val="1F3A5F"/>
          <w:spacing w:val="30"/>
          <w:sz w:val="22"/>
          <w:szCs w:val="22"/>
        </w:rPr>
        <w:t xml:space="preserve">SELECTED BUILDS</w:t>
      </w:r>
    </w:p>
    <w:p>
      <w:pPr>
        <w:pStyle w:val="ListParagraph"/>
        <w:numPr>
          <w:ilvl w:val="0"/>
          <w:numId w:val="2"/>
        </w:numPr>
        <w:spacing w:after="15" w:line="2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AI help-desk agent (Slack + Jira)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: handles support requests in Slack and creates, routes and updates Jira tickets.</w:t>
      </w:r>
    </w:p>
    <w:p>
      <w:pPr>
        <w:pStyle w:val="ListParagraph"/>
        <w:numPr>
          <w:ilvl w:val="0"/>
          <w:numId w:val="2"/>
        </w:numPr>
        <w:spacing w:after="15" w:line="2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Internal billing system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: built end to end with Claude Code to automate invoicing work previously done by hand.</w:t>
      </w:r>
    </w:p>
    <w:p>
      <w:pPr>
        <w:pStyle w:val="ListParagraph"/>
        <w:numPr>
          <w:ilvl w:val="0"/>
          <w:numId w:val="2"/>
        </w:numPr>
        <w:spacing w:after="15" w:line="2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AI sales pipeline automation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: LLM-driven account research, enrichment and outreach drafts, synced to the CRM.</w:t>
      </w:r>
    </w:p>
    <w:p>
      <w:pPr>
        <w:pStyle w:val="ListParagraph"/>
        <w:numPr>
          <w:ilvl w:val="0"/>
          <w:numId w:val="2"/>
        </w:numPr>
        <w:spacing w:after="15" w:line="2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Axsona GTM engine (in progress)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: multi-segment outbound for UAE entry, from ICP signals to pipeline reporting.</w:t>
      </w:r>
    </w:p>
    <w:p>
      <w:pPr>
        <w:spacing w:after="0" w:before="20"/>
      </w:pPr>
      <w:r>
        <w:rPr>
          <w:rFonts w:ascii="Calibri" w:cs="Calibri" w:eastAsia="Calibri" w:hAnsi="Calibri"/>
          <w:i/>
          <w:iCs/>
          <w:color w:val="1A1A1A"/>
          <w:sz w:val="20"/>
          <w:szCs w:val="20"/>
          <w:highlight w:val="yellow"/>
          <w:highlightCs w:val="yellow"/>
        </w:rPr>
        <w:t xml:space="preserve">Write-up and demos: [add link]</w:t>
      </w:r>
    </w:p>
    <w:p>
      <w:pPr>
        <w:keepNext/>
        <w:pBdr>
          <w:bottom w:val="single" w:color="1F3A5F" w:sz="10" w:space="1"/>
        </w:pBdr>
        <w:spacing w:after="50" w:before="100"/>
        <w:jc w:val="left"/>
      </w:pPr>
      <w:r>
        <w:rPr>
          <w:rFonts w:ascii="Calibri" w:cs="Calibri" w:eastAsia="Calibri" w:hAnsi="Calibri"/>
          <w:b/>
          <w:bCs/>
          <w:smallCaps w:val="false"/>
          <w:color w:val="1F3A5F"/>
          <w:spacing w:val="30"/>
          <w:sz w:val="22"/>
          <w:szCs w:val="22"/>
        </w:rPr>
        <w:t xml:space="preserve">CORE SKILLS</w:t>
      </w:r>
    </w:p>
    <w:p>
      <w:pPr>
        <w:spacing w:after="20" w:line="24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GTM Engineering &amp; AI: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Claude Code, Claude API, Gemini API, AI agents, REST APIs and webhooks, Slack and Jira APIs, workflow automation, lead enrichment, outbound sequencing, CRM, GitHub</w:t>
      </w:r>
    </w:p>
    <w:p>
      <w:pPr>
        <w:spacing w:after="20" w:line="24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Go-to-Market &amp; Sales: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GTM strategy, market entry, ICP and segmentation, full-cycle B2B sales, pipeline generation, product demos, RFP/RFQ, partnerships, sales enablement</w:t>
      </w:r>
    </w:p>
    <w:p>
      <w:pPr>
        <w:spacing w:after="20" w:line="24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Leadership: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Cross-border team management, hiring and onboarding, stakeholder management, product ownership</w:t>
      </w:r>
    </w:p>
    <w:p>
      <w:pPr>
        <w:spacing w:after="20" w:line="24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English (native/bilingual); Hindi, Tamil, Urdu (full professional); Sinhala (professional working); Arabic (limited working)</w:t>
      </w:r>
    </w:p>
    <w:p>
      <w:pPr>
        <w:keepNext/>
        <w:pBdr>
          <w:bottom w:val="single" w:color="1F3A5F" w:sz="10" w:space="1"/>
        </w:pBdr>
        <w:spacing w:after="50" w:before="100"/>
        <w:jc w:val="left"/>
      </w:pPr>
      <w:r>
        <w:rPr>
          <w:rFonts w:ascii="Calibri" w:cs="Calibri" w:eastAsia="Calibri" w:hAnsi="Calibri"/>
          <w:b/>
          <w:bCs/>
          <w:smallCaps w:val="false"/>
          <w:color w:val="1F3A5F"/>
          <w:spacing w:val="30"/>
          <w:sz w:val="22"/>
          <w:szCs w:val="22"/>
        </w:rPr>
        <w:t xml:space="preserve">PROFESSIONAL EXPERIENCE</w:t>
      </w:r>
    </w:p>
    <w:p>
      <w:pPr>
        <w:keepNext/>
        <w:tabs>
          <w:tab w:val="right" w:pos="10346"/>
        </w:tabs>
        <w:spacing w:before="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AI Go-to-Market Lead, Middle East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	Sep 2026 – Present</w:t>
      </w:r>
    </w:p>
    <w:p>
      <w:pPr>
        <w:keepNext/>
        <w:tabs>
          <w:tab w:val="right" w:pos="10346"/>
        </w:tabs>
        <w:spacing w:after="20"/>
      </w:pP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Axsona (Pantas Software Sdn. Bhd.)</w:t>
      </w: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	United Arab Emirates</w:t>
      </w:r>
    </w:p>
    <w:p>
      <w:pPr>
        <w:pStyle w:val="ListParagraph"/>
        <w:numPr>
          <w:ilvl w:val="0"/>
          <w:numId w:val="2"/>
        </w:numPr>
        <w:spacing w:after="15" w:line="2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Building an AI-automated GTM engine (account research, lead enrichment, personalised multi-channel outreach and CRM updates) so a lean team can run outbound across several segments at once.</w:t>
      </w:r>
    </w:p>
    <w:p>
      <w:pPr>
        <w:pStyle w:val="ListParagraph"/>
        <w:numPr>
          <w:ilvl w:val="0"/>
          <w:numId w:val="2"/>
        </w:numPr>
        <w:spacing w:after="15" w:line="2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Lead Axsona’s end-to-end market entry into the UAE and wider Middle East, from ICP and segment prioritisation to positioning, partner model and pipeline targets.</w:t>
      </w:r>
    </w:p>
    <w:p>
      <w:pPr>
        <w:pStyle w:val="ListParagraph"/>
        <w:numPr>
          <w:ilvl w:val="0"/>
          <w:numId w:val="2"/>
        </w:numPr>
        <w:spacing w:after="15" w:line="2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Setting up the regional sales operating rhythm (pipeline stages, weekly activity targets, leadership reporting) to move from first pilots to repeatable revenue.</w:t>
      </w:r>
    </w:p>
    <w:p>
      <w:pPr>
        <w:pStyle w:val="ListParagraph"/>
        <w:numPr>
          <w:ilvl w:val="0"/>
          <w:numId w:val="2"/>
        </w:numPr>
        <w:spacing w:after="15" w:line="2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Developing a two-track route to market: direct enterprise sales into banking, telecom, fintech, retail and real estate, plus a partner channel of agencies, consultancies and AI implementers.</w:t>
      </w:r>
    </w:p>
    <w:p>
      <w:pPr>
        <w:keepNext/>
        <w:tabs>
          <w:tab w:val="right" w:pos="10346"/>
        </w:tabs>
        <w:spacing w:before="12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Business Development &amp; Go-to-Market Specialist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	Aug 2025 – Aug 2026</w:t>
      </w:r>
    </w:p>
    <w:p>
      <w:pPr>
        <w:keepNext/>
        <w:tabs>
          <w:tab w:val="right" w:pos="10346"/>
        </w:tabs>
        <w:spacing w:after="20"/>
      </w:pP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Pantas Software Sdn. Bhd.</w:t>
      </w: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	Kuala Lumpur, Malaysia</w:t>
      </w:r>
    </w:p>
    <w:p>
      <w:pPr>
        <w:pStyle w:val="ListParagraph"/>
        <w:numPr>
          <w:ilvl w:val="0"/>
          <w:numId w:val="2"/>
        </w:numPr>
        <w:spacing w:after="15" w:line="2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Automated the sales process with AI from prospecting to close (see Selected Builds).</w:t>
      </w:r>
    </w:p>
    <w:p>
      <w:pPr>
        <w:pStyle w:val="ListParagraph"/>
        <w:numPr>
          <w:ilvl w:val="0"/>
          <w:numId w:val="2"/>
        </w:numPr>
        <w:spacing w:after="15" w:line="2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Owned the full B2B SaaS sales cycle, building a MYR 6.2M+ (≈ USD 1.4M) qualified pipeline from 100+ high-profile enterprise accounts, from cold outreach to close.</w:t>
      </w:r>
    </w:p>
    <w:p>
      <w:pPr>
        <w:pStyle w:val="ListParagraph"/>
        <w:numPr>
          <w:ilvl w:val="0"/>
          <w:numId w:val="2"/>
        </w:numPr>
        <w:spacing w:after="15" w:line="2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Ran product demos, led RFP/RFQ processes and scoped proposals that moved high-value prospects through to close.</w:t>
      </w:r>
    </w:p>
    <w:p>
      <w:pPr>
        <w:pStyle w:val="ListParagraph"/>
        <w:numPr>
          <w:ilvl w:val="0"/>
          <w:numId w:val="2"/>
        </w:numPr>
        <w:spacing w:after="15" w:line="2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Drove sustainability enablement for 800+ SMEs through central-bank and multilateral programmes, including Bank Negara Malaysia’s Greening Value Chain (GVC) and Greening Halal Business (GHB).</w:t>
      </w:r>
    </w:p>
    <w:p>
      <w:pPr>
        <w:keepNext/>
        <w:tabs>
          <w:tab w:val="right" w:pos="10346"/>
        </w:tabs>
        <w:spacing w:before="12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Strategy and Operations Lead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	Jun 2025 – Oct 2025</w:t>
      </w:r>
    </w:p>
    <w:p>
      <w:pPr>
        <w:keepNext/>
        <w:tabs>
          <w:tab w:val="right" w:pos="10346"/>
        </w:tabs>
        <w:spacing w:after="20"/>
      </w:pP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BackwardsLA</w:t>
      </w: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	Remote (Indiana, USA)</w:t>
      </w:r>
    </w:p>
    <w:p>
      <w:pPr>
        <w:pStyle w:val="ListParagraph"/>
        <w:numPr>
          <w:ilvl w:val="0"/>
          <w:numId w:val="2"/>
        </w:numPr>
        <w:spacing w:after="15" w:line="2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Streamlined workflows between representatives and prospects; served as the link between regional operations and executive leadership.</w:t>
      </w:r>
    </w:p>
    <w:p>
      <w:pPr>
        <w:pStyle w:val="ListParagraph"/>
        <w:numPr>
          <w:ilvl w:val="0"/>
          <w:numId w:val="2"/>
        </w:numPr>
        <w:spacing w:after="15" w:line="2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Managed client accounts worth USD 5,000+, joined client pitches and supported deals through to close.</w:t>
      </w:r>
    </w:p>
    <w:p>
      <w:pPr>
        <w:pStyle w:val="ListParagraph"/>
        <w:numPr>
          <w:ilvl w:val="0"/>
          <w:numId w:val="2"/>
        </w:numPr>
        <w:spacing w:after="15" w:line="2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Directed market expansion across the Middle East and East Asia, managing cross-border teams and hiring and onboarding business development staff.</w:t>
      </w:r>
    </w:p>
    <w:p>
      <w:pPr>
        <w:keepNext/>
        <w:tabs>
          <w:tab w:val="right" w:pos="10346"/>
        </w:tabs>
        <w:spacing w:before="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Business Development Manager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	Mar 2025 – Jul 2025</w:t>
      </w:r>
    </w:p>
    <w:p>
      <w:pPr>
        <w:pStyle w:val="ListParagraph"/>
        <w:numPr>
          <w:ilvl w:val="0"/>
          <w:numId w:val="2"/>
        </w:numPr>
        <w:spacing w:after="15" w:line="2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Sourced, qualified and handed over leads to the sales team, exceeding performance targets.</w:t>
      </w:r>
    </w:p>
    <w:p>
      <w:pPr>
        <w:keepNext/>
        <w:pBdr>
          <w:bottom w:val="single" w:color="1F3A5F" w:sz="10" w:space="1"/>
        </w:pBdr>
        <w:spacing w:after="50" w:before="100"/>
        <w:jc w:val="left"/>
      </w:pPr>
      <w:r>
        <w:rPr>
          <w:rFonts w:ascii="Calibri" w:cs="Calibri" w:eastAsia="Calibri" w:hAnsi="Calibri"/>
          <w:b/>
          <w:bCs/>
          <w:smallCaps w:val="false"/>
          <w:color w:val="1F3A5F"/>
          <w:spacing w:val="30"/>
          <w:sz w:val="22"/>
          <w:szCs w:val="22"/>
        </w:rPr>
        <w:t xml:space="preserve">EDUCATION</w:t>
      </w:r>
    </w:p>
    <w:p>
      <w:pPr>
        <w:tabs>
          <w:tab w:val="right" w:pos="10346"/>
        </w:tabs>
        <w:spacing w:before="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Master of Business Administration (MBA)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|  Taylor’s University, Subang Jaya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|  CGPA: 3.62 / 4.00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	Sep 2025 – Aug 2026</w:t>
      </w:r>
    </w:p>
    <w:p>
      <w:pPr>
        <w:tabs>
          <w:tab w:val="right" w:pos="10346"/>
        </w:tabs>
        <w:spacing w:before="4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Bachelor of Business Management, E-Business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|  Asia Pacific University (APU), Kuala Lumpur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/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	Nov 2021 – 2024</w:t>
      </w:r>
    </w:p>
    <w:sectPr>
      <w:pgSz w:w="11906" w:h="16838" w:orient="portrait"/>
      <w:pgMar w:top="680" w:right="780" w:bottom="600" w:left="7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4hn36lyt8yduv5jzurtt" Type="http://schemas.openxmlformats.org/officeDocument/2006/relationships/hyperlink" Target="mailto:kasibfarhan@gmail.com" TargetMode="External"/><Relationship Id="rIdqzrsldg89wybyfybdemii" Type="http://schemas.openxmlformats.org/officeDocument/2006/relationships/hyperlink" Target="https://www.linkedin.com/in/mohamed-kasib-farhan-cassim-7b2a4222b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Mohamed Kasib Farhan Cassim – CV</dc:title>
  <dc:creator>Mohamed Kasib Farhan Cassim</dc:creator>
  <cp:lastModifiedBy>Un-named</cp:lastModifiedBy>
  <cp:revision>1</cp:revision>
  <dcterms:created xsi:type="dcterms:W3CDTF">2026-10-09T09:36:01.187Z</dcterms:created>
  <dcterms:modified xsi:type="dcterms:W3CDTF">2026-10-09T09:36:01.188Z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