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MOHAMED KASIB FARHAN CASSIM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United Arab Emirates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hyperlink w:history="1" r:id="rIdw-men-o9nmwwymst3rd0y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kasibfarhan@gmail.com</w:t>
        </w:r>
      </w:hyperlink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  <w:highlight w:val="yellow"/>
          <w:highlightCs w:val="yellow"/>
        </w:rPr>
        <w:t xml:space="preserve">+971 56 406 165</w:t>
      </w:r>
    </w:p>
    <w:p>
      <w:pPr>
        <w:spacing w:after="40"/>
        <w:jc w:val="center"/>
      </w:pPr>
      <w:hyperlink w:history="1" r:id="rIdyj4oleqtztb6h081vdtmm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linkedin.com/in/mohamed-kasib-farhan-cassim-7b2a4222b</w:t>
        </w:r>
      </w:hyperlink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Own visa (no sponsorship needed)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Driving licence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EDUCATION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Taylor’s University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Subang Jaya,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Master of Business Administration (MBA)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CGPA: 3.62 / 4.00</w:t>
      </w:r>
    </w:p>
    <w:p>
      <w:pPr>
        <w:keepNext/>
        <w:tabs>
          <w:tab w:val="right" w:pos="10106"/>
        </w:tabs>
        <w:spacing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Asia Pacific University of Technology &amp; Innovation (APU)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Bachelor of Business Management, E-Business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Nov 2021 – 2024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Activities: APU Muslim Association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EXPERIENCE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Axsona (Pantas Software Sdn. Bhd.)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United Arab Emirates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AI Go-to-Market Lead, Middle East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2026 – Present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Lead Axsona’s end-to-end market entry into the UAE and wider Middle East, from ICP and segment prioritisation to positioning, partner model and pipeline targets.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Building an AI-automated GTM engine (account research, lead enrichment, personalised multi-channel outreach and CRM updates) so a lean team can run outbound across several segments at once.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Developing a two-track route to market: direct enterprise sales into banking, telecom, fintech, retail and real estate, plus a partner channel of agencies, consultancies and AI implementers.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Turning buyer conversations and regional industry events into account-specific proposals, sales collateral and team enablement.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Setting up the regional sales operating rhythm (pipeline stages, weekly activity targets, leadership reporting) to move from first pilots to repeatable revenue.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Pantas Software Sdn. Bhd.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&amp; Go-to-Market Specialist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Aug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Owned the full B2B SaaS sales cycle, building a MYR 6.2M+ (≈ USD 1.4M) qualified pipeline from 100+ high-profile enterprise accounts, from cold outreach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Ran product demos, led RFP/RFQ processes and scoped proposals that moved high-value prospects through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Automated the sales process with AI from prospecting to close; built an internal billing system and an AI help-desk agent (Slack + Jira) with Claude Code and APIs.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Drove sustainability enablement for 800+ SMEs through central-bank and multilateral programmes, including Bank Negara Malaysia’s Greening Value Chain (GVC) and Greening Halal Business (GHB).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BackwardsLA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Remote (Indiana, USA)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Strategy and Operations Lead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Jun 2025 – Oct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Managed client accounts worth USD 5,000+, joined client pitches and supported deals through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Directed market expansion across the Middle East and East Asia, managing cross-border teams and hiring and onboarding business development staff.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Product Owner for a Growth Program giving students real-world industry experience through hands-on projects and mentorship.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workflows between representatives and prospects; served as the link between regional operations and executive leadership.</w:t>
      </w:r>
    </w:p>
    <w:p>
      <w:pPr>
        <w:keepNext/>
        <w:tabs>
          <w:tab w:val="right" w:pos="10106"/>
        </w:tabs>
        <w:spacing w:before="5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Manager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Mar 2025 – Jul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Sourced, qualified and handed over leads to the sales team, exceeding performance targets.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the lead hand-off with sales and marketing to improve client conversion.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SKILLS, LANGUAGES &amp; INTERESTS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Sales &amp; Business Development: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B2B enterprise sales, full-cycle sales, prospecting, discovery, pipeline generation, product demos, RFP/RFQ, proposals, account management, strategic and channel partnerships, market entry, GTM strategy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AI &amp; Tools: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Claude Code, Claude and Gemini APIs, AI agents, sales automation, CRM, Slack, Jira, Google Workspace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Leadership: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Cross-border team management, hiring and onboarding, stakeholder management, product ownership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English (native/bilingual); Hindi, Tamil, Urdu (full professional); Sinhala (professional working); Arabic (limited working)</w:t>
      </w:r>
    </w:p>
    <w:p>
      <w:pPr>
        <w:spacing w:after="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Interests: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Applied AI and agentic systems, sustainability, startup ecosystems in the GCC and Southeast Asia</w:t>
      </w:r>
    </w:p>
    <w:sectPr>
      <w:pgSz w:w="11906" w:h="16838" w:orient="portrait"/>
      <w:pgMar w:top="85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-men-o9nmwwymst3rd0y" Type="http://schemas.openxmlformats.org/officeDocument/2006/relationships/hyperlink" Target="mailto:kasibfarhan@gmail.com" TargetMode="External"/><Relationship Id="rIdyj4oleqtztb6h081vdtmm" Type="http://schemas.openxmlformats.org/officeDocument/2006/relationships/hyperlink" Target="https://www.linkedin.com/in/mohamed-kasib-farhan-cassim-7b2a4222b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Kasib Farhan Cassim – CV</dc:title>
  <dc:creator>Mohamed Kasib Farhan Cassim</dc:creator>
  <cp:lastModifiedBy>Un-named</cp:lastModifiedBy>
  <cp:revision>1</cp:revision>
  <dcterms:created xsi:type="dcterms:W3CDTF">2026-10-09T09:36:01.275Z</dcterms:created>
  <dcterms:modified xsi:type="dcterms:W3CDTF">2026-10-09T09:36:01.275Z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