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MSDS / GÜVENLİK BİLGİ FORMU (GBF) ÖZET TABLOSU</w:t>
      </w:r>
    </w:p>
    <w:p>
      <w:r>
        <w:rPr>
          <w:b/>
        </w:rPr>
        <w:t xml:space="preserve">İşyeri: </w:t>
      </w:r>
      <w:r>
        <w:t xml:space="preserve">{companyName}   |   </w:t>
      </w:r>
      <w:r>
        <w:rPr>
          <w:b/>
        </w:rPr>
        <w:t xml:space="preserve">Bölüm: </w:t>
      </w:r>
      <w:r>
        <w:t xml:space="preserve">{department}   |   </w:t>
      </w:r>
      <w:r>
        <w:rPr>
          <w:b/>
        </w:rPr>
        <w:t xml:space="preserve">Hazırlayan (İSG Uzmanı): </w:t>
      </w:r>
      <w:r>
        <w:t xml:space="preserve">{preparerName}   |   </w:t>
      </w:r>
      <w:r>
        <w:rPr>
          <w:b/>
        </w:rPr>
        <w:t xml:space="preserve">Onay: </w:t>
      </w:r>
      <w:r>
        <w:t>{approverName}</w:t>
        <w:br/>
      </w:r>
      <w:r>
        <w:rPr>
          <w:b/>
        </w:rPr>
        <w:t xml:space="preserve">Düzenleme Tarihi: </w:t>
      </w:r>
      <w:r>
        <w:t xml:space="preserve">{documentDate}   |   </w:t>
      </w:r>
      <w:r>
        <w:rPr>
          <w:b/>
        </w:rPr>
        <w:t xml:space="preserve">Revizyon No: </w:t>
      </w:r>
      <w:r>
        <w:t xml:space="preserve">{revisionNo}   |   </w:t>
      </w:r>
      <w:r>
        <w:rPr>
          <w:b/>
        </w:rPr>
        <w:t xml:space="preserve">Mevzuat: </w:t>
      </w:r>
      <w:r>
        <w:t>{legislation}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Sıra No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Kimyasal Adı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Kimyasal Formül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CAS No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Tehlike Sınıfı / Kategorisi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GHS Piktogramı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Sinyal Kelimesi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H (Zararlılık) İfadeleri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P (Önlem) İfadeleri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MAK / Sınır Değer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Gerekli KKD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Depolama Koşulları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Uyumsuz (Birlikte Depolanmaz) Maddeler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Yangın / Söndürücü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Dökülme / Sızıntı Müdahalesi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sz w:val="16"/>
              </w:rPr>
              <w:t>İlk Yardım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{#msdsList}{siraNo}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{kimyasalAdi}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{kimyasalFormul}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{casNo}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{tehlikeSinifi}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{ghsPiktogram}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{sinyalKelimesi}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{hIfadeleri}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{pIfadeleri}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{makDeger}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{gerekliKKD}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{depolamaKosullari}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{uyumsuzMaddeler}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{yanginSondurucu}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{dokulmeMudahale}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16"/>
              </w:rPr>
              <w:t>{ilkYardim}{/msdsList}</w:t>
            </w:r>
          </w:p>
        </w:tc>
      </w:tr>
    </w:tbl>
    <w:p/>
    <w:p>
      <w:r>
        <w:rPr>
          <w:b/>
          <w:sz w:val="16"/>
        </w:rPr>
        <w:t>AÇIKLAMALAR / KISALTMALAR</w:t>
        <w:br/>
      </w:r>
      <w:r>
        <w:rPr>
          <w:sz w:val="16"/>
        </w:rPr>
        <w:t>GHS Piktogramları: GHS02 Alevlenir | GHS03 Oksitleyici | GHS05 Aşındırıcı | GHS06 Akut Toksik (kuru kafa) | GHS07 Ünlem (zararlı/tahriş) | GHS08 Ciddi Sağlık Tehlikesi | GHS09 Çevre</w:t>
        <w:br/>
      </w:r>
      <w:r>
        <w:rPr>
          <w:sz w:val="16"/>
        </w:rPr>
        <w:t>H İfadeleri = Zararlılık ifadeleri | P İfadeleri = Önlem ifadeleri | MAK = Mesleki Maruziyet Sınır Değeri (TWA: 8 saatlik) | KKD = Kişisel Koruyucu Donanım</w:t>
        <w:br/>
      </w:r>
      <w:r>
        <w:rPr>
          <w:sz w:val="16"/>
        </w:rPr>
        <w:t>NOT: Bu tablo özet niteliktedir; her kimyasalın tam 16 bölümlü Güvenlik Bilgi Formu (GBF) tedarikçiden temin edilerek erişilebilir yerde bulundurulmalıdır. Sınır değerler konsantrasyona göre değişebilir.</w:t>
      </w:r>
    </w:p>
    <w:p/>
    <w:p>
      <w:pPr>
        <w:jc w:val="center"/>
      </w:pPr>
      <w:r>
        <w:rPr>
          <w:b/>
        </w:rPr>
        <w:t xml:space="preserve">Hazırlayan İSG Uzmanı: </w:t>
      </w:r>
      <w:r>
        <w:t xml:space="preserve">{isgUzmani}   </w:t>
      </w:r>
      <w:r>
        <w:rPr>
          <w:b/>
        </w:rPr>
        <w:t xml:space="preserve">İmza: </w:t>
      </w:r>
      <w:r>
        <w:t xml:space="preserve">{isgImza}   |   </w:t>
      </w:r>
      <w:r>
        <w:rPr>
          <w:b/>
        </w:rPr>
        <w:t xml:space="preserve">İşyeri Hekimi: </w:t>
      </w:r>
      <w:r>
        <w:t xml:space="preserve">{isyeriHekimi}   </w:t>
      </w:r>
      <w:r>
        <w:rPr>
          <w:b/>
        </w:rPr>
        <w:t xml:space="preserve">İmza: </w:t>
      </w:r>
      <w:r>
        <w:t xml:space="preserve">{hekimImza}   |   </w:t>
      </w:r>
      <w:r>
        <w:rPr>
          <w:b/>
        </w:rPr>
        <w:t xml:space="preserve">İşveren/Vekili: </w:t>
      </w:r>
      <w:r>
        <w:t xml:space="preserve">{isverenVekili}   </w:t>
      </w:r>
      <w:r>
        <w:rPr>
          <w:b/>
        </w:rPr>
        <w:t xml:space="preserve">İmza: </w:t>
      </w:r>
      <w:r>
        <w:t>{isverenImza}</w:t>
      </w:r>
    </w:p>
    <w:p/>
    <w:p>
      <w:r>
        <w:rPr>
          <w:sz w:val="16"/>
        </w:rPr>
        <w:t>{#isEkTehlike}</w:t>
        <w:br/>
      </w:r>
      <w:r>
        <w:rPr>
          <w:b/>
          <w:sz w:val="16"/>
        </w:rPr>
        <w:t xml:space="preserve">EK TEHLİKE BİLDİRİMİ: </w:t>
      </w:r>
      <w:r>
        <w:rPr>
          <w:sz w:val="16"/>
        </w:rPr>
        <w:t>{ekTehlikeDetayi}</w:t>
        <w:br/>
      </w:r>
      <w:r>
        <w:rPr>
          <w:sz w:val="16"/>
        </w:rPr>
        <w:t>{/isEkTehlike}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