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KİMYASAL DEPOLAMA UYUMLULUK MATRİSİ (GIDA FABRİKASI)</w:t>
      </w:r>
    </w:p>
    <w:p>
      <w:r>
        <w:rPr>
          <w:b/>
        </w:rPr>
        <w:t xml:space="preserve">Doküman No: </w:t>
      </w:r>
      <w:r>
        <w:t xml:space="preserve">{dokumanNo}   |   </w:t>
      </w:r>
      <w:r>
        <w:rPr>
          <w:b/>
        </w:rPr>
        <w:t xml:space="preserve">Yayın Tarihi: </w:t>
      </w:r>
      <w:r>
        <w:t xml:space="preserve">{yayinTarihi}   |   </w:t>
      </w:r>
      <w:r>
        <w:rPr>
          <w:b/>
        </w:rPr>
        <w:t xml:space="preserve">Revizyon No: </w:t>
      </w:r>
      <w:r>
        <w:t xml:space="preserve">{revizyonNo}   |   </w:t>
      </w:r>
      <w:r>
        <w:rPr>
          <w:b/>
        </w:rPr>
        <w:t xml:space="preserve">Sayfa: </w:t>
      </w:r>
      <w:r>
        <w:t>{sayfaNo}</w:t>
        <w:br/>
        <w:br/>
      </w:r>
      <w:r>
        <w:rPr>
          <w:b/>
        </w:rPr>
        <w:t xml:space="preserve">İŞLETME ADI: </w:t>
      </w:r>
      <w:r>
        <w:t xml:space="preserve">{companyName}      |      </w:t>
      </w:r>
      <w:r>
        <w:rPr>
          <w:b/>
        </w:rPr>
        <w:t xml:space="preserve">DEPO / ALAN ADI: </w:t>
      </w:r>
      <w:r>
        <w:t>{depoAlani}</w:t>
        <w:br/>
      </w:r>
      <w:r>
        <w:rPr>
          <w:b/>
        </w:rPr>
        <w:t xml:space="preserve">HAZIRLAYAN (İSG Uzmanı): </w:t>
      </w:r>
      <w:r>
        <w:t xml:space="preserve">{isgUzmani}      |      </w:t>
      </w:r>
      <w:r>
        <w:rPr>
          <w:b/>
        </w:rPr>
        <w:t xml:space="preserve">ONAYLAYAN (İşveren/Vekili): </w:t>
      </w:r>
      <w:r>
        <w:t>{isverenVekili}</w:t>
        <w:br/>
      </w:r>
    </w:p>
    <w:p>
      <w:r>
        <w:rPr>
          <w:b/>
          <w:sz w:val="18"/>
        </w:rPr>
        <w:t xml:space="preserve">AÇIKLAMA: </w:t>
      </w:r>
      <w:r>
        <w:rPr>
          <w:sz w:val="18"/>
        </w:rPr>
        <w:t>Bu matris, gıda işletmesinde bulunan kimyasal sınıflarının birlikte depolanma uygunluğunu gösterir. Satır ve sütundaki sınıfların kesiştiği hücredeki sembole bakınız.</w:t>
        <w:br/>
        <w:t>Karar daima ilgili kimyasalın Güvenlik Bilgi Formuna (GBF/SDS) göre teyit edilmelidir. Matris genel rehber niteliğindedir.</w:t>
        <w:br/>
        <w:br/>
      </w:r>
      <w:r>
        <w:rPr>
          <w:b/>
          <w:sz w:val="18"/>
        </w:rPr>
        <w:t>SEMBOL AÇIKLAMALARI:</w:t>
        <w:br/>
      </w:r>
      <w:r>
        <w:rPr>
          <w:sz w:val="18"/>
        </w:rPr>
        <w:t xml:space="preserve">✓ = Birlikte depolanabilir (Uyumlu)      |      </w:t>
      </w:r>
      <w:r>
        <w:rPr>
          <w:sz w:val="18"/>
        </w:rPr>
        <w:t>X = Birlikte depolanamaz (Uyumsuz - Ayrı tutun)</w:t>
        <w:br/>
      </w:r>
      <w:r>
        <w:rPr>
          <w:sz w:val="18"/>
        </w:rPr>
        <w:t xml:space="preserve">K = Koşullu (Ayrı sızdırmaz kap / mesafe gerekir)      |      </w:t>
      </w:r>
      <w:r>
        <w:rPr>
          <w:sz w:val="18"/>
        </w:rPr>
        <w:t>— = Aynı sınıf (Kendisiyle uyumlu)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</w:tblGrid>
      <w:tr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KIMYASAL SINIFI / ÖRNEK ÜRÜNLER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</w:tr>
      <w:tr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{#matrixList}{no}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{sinif}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{v1}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{v2}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{v3}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{v4}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{v5}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{v6}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{v7}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{v8}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{v9}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{v10}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{v11}</w:t>
            </w:r>
          </w:p>
        </w:tc>
        <w:tc>
          <w:tcPr>
            <w:tcW w:type="dxa" w:w="1029"/>
          </w:tcPr>
          <w:p>
            <w:pPr>
              <w:jc w:val="center"/>
            </w:pPr>
            <w:r>
              <w:rPr>
                <w:sz w:val="16"/>
              </w:rPr>
              <w:t>{v12}{/matrixList}</w:t>
            </w:r>
          </w:p>
        </w:tc>
      </w:tr>
    </w:tbl>
    <w:p>
      <w:r>
        <w:rPr>
          <w:b/>
        </w:rPr>
        <w:br/>
        <w:t>GENEL DEPOLAMA KURALLARI:</w:t>
        <w:br/>
      </w:r>
      <w:r>
        <w:rPr>
          <w:sz w:val="18"/>
        </w:rPr>
        <w:t>1. Kimyasallar alfabetik değil, tehlike sınıfına göre ayrılarak depolanır. Her kabul edilen ürünün GBF (SDS) dosyada bulundurulur.</w:t>
        <w:br/>
      </w:r>
      <w:r>
        <w:rPr>
          <w:sz w:val="18"/>
        </w:rPr>
        <w:t>2. Asitler ve bazlar ayrı sızdırmaz toplama kaplarında (sekonder konteynır) tutulur; inorganik asitler organik asitlerden ayrılır.</w:t>
        <w:br/>
      </w:r>
      <w:r>
        <w:rPr>
          <w:sz w:val="18"/>
        </w:rPr>
        <w:t>3. Oksitleyiciler (klor, hidrojen peroksit, perasetik asit) tüm yanıcı ve organik maddelerden uzak, yanmaz raflarda depolanır.</w:t>
        <w:br/>
      </w:r>
      <w:r>
        <w:rPr>
          <w:sz w:val="18"/>
        </w:rPr>
        <w:t>4. Klorlu ürünler (hipoklorit) asitlerle ASLA bir arada tutulmaz — zehirli klor gazı açığa çıkar.</w:t>
        <w:br/>
      </w:r>
      <w:r>
        <w:rPr>
          <w:sz w:val="18"/>
        </w:rPr>
        <w:t>5. Toksik maddeler (pestisit/rodentisit) kilitli, ayrı bölmede; gıda katkı maddeleri ile aynı alanda KESİNLİKLE depolanmaz.</w:t>
        <w:br/>
      </w:r>
      <w:r>
        <w:rPr>
          <w:sz w:val="18"/>
        </w:rPr>
        <w:t>6. Yanıcı sıvılar ateş kaynaklarından uzak, ex-proof havalandırmalı, kendiliğinden kapanan kapaklı yangın dolaplarında tutulur.</w:t>
        <w:br/>
      </w:r>
      <w:r>
        <w:rPr>
          <w:sz w:val="18"/>
        </w:rPr>
        <w:t>7. Basınçlı güvenliğe ayrılan tehlikeli alanlar işaretlenir; depo havalandırılır, sıvılar göz hizası üstüne konmaz.</w:t>
        <w:br/>
      </w:r>
      <w:r>
        <w:rPr>
          <w:sz w:val="18"/>
        </w:rPr>
        <w:t>8. Depo girişinde bu matris asılır; periyodik (en az yılda 1) gözden geçirilir ve yeni kimyasal girişinde güncellenir.</w:t>
        <w:br/>
      </w:r>
    </w:p>
    <w:p>
      <w:r>
        <w:rPr>
          <w:b/>
        </w:rPr>
        <w:t xml:space="preserve">Hazırlayan / Tarih: </w:t>
      </w:r>
      <w:r>
        <w:t xml:space="preserve">{hazirlayanTarih}          </w:t>
      </w:r>
      <w:r>
        <w:rPr>
          <w:b/>
        </w:rPr>
        <w:t xml:space="preserve">Kontrol / Tarih: </w:t>
      </w:r>
      <w:r>
        <w:t xml:space="preserve">{kontrolTarih}          </w:t>
      </w:r>
      <w:r>
        <w:rPr>
          <w:b/>
        </w:rPr>
        <w:t xml:space="preserve">Onay / Tarih: </w:t>
      </w:r>
      <w:r>
        <w:t>{onayTarih}</w:t>
        <w:br/>
        <w:br/>
      </w:r>
      <w:r>
        <w:t>{#isEkAciklama}</w:t>
        <w:br/>
      </w:r>
      <w:r>
        <w:rPr>
          <w:b/>
        </w:rPr>
        <w:t xml:space="preserve">EK AÇIKLAMA/NOT: </w:t>
      </w:r>
      <w:r>
        <w:t>{ekAciklamaMetni}</w:t>
        <w:br/>
      </w:r>
      <w:r>
        <w:t>{/isEkAciklama}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