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color w:val="003366"/>
        </w:rPr>
      </w:pPr>
      <w:r w:rsidDel="00000000" w:rsidR="00000000" w:rsidRPr="00000000">
        <w:rPr>
          <w:color w:val="003366"/>
          <w:rtl w:val="0"/>
        </w:rPr>
        <w:t xml:space="preserve">YUVAM PROJESİ STRATEJİK DEVLET VİZYONU VE UYGULAMA RAPORU</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jc w:val="center"/>
        <w:rPr>
          <w:b w:val="1"/>
          <w:bCs w:val="1"/>
          <w:i w:val="1"/>
          <w:iCs w:val="1"/>
          <w:color w:val="708090"/>
          <w:sz w:val="36"/>
          <w:szCs w:val="36"/>
        </w:rPr>
      </w:pPr>
      <w:r w:rsidDel="00000000" w:rsidR="00000000" w:rsidRPr="00000000">
        <w:rPr>
          <w:b w:val="1"/>
          <w:bCs w:val="1"/>
          <w:i w:val="1"/>
          <w:iCs w:val="1"/>
          <w:color w:val="708090"/>
          <w:sz w:val="36"/>
          <w:szCs w:val="36"/>
          <w:rtl w:val="0"/>
        </w:rPr>
        <w:t xml:space="preserve">"Güvenli Teknoloji, Şefkatli Devlet, Huzurlu Gelecek"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300" w:lineRule="auto"/>
        <w:rPr>
          <w:b w:val="1"/>
          <w:bCs w:val="1"/>
          <w:i w:val="1"/>
          <w:iCs w:val="1"/>
          <w:color w:val="708090"/>
          <w:sz w:val="36"/>
          <w:szCs w:val="36"/>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675" w:before="675" w:lineRule="auto"/>
        <w:ind w:left="375" w:right="375" w:firstLine="0"/>
        <w:jc w:val="center"/>
        <w:rPr>
          <w:b w:val="1"/>
          <w:bCs w:val="1"/>
          <w:i w:val="1"/>
          <w:iCs w:val="1"/>
          <w:color w:val="708090"/>
          <w:sz w:val="36"/>
          <w:szCs w:val="3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ind w:left="375" w:right="375" w:firstLine="0"/>
        <w:jc w:val="center"/>
        <w:rPr>
          <w:b w:val="1"/>
          <w:bCs w:val="1"/>
          <w:color w:val="334155"/>
          <w:shd w:fill="f4f6f9" w:val="clear"/>
        </w:rPr>
      </w:pPr>
      <w:r w:rsidDel="00000000" w:rsidR="00000000" w:rsidRPr="00000000">
        <w:rPr>
          <w:b w:val="1"/>
          <w:bCs w:val="1"/>
          <w:color w:val="334155"/>
          <w:shd w:fill="f4f6f9" w:val="clear"/>
          <w:rtl w:val="0"/>
        </w:rPr>
        <w:t xml:space="preserve">[YUVAM RESMİ LOGO ALANI - WORD FORMATINA İNDİRDİKTEN SONRA BURAYA YAPIŞTIRIN]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ind w:left="375" w:right="375" w:firstLine="0"/>
        <w:jc w:val="center"/>
        <w:rPr>
          <w:color w:val="64748b"/>
          <w:sz w:val="20"/>
          <w:szCs w:val="20"/>
          <w:shd w:fill="f4f6f9" w:val="clear"/>
        </w:rPr>
      </w:pPr>
      <w:r w:rsidDel="00000000" w:rsidR="00000000" w:rsidRPr="00000000">
        <w:rPr>
          <w:color w:val="64748b"/>
          <w:sz w:val="20"/>
          <w:szCs w:val="20"/>
          <w:shd w:fill="f4f6f9" w:val="clear"/>
          <w:rtl w:val="0"/>
        </w:rPr>
        <w:t xml:space="preserve">(Arka planda Türk bayrağı ve Türkiye haritası; ortada haneyi ve geleceği simgeleyen parlayan ev ve üçlü aile silüeti; üstte teknolojiyi ve şefkati avucunda birleştiren iki büyük devlet eli.)</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color w:val="64748b"/>
          <w:sz w:val="20"/>
          <w:szCs w:val="20"/>
          <w:shd w:fill="f4f6f9" w:val="clear"/>
        </w:rPr>
      </w:pPr>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Yönetici Özeti ve Projenin Amacı</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Gelişen dijital ekosistem, çocukları ve gençleri siber dünyanın kontrolsüz riskleriyle karşı karşıya bırakırken, geleneksel kısıtlama yöntemleri yetersiz kalmaktadır. </w:t>
      </w:r>
      <w:r w:rsidDel="00000000" w:rsidR="00000000" w:rsidRPr="00000000">
        <w:rPr>
          <w:b w:val="1"/>
          <w:bCs w:val="1"/>
          <w:rtl w:val="0"/>
        </w:rPr>
        <w:t xml:space="preserve">YUVAM</w:t>
      </w:r>
      <w:r w:rsidDel="00000000" w:rsidR="00000000" w:rsidRPr="00000000">
        <w:rPr>
          <w:rtl w:val="0"/>
        </w:rPr>
        <w:t xml:space="preserve"> projesi; teknolojiyi yasaklamak yerine yönetilebilir, eğitici ve güvenli bir araca dönüştürmeyi amaçlayan milli bir ekosistemdir. Proje; çocukların dijital güvenliğini en üst düzeye çıkarırken, yapay zeka algoritmalarıyla eğilimlerini analiz ederek eğitim hayatlarına doğrudan katkı sağlar. En kritik boyutu ise; dijital güvenliği salt bir yazılım olmaktan çıkarıp, İçişleri, Aile, MEB ve Gençlik Spor Bakanlıkları koordinasyonunda sahaya indirerek, dezavantajlı ailelere ulaşan bir toplumsal kalkınma ve sosyal devlet hamlesine dönüştürmesidir.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Stratejik Hedef Kitle ve Kapsam Analizi</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Doğrudan Hedef Kitle:</w:t>
      </w:r>
      <w:r w:rsidDel="00000000" w:rsidR="00000000" w:rsidRPr="00000000">
        <w:rPr>
          <w:rtl w:val="0"/>
        </w:rPr>
        <w:t xml:space="preserve"> Türkiye genelinde siber risklere açık, 3-18 yaş aralığındaki yaklaşık 18 milyon 800 bin çocuk ve genç ile onların ebeveynleri.</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Sosyal Odak Kitlesi:</w:t>
      </w:r>
      <w:r w:rsidDel="00000000" w:rsidR="00000000" w:rsidRPr="00000000">
        <w:rPr>
          <w:rtl w:val="0"/>
        </w:rPr>
        <w:t xml:space="preserve"> Sosyo-ekonomik açıdan dezavantajlı, dijital araçlara erişimi kısıtlı veya siber güvenlik bilincine henüz ulaşamamış korumasız haneler.</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Kurumsal Kapsam:</w:t>
      </w:r>
      <w:r w:rsidDel="00000000" w:rsidR="00000000" w:rsidRPr="00000000">
        <w:rPr>
          <w:rtl w:val="0"/>
        </w:rPr>
        <w:t xml:space="preserve"> Cihaz ve ağ tabanlı (network-level) içerik filtreleme, siber zorbalık erken seziş algoritması, kademeli ve akıllı SOS altyapısı, yapay zeka destekli hobi/yetenek keşfi, MEB müfredat entegrasyonlu eğitim kilidi, blokeli dijital cüzdan ve dört büyük bakanlığın ortaklaşa yürüteceği saha operasyonları.</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Misyon ve Vizyon</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Misyon:</w:t>
      </w:r>
      <w:r w:rsidDel="00000000" w:rsidR="00000000" w:rsidRPr="00000000">
        <w:rPr>
          <w:rtl w:val="0"/>
        </w:rPr>
        <w:t xml:space="preserve"> Aileleri, çocukları ve devletin tüm operasyonel kurumlarını ortak bir dijital ve fiziksel ağda buluşturarak; güvenli, adil, eğitici ve teşvik edici bir toplumsal ekosistem inşa etmek; siber dünyadaki korumayı sahadaki şefkat yardımlarıyla taçlandırmak.</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Vizyon:</w:t>
      </w:r>
      <w:r w:rsidDel="00000000" w:rsidR="00000000" w:rsidRPr="00000000">
        <w:rPr>
          <w:rtl w:val="0"/>
        </w:rPr>
        <w:t xml:space="preserve"> İlk etapta çocukları siber dünyada koruyan milli bir dijital kalkan olarak başlayıp, sonraki fazlarda tüm yaş gruplarına, profesyonel yetenek yönetimine ve ulusal kariyer/emeklilik planlama süreçlerine entegre edilen küresel çapta emsalsiz bir devlet-millet bütünleşme altyapısı haline gelmek.</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4. Tam Entegre YUVAM Modülleri ve Teknik Mimari</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Aile Takip, Fiziksel Güvenlik ve Akıllı SOS Sistemi</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Sistem, aile bireylerinin anlık konumlarını ve cihaz şarj durumlarını harita üzerinden şeffafça izleme imkanı sunar. Çocuk dışarıda fiziksel bir tehdit (kaçırılma, şiddet, siber taciz sonrası fiziksel şantaj vb.) hissettiğinde telefon kilitliyken bile etkinleşen bir </w:t>
      </w:r>
      <w:r w:rsidDel="00000000" w:rsidR="00000000" w:rsidRPr="00000000">
        <w:rPr>
          <w:b w:val="1"/>
          <w:bCs w:val="1"/>
          <w:rtl w:val="0"/>
        </w:rPr>
        <w:t xml:space="preserve">SOS Panik Butonu</w:t>
      </w:r>
      <w:r w:rsidDel="00000000" w:rsidR="00000000" w:rsidRPr="00000000">
        <w:rPr>
          <w:rtl w:val="0"/>
        </w:rPr>
        <w:t xml:space="preserve"> mevcuttur. Buton tetiklendiği an cihaz ortam sesini kaydetmeye başlar, anlık konum hem aileye hem de İçişleri Bakanlığı Emniyet birimlerine kırmızı alarm olarak düşer.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Asılsız İhbar ve 3-4 Yaş Filtreleme Mekanizması:</w:t>
      </w:r>
      <w:r w:rsidDel="00000000" w:rsidR="00000000" w:rsidRPr="00000000">
        <w:rPr>
          <w:rtl w:val="0"/>
        </w:rPr>
        <w:t xml:space="preserve"> Küçük çocukların yanlışlıkla butona basarak devlet kurumlarını meşgul etmesini önlemek amacıyla dört kademeli bir koruma kurgulanmıştır:</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Kademeli Alarm:</w:t>
      </w:r>
      <w:r w:rsidDel="00000000" w:rsidR="00000000" w:rsidRPr="00000000">
        <w:rPr>
          <w:rtl w:val="0"/>
        </w:rPr>
        <w:t xml:space="preserve"> 0-7 yaş grubunda SOS uyarısı doğrudan emniyete iletilmez; sadece ebeveyn telefonunda cihaz sessizde olsa dahi siren çaldırır. 8-18 yaş grubunda ise ihbar doğrudan emniyete ve aileye eşzamanlı düşer.</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Mekanik Bariyer:</w:t>
      </w:r>
      <w:r w:rsidDel="00000000" w:rsidR="00000000" w:rsidRPr="00000000">
        <w:rPr>
          <w:rtl w:val="0"/>
        </w:rPr>
        <w:t xml:space="preserve"> Buton tek dokunuşla çalışmaz; yangın butonları mantığıyla "3 saniye basılı tutma" veya "Emniyet mandalını kaydırarak basma" şartı aranır.</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AI Ses Analizi:</w:t>
      </w:r>
      <w:r w:rsidDel="00000000" w:rsidR="00000000" w:rsidRPr="00000000">
        <w:rPr>
          <w:rtl w:val="0"/>
        </w:rPr>
        <w:t xml:space="preserve"> SOS tetiklendiğinde yapay zeka ilk 5 saniyede ortam sesini dinler. Çizgi film, oyun veya çocuk gülüşmesi saptanırsa ihbar "Düşük Risk" olarak işaretlenir; bağrışma, ağlama veya arbede sesi algılanırsa doğrudan "Kırmızı Alarm" verilir.</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Ebeveyn İptal Gecikmesi:</w:t>
      </w:r>
      <w:r w:rsidDel="00000000" w:rsidR="00000000" w:rsidRPr="00000000">
        <w:rPr>
          <w:rtl w:val="0"/>
        </w:rPr>
        <w:t xml:space="preserve"> İhbar emniyete düşmeden önce ebeveyn paneline 15 saniyelik bir geri sayım düşer. Ev içi kazalarda ebeveyn ihbarı resmi makamlara gitmeden iptal edebilir.</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Siber Zorbalık ve Tehlike Sezgisi (Yapay Zeka Filtresi)</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Çocukların yazışmaları, kişisel mahremiyet ihlal edilmeden (mesaj metinleri ebeveyne doğrudan gösterilmeden) arka planda yapay zeka tarafından taranır. Algoritma; şantaj, pedofili riskleri, intihara yönlendirme, uyuşturucu veya siber zorbalık örüntülerini sezdiği an ebeveyne "Yüksek siber risk tespit edildi" uyarısı ve kriz yönetim tavsiyesi gönderir.</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MEB ve Gençlik Spor Bakanlığı Entegrasyonu (Yetenek ve Aktivite Yönetimi)</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Çocuğun dijital ayak izi analiz edilerek gerçek ilgi alanları (yazılım, temel bilimler, resim, basketbol vb.) yapay zeka tarafından keşfedilir. Bu veriler kişisel bilgilerden arındırılarak (anonimleştirilerek) MEB veri havuzuna aktarılır. MEB, bölgelerdeki çocukların eğilimlerine göre okullara dinamik seçmeli dersler atar. Ayrıca, günlük ekran kotası dolan çocuğa yapay zeka: "Ekran süren bitti. Şu an sana en yakın Gençlik Merkezi'nde ücretsiz okçuluk kursu var, katılmak ister misin?" şeklinde fiziksel hayata yönlendirici davetler sunar.</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4.4. Eğitim Kilidi ve Kademeli Kısıtlama</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Kısıtlamalar yaş büyüdükçe dinamik olarak esner. Ancak kumar, bahis ve yetişkin içerikler devletin kırmızı çizgisidir, aile istese dahi esnetilemez. Eğlenceyi eğitimle birleştiren </w:t>
      </w:r>
      <w:r w:rsidDel="00000000" w:rsidR="00000000" w:rsidRPr="00000000">
        <w:rPr>
          <w:b w:val="1"/>
          <w:bCs w:val="1"/>
          <w:rtl w:val="0"/>
        </w:rPr>
        <w:t xml:space="preserve">"Eğitim Kilidi"</w:t>
      </w:r>
      <w:r w:rsidDel="00000000" w:rsidR="00000000" w:rsidRPr="00000000">
        <w:rPr>
          <w:rtl w:val="0"/>
        </w:rPr>
        <w:t xml:space="preserve"> sayesinde, ebeveynler sosyal medya uygulamalarına giriş şartı koyabilir. Çocuk Instagram'a girmek istediğinde karşısına MEB müfredatına uygun 5 adet soru gelir; soruları doğru yanıtladıkça ekran süresi kazanır.</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4.5. Blokeli Dijital Cüzdan ve Finansal Okuryazarlık</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Sağlıklı ekran sınırlarına uyan gençlere devlet destekli teşvikler (Hepsiburada %10 indirim kodu vb.) tanımlanır. Uygulama içine entegre edilen </w:t>
      </w:r>
      <w:r w:rsidDel="00000000" w:rsidR="00000000" w:rsidRPr="00000000">
        <w:rPr>
          <w:b w:val="1"/>
          <w:bCs w:val="1"/>
          <w:rtl w:val="0"/>
        </w:rPr>
        <w:t xml:space="preserve">Dijital Cüzdan</w:t>
      </w:r>
      <w:r w:rsidDel="00000000" w:rsidR="00000000" w:rsidRPr="00000000">
        <w:rPr>
          <w:rtl w:val="0"/>
        </w:rPr>
        <w:t xml:space="preserve"> ile aileler çocuklarına güvenle harçlık gönderir. Bu cüzdan altyapısı, yasa dışı bahis, kumar veya oyun içi kontrolsüz satın alımlara (loot box) tamamen blokeli olduğundan, gençlerin finansal tuzaklara düşmesi engellenir ve finansal okuryazarlık bilinci aşılanır.</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4.6. Sosyal Devlet Entegrasyonu ve Fırsat Eşitliği</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İçişleri ve Aile Bakanlığı sistemleri ortaklaşa çalışarak, bölgesinde YUVAM altyapısını kurmamış veya kuramamış haneleri tespit eder. Aile Bakanlığı uzmanları bu evlere ziyaretler gerçekleştirir. Ziyaret öncesinde İçişleri Bakanlığı'ndan alınan sosyo-ekonomik veriler doğrultusunda, maddi durumu yetersiz olan ailelere gıda kumanyaları ve sosyal yardımlar ulaştırılır. Evdeki çocuğun ders çalışabileceği bir cihazı (tablet/bilgisayar) yoksa, devlet tarafından </w:t>
      </w:r>
      <w:r w:rsidDel="00000000" w:rsidR="00000000" w:rsidRPr="00000000">
        <w:rPr>
          <w:b w:val="1"/>
          <w:bCs w:val="1"/>
          <w:rtl w:val="0"/>
        </w:rPr>
        <w:t xml:space="preserve">%100 güvenli ve kontrollü ücretsiz tablet</w:t>
      </w:r>
      <w:r w:rsidDel="00000000" w:rsidR="00000000" w:rsidRPr="00000000">
        <w:rPr>
          <w:rtl w:val="0"/>
        </w:rPr>
        <w:t xml:space="preserve"> tahsis edilerek siber güvenlik ve eğitimde tam fırsat eşitliği sağlanır, halk ile devlet saha dokunuşlarıyla bütünleşir.</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4.7. Ağ Tabanlı Kesintisiz Güvenlik (Heartbeat Kontrolü)</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Sistem sadece cihaz içi bir yazılım değil, doğrudan ağ tabanlı (network-level) çalışır. Çocuk uygulamayı silmeye çalışsa veya arka planda kapatsa dahi, sistem ağ üzerinden her 5 saniyede bir sinyal (Heartbeat Ping) göndererek uygulamanın aktifliğini denetler. Sinyal kesildiği an merkeze ve ebeveyne uyarı gider, ağ erişimi güvenlik amacıyla kısıtlanır.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Güncel Hedef Kitle Risk Analizi ve İstatistik verileri</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Projenin hayata geçirilmesindeki aciliyeti gösteren ve Türkiye genelindeki çocuk/genç profilini yansıtan resmi veriler aşağıda tablolarla sunulmuştur:</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Demografik Temel</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Türkiye genelindeki toplam çocuk ve genç nüfusu: 21 milyon 375 bin 930'dur (Toplam nüfusun %24,8'i).</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Teknolojiyi aktif kullanan ve sistemin doğrudan hitap edeceği 3-18 yaş arası nüfus: 18 milyon 800 bindir.</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Sosyal Medya Kullanım Yoğunlukları ve Yaş Kırılımları</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003366" w:val="clear"/>
            <w:tcMar>
              <w:top w:w="150.0" w:type="dxa"/>
              <w:left w:w="150.0" w:type="dxa"/>
              <w:bottom w:w="150.0" w:type="dxa"/>
              <w:right w:w="15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before="150" w:lineRule="auto"/>
              <w:rPr>
                <w:color w:val="ffffff"/>
                <w:shd w:fill="auto" w:val="clear"/>
              </w:rPr>
            </w:pPr>
            <w:r w:rsidDel="00000000" w:rsidR="00000000" w:rsidRPr="00000000">
              <w:rPr>
                <w:color w:val="ffffff"/>
                <w:shd w:fill="auto" w:val="clear"/>
                <w:rtl w:val="0"/>
              </w:rPr>
              <w:t xml:space="preserve">Sosyal Medya Platformu</w:t>
            </w:r>
          </w:p>
        </w:tc>
        <w:tc>
          <w:tcPr>
            <w:shd w:fill="003366" w:val="clear"/>
            <w:tcMar>
              <w:top w:w="150.0" w:type="dxa"/>
              <w:left w:w="150.0" w:type="dxa"/>
              <w:bottom w:w="150.0" w:type="dxa"/>
              <w:right w:w="15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150" w:lineRule="auto"/>
              <w:rPr>
                <w:color w:val="ffffff"/>
                <w:shd w:fill="auto" w:val="clear"/>
              </w:rPr>
            </w:pPr>
            <w:r w:rsidDel="00000000" w:rsidR="00000000" w:rsidRPr="00000000">
              <w:rPr>
                <w:color w:val="ffffff"/>
                <w:shd w:fill="auto" w:val="clear"/>
                <w:rtl w:val="0"/>
              </w:rPr>
              <w:t xml:space="preserve">Kullanım Oranı</w:t>
            </w:r>
          </w:p>
        </w:tc>
        <w:tc>
          <w:tcPr>
            <w:shd w:fill="003366" w:val="clear"/>
            <w:tcMar>
              <w:top w:w="150.0" w:type="dxa"/>
              <w:left w:w="150.0" w:type="dxa"/>
              <w:bottom w:w="150.0" w:type="dxa"/>
              <w:right w:w="15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150" w:lineRule="auto"/>
              <w:rPr>
                <w:color w:val="ffffff"/>
                <w:shd w:fill="auto" w:val="clear"/>
              </w:rPr>
            </w:pPr>
            <w:r w:rsidDel="00000000" w:rsidR="00000000" w:rsidRPr="00000000">
              <w:rPr>
                <w:color w:val="ffffff"/>
                <w:shd w:fill="auto" w:val="clear"/>
                <w:rtl w:val="0"/>
              </w:rPr>
              <w:t xml:space="preserve">Hedef Yaş Grubu ve Yoğun İçerik Türü</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YouTube</w:t>
            </w:r>
          </w:p>
        </w:tc>
        <w:tc>
          <w:tcPr>
            <w:shd w:fill="auto" w:val="clear"/>
            <w:tcMar>
              <w:top w:w="150.0" w:type="dxa"/>
              <w:left w:w="150.0" w:type="dxa"/>
              <w:bottom w:w="150.0" w:type="dxa"/>
              <w:right w:w="15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%96,3</w:t>
            </w:r>
          </w:p>
        </w:tc>
        <w:tc>
          <w:tcPr>
            <w:shd w:fill="auto" w:val="clear"/>
            <w:tcMar>
              <w:top w:w="150.0" w:type="dxa"/>
              <w:left w:w="150.0" w:type="dxa"/>
              <w:bottom w:w="150.0" w:type="dxa"/>
              <w:right w:w="15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3-18 Yaş (3-6 yaş arası çocuk şarkıları; 7-12 yaş oyun videoları; 13-18 popüler kültür/müzik)</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WhatsApp</w:t>
            </w:r>
          </w:p>
        </w:tc>
        <w:tc>
          <w:tcPr>
            <w:shd w:fill="auto" w:val="clear"/>
            <w:tcMar>
              <w:top w:w="150.0" w:type="dxa"/>
              <w:left w:w="150.0" w:type="dxa"/>
              <w:bottom w:w="150.0" w:type="dxa"/>
              <w:right w:w="15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%73,3</w:t>
            </w:r>
          </w:p>
        </w:tc>
        <w:tc>
          <w:tcPr>
            <w:shd w:fill="auto" w:val="clear"/>
            <w:tcMar>
              <w:top w:w="150.0" w:type="dxa"/>
              <w:left w:w="150.0" w:type="dxa"/>
              <w:bottom w:w="150.0" w:type="dxa"/>
              <w:right w:w="15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15-18 Yaş (Arkadaş grupları, okul içi iletişim ve kontrolsüz dosya paylaşımları)</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Instagram</w:t>
            </w:r>
          </w:p>
        </w:tc>
        <w:tc>
          <w:tcPr>
            <w:shd w:fill="auto" w:val="clear"/>
            <w:tcMar>
              <w:top w:w="150.0" w:type="dxa"/>
              <w:left w:w="150.0" w:type="dxa"/>
              <w:bottom w:w="150.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%63,0</w:t>
            </w:r>
          </w:p>
        </w:tc>
        <w:tc>
          <w:tcPr>
            <w:shd w:fill="auto" w:val="clear"/>
            <w:tcMar>
              <w:top w:w="150.0" w:type="dxa"/>
              <w:left w:w="150.0" w:type="dxa"/>
              <w:bottom w:w="15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11-18 Yaş (Mizah kesitleri, yayıncı ve dizi/anime editleri, reels tüketimi)</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TikTok</w:t>
            </w:r>
          </w:p>
        </w:tc>
        <w:tc>
          <w:tcPr>
            <w:shd w:fill="auto" w:val="clear"/>
            <w:tcMar>
              <w:top w:w="150.0" w:type="dxa"/>
              <w:left w:w="150.0" w:type="dxa"/>
              <w:bottom w:w="150.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%26,2</w:t>
            </w:r>
          </w:p>
        </w:tc>
        <w:tc>
          <w:tcPr>
            <w:shd w:fill="auto" w:val="clear"/>
            <w:tcMar>
              <w:top w:w="150.0" w:type="dxa"/>
              <w:left w:w="150.0" w:type="dxa"/>
              <w:bottom w:w="150.0" w:type="dxa"/>
              <w:right w:w="1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6-15 Yaş (Resmi yaş sınırı 13 olmasına rağmen 6-10 yaş grubunda %11,7 kullanım; ASMR ve influencer videoları)</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VPN Kullanımı</w:t>
            </w:r>
          </w:p>
        </w:tc>
        <w:tc>
          <w:tcPr>
            <w:shd w:fill="auto" w:val="clear"/>
            <w:tcMar>
              <w:top w:w="150.0" w:type="dxa"/>
              <w:left w:w="150.0" w:type="dxa"/>
              <w:bottom w:w="150.0" w:type="dxa"/>
              <w:right w:w="15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%38,0 (Ort.)</w:t>
            </w:r>
          </w:p>
        </w:tc>
        <w:tc>
          <w:tcPr>
            <w:shd w:fill="auto" w:val="clear"/>
            <w:tcMar>
              <w:top w:w="150.0" w:type="dxa"/>
              <w:left w:w="150.0" w:type="dxa"/>
              <w:bottom w:w="150.0" w:type="dxa"/>
              <w:right w:w="15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15-17 Yaş grubunda %35-%38 arası; korsan dizi/anime siteleri, engelli platformlar ve yabancı oyun sunucuları</w:t>
            </w:r>
          </w:p>
        </w:tc>
      </w:tr>
    </w:tbl>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Kumar, Bahis ve Dark Web Risk Faktörleri</w:t>
      </w:r>
    </w:p>
    <w:p w:rsidR="00000000" w:rsidDel="00000000" w:rsidP="00000000" w:rsidRDefault="00000000" w:rsidRPr="00000000" w14:paraId="00000043">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Erken Yaş Bağımlılığı (3-9 Yaş):</w:t>
      </w:r>
      <w:r w:rsidDel="00000000" w:rsidR="00000000" w:rsidRPr="00000000">
        <w:rPr>
          <w:rtl w:val="0"/>
        </w:rPr>
        <w:t xml:space="preserve"> Bu gruptaki çocukların %7,7'sinde ekran bağımlılığı riski saptanmıştır. Video oyunlarındaki kutu açılımları (loot box) ve skin kumarı mekanizmaları erken yaşta kumar alışkanlığının temelini oluşturmaktadır.</w:t>
      </w:r>
    </w:p>
    <w:p w:rsidR="00000000" w:rsidDel="00000000" w:rsidP="00000000" w:rsidRDefault="00000000" w:rsidRPr="00000000" w14:paraId="00000044">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Sanal Kumar ve Yasa Dışı Bahis (16-18 Yaş):</w:t>
      </w:r>
      <w:r w:rsidDel="00000000" w:rsidR="00000000" w:rsidRPr="00000000">
        <w:rPr>
          <w:rtl w:val="0"/>
        </w:rPr>
        <w:t xml:space="preserve"> Risk eğrisinin zirve yaptığı gruptur. İPA ve siber güvenlik verilerine göre, sanal kumar ve dijital bağımlılık krizi yaşayanların %24,4'ünü 16-24 yaş arası gençler oluşturmaktadır. Gençler bu sitelere ön ödemeli kartlar ve dijital cüzdanlarla denetimsizce erişmektedir.</w:t>
      </w:r>
    </w:p>
    <w:p w:rsidR="00000000" w:rsidDel="00000000" w:rsidP="00000000" w:rsidRDefault="00000000" w:rsidRPr="00000000" w14:paraId="00000045">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Dark Web Yönelimleri (16-18 Yaş):</w:t>
      </w:r>
      <w:r w:rsidDel="00000000" w:rsidR="00000000" w:rsidRPr="00000000">
        <w:rPr>
          <w:rtl w:val="0"/>
        </w:rPr>
        <w:t xml:space="preserve"> Teknolojiye yatkın erkek çocuklarda hileli/kaçak yazılım indirme arzusu, siber korsanlık merakı ve denetimsiz yasadışı topluluklara (Telegram/Dark Web) üye olma eğilimleri ciddi bir milli güvenlik açığı yaratmaktadır.</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Stratejik Etki, Devlet Onay Gerekçeleri ve Milli Kazanımlar</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YUVAM Projesi, sıradan bir mobil uygulama projesi değil; devletin operasyonel gücünü artıran, bütçesini koruyan ve milli güvenliği tahkim eden stratejik bir reformdur. Onay gerekçeleri 4 ana başlıkta toplanmıştır:</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Ekonomik Beka ve Kayıt Dışı Ekonominin Önlenmesi</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18 yaş altı gençlerin kontrolsüzce harcadığı ve yurt dışı menşeyli yasa dışı bahis/kumar baronlarının kasasına akan milyonlarca liralık milli servet, </w:t>
      </w:r>
      <w:r w:rsidDel="00000000" w:rsidR="00000000" w:rsidRPr="00000000">
        <w:rPr>
          <w:b w:val="1"/>
          <w:bCs w:val="1"/>
          <w:rtl w:val="0"/>
        </w:rPr>
        <w:t xml:space="preserve">Blokeli Dijital Cüzdan</w:t>
      </w:r>
      <w:r w:rsidDel="00000000" w:rsidR="00000000" w:rsidRPr="00000000">
        <w:rPr>
          <w:rtl w:val="0"/>
        </w:rPr>
        <w:t xml:space="preserve"> ve ağ tabanlı engellemeler sayesinde tamamen ülke içinde tutulacak; vergi kayıpları ve kayıt dışı para trafiği engellenecektir.</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Kamu Sağlığı ve Sağlık Bakanlığı Bütçesinde Tasarruf</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Kontrolsüz dijitalleşmenin tetiklediği çocukluk çağı obezitesi, dikkat eksikliği, anksiyete ve depresyon vakalarında hedeflenen düşüş sayesinde; Sağlık Bakanlığı'nın çocuk psikiyatrisi, ilaç tedavileri ve rehabilitasyon hizmetleri üzerindeki finansal yükü makro düzeyde hafifleyecektir.</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6.3. Emniyet ve Adalet Birimlerinde %100 Operasyonel Verimlilik</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AI destekli siber zorbalık ve şantaj kalkanı sayesinde, suçlar daha </w:t>
      </w:r>
      <w:r w:rsidDel="00000000" w:rsidR="00000000" w:rsidRPr="00000000">
        <w:rPr>
          <w:i w:val="1"/>
          <w:iCs w:val="1"/>
          <w:rtl w:val="0"/>
        </w:rPr>
        <w:t xml:space="preserve">işlenmeden önce</w:t>
      </w:r>
      <w:r w:rsidDel="00000000" w:rsidR="00000000" w:rsidRPr="00000000">
        <w:rPr>
          <w:rtl w:val="0"/>
        </w:rPr>
        <w:t xml:space="preserve"> önlenecektir. SOS butonuna entegre edilen "Yapısal Bariyer, Yaş Filtresi ve AI Ses Analizi" teknolojileri, 3-4 yaş çocuklarının yapacağı asılsız alarmları sistem seviyesinde filtreleyecek; emniyet güçlerimizin ve 112 acil çağrı merkezlerimizin asılsız ihbarlarla meşgul edilmesini önleyerek kamu kaynaklarında tam tasarruf sağlayacaktır.</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6.4. Milli İnsan Kaynağının Korunması ve Beyin Göçünün Önlenmesi</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Sosyal devlet saha operasyonlarıyla evleri ziyaret edilerek tablet desteği sağlanan yoksul hanelerdeki üstün yetenekli çocukların, yapay zeka analizleriyle yazılım, siber güvenlik veya temel bilimlere yönlendirilmesi sağlanacaktır. Bu durum, Türkiye'nin gelecekteki stratejik insan kaynağını koruyacak ve genç yaşta yasadışı odakların eline düşmelerini (radikalleşmeyi) kesin olarak engelleyecektir.</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Bakanlıklar Arası Görev Dağılım Matrisi</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003366" w:val="clear"/>
            <w:tcMar>
              <w:top w:w="150.0" w:type="dxa"/>
              <w:left w:w="150.0" w:type="dxa"/>
              <w:bottom w:w="150.0" w:type="dxa"/>
              <w:right w:w="15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before="150" w:lineRule="auto"/>
              <w:rPr>
                <w:color w:val="ffffff"/>
                <w:shd w:fill="auto" w:val="clear"/>
              </w:rPr>
            </w:pPr>
            <w:r w:rsidDel="00000000" w:rsidR="00000000" w:rsidRPr="00000000">
              <w:rPr>
                <w:color w:val="ffffff"/>
                <w:shd w:fill="auto" w:val="clear"/>
                <w:rtl w:val="0"/>
              </w:rPr>
              <w:t xml:space="preserve">Bakanlık Kurumu</w:t>
            </w:r>
          </w:p>
        </w:tc>
        <w:tc>
          <w:tcPr>
            <w:shd w:fill="003366" w:val="clear"/>
            <w:tcMar>
              <w:top w:w="150.0" w:type="dxa"/>
              <w:left w:w="150.0" w:type="dxa"/>
              <w:bottom w:w="150.0" w:type="dxa"/>
              <w:right w:w="15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before="150" w:lineRule="auto"/>
              <w:rPr>
                <w:color w:val="ffffff"/>
                <w:shd w:fill="auto" w:val="clear"/>
              </w:rPr>
            </w:pPr>
            <w:r w:rsidDel="00000000" w:rsidR="00000000" w:rsidRPr="00000000">
              <w:rPr>
                <w:color w:val="ffffff"/>
                <w:shd w:fill="auto" w:val="clear"/>
                <w:rtl w:val="0"/>
              </w:rPr>
              <w:t xml:space="preserve">Stratejik Sorumluluk Alanı</w:t>
            </w:r>
          </w:p>
        </w:tc>
        <w:tc>
          <w:tcPr>
            <w:shd w:fill="003366" w:val="clear"/>
            <w:tcMar>
              <w:top w:w="150.0" w:type="dxa"/>
              <w:left w:w="150.0" w:type="dxa"/>
              <w:bottom w:w="150.0" w:type="dxa"/>
              <w:right w:w="15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before="150" w:lineRule="auto"/>
              <w:rPr>
                <w:color w:val="ffffff"/>
                <w:shd w:fill="auto" w:val="clear"/>
              </w:rPr>
            </w:pPr>
            <w:r w:rsidDel="00000000" w:rsidR="00000000" w:rsidRPr="00000000">
              <w:rPr>
                <w:color w:val="ffffff"/>
                <w:shd w:fill="auto" w:val="clear"/>
                <w:rtl w:val="0"/>
              </w:rPr>
              <w:t xml:space="preserve">Operasyonel Rol ve Katkı</w:t>
            </w:r>
          </w:p>
        </w:tc>
      </w:tr>
      <w:tr>
        <w:trPr>
          <w:cantSplit w:val="0"/>
          <w:tblHeader w:val="0"/>
        </w:trPr>
        <w:tc>
          <w:tcPr>
            <w:shd w:fill="f2f2f2" w:val="clear"/>
            <w:tcMar>
              <w:top w:w="150.0" w:type="dxa"/>
              <w:left w:w="150.0" w:type="dxa"/>
              <w:bottom w:w="150.0" w:type="dxa"/>
              <w:right w:w="15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İçişleri Bakanlığı</w:t>
            </w:r>
          </w:p>
        </w:tc>
        <w:tc>
          <w:tcPr>
            <w:shd w:fill="auto" w:val="clear"/>
            <w:tcMar>
              <w:top w:w="150.0" w:type="dxa"/>
              <w:left w:w="150.0" w:type="dxa"/>
              <w:bottom w:w="150.0" w:type="dxa"/>
              <w:right w:w="15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Siber Suçlar, Konum ve Emniyet Altyapısı</w:t>
            </w:r>
          </w:p>
        </w:tc>
        <w:tc>
          <w:tcPr>
            <w:shd w:fill="auto" w:val="clear"/>
            <w:tcMar>
              <w:top w:w="150.0" w:type="dxa"/>
              <w:left w:w="150.0" w:type="dxa"/>
              <w:bottom w:w="150.0" w:type="dxa"/>
              <w:right w:w="15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Ağ tabanlı kısıtlamaların BTK entegrasyonu, SOS Kırmızı Alarm yönetimi, saha verilerinin koordinasyonu.</w:t>
            </w:r>
          </w:p>
        </w:tc>
      </w:tr>
      <w:tr>
        <w:trPr>
          <w:cantSplit w:val="0"/>
          <w:tblHeader w:val="0"/>
        </w:trPr>
        <w:tc>
          <w:tcPr>
            <w:shd w:fill="f2f2f2" w:val="clear"/>
            <w:tcMar>
              <w:top w:w="150.0" w:type="dxa"/>
              <w:left w:w="150.0" w:type="dxa"/>
              <w:bottom w:w="150.0" w:type="dxa"/>
              <w:right w:w="15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Aile ve Sosyal Hizmetler Bakanlığı</w:t>
            </w:r>
          </w:p>
        </w:tc>
        <w:tc>
          <w:tcPr>
            <w:shd w:fill="auto" w:val="clear"/>
            <w:tcMar>
              <w:top w:w="150.0" w:type="dxa"/>
              <w:left w:w="150.0" w:type="dxa"/>
              <w:bottom w:w="150.0" w:type="dxa"/>
              <w:right w:w="15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Sosyal Devlet Saha Operasyonu ve Sosyal Yardım</w:t>
            </w:r>
          </w:p>
        </w:tc>
        <w:tc>
          <w:tcPr>
            <w:shd w:fill="auto" w:val="clear"/>
            <w:tcMar>
              <w:top w:w="150.0" w:type="dxa"/>
              <w:left w:w="150.0" w:type="dxa"/>
              <w:bottom w:w="150.0" w:type="dxa"/>
              <w:right w:w="15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Uygulamayı kuramayan hanelerin tespiti, ev ziyaretleri, gıda kumanyası dağıtımı ve tablet tahsis süreçleri.</w:t>
            </w:r>
          </w:p>
        </w:tc>
      </w:tr>
      <w:tr>
        <w:trPr>
          <w:cantSplit w:val="0"/>
          <w:tblHeader w:val="0"/>
        </w:trPr>
        <w:tc>
          <w:tcPr>
            <w:shd w:fill="f2f2f2" w:val="clear"/>
            <w:tcMar>
              <w:top w:w="150.0" w:type="dxa"/>
              <w:left w:w="150.0" w:type="dxa"/>
              <w:bottom w:w="150.0" w:type="dxa"/>
              <w:right w:w="15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Milli Eğitim Bakanlığı (MEB)</w:t>
            </w:r>
          </w:p>
        </w:tc>
        <w:tc>
          <w:tcPr>
            <w:shd w:fill="auto" w:val="clear"/>
            <w:tcMar>
              <w:top w:w="150.0" w:type="dxa"/>
              <w:left w:w="150.0" w:type="dxa"/>
              <w:bottom w:w="150.0" w:type="dxa"/>
              <w:right w:w="15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Eğitim Kilidi ve Dinamik Müfredat Entegrasyonu</w:t>
            </w:r>
          </w:p>
        </w:tc>
        <w:tc>
          <w:tcPr>
            <w:shd w:fill="auto" w:val="clear"/>
            <w:tcMar>
              <w:top w:w="150.0" w:type="dxa"/>
              <w:left w:w="150.0" w:type="dxa"/>
              <w:bottom w:w="150.0" w:type="dxa"/>
              <w:right w:w="15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Eğitim kilidi sorularının müfredata göre hazırlanması, anonim AI hobi verilerine göre okullara seçmeli ders atanması.</w:t>
            </w:r>
          </w:p>
        </w:tc>
      </w:tr>
      <w:tr>
        <w:trPr>
          <w:cantSplit w:val="0"/>
          <w:tblHeader w:val="0"/>
        </w:trPr>
        <w:tc>
          <w:tcPr>
            <w:shd w:fill="f2f2f2" w:val="clear"/>
            <w:tcMar>
              <w:top w:w="150.0" w:type="dxa"/>
              <w:left w:w="150.0" w:type="dxa"/>
              <w:bottom w:w="150.0" w:type="dxa"/>
              <w:right w:w="15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Gençlik ve Spor Bakanlığı</w:t>
            </w:r>
          </w:p>
        </w:tc>
        <w:tc>
          <w:tcPr>
            <w:shd w:fill="auto" w:val="clear"/>
            <w:tcMar>
              <w:top w:w="150.0" w:type="dxa"/>
              <w:left w:w="150.0" w:type="dxa"/>
              <w:bottom w:w="150.0" w:type="dxa"/>
              <w:right w:w="15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Fiziksel Hayata Teşvik ve Aktivite Yönetimi</w:t>
            </w:r>
          </w:p>
        </w:tc>
        <w:tc>
          <w:tcPr>
            <w:shd w:fill="auto" w:val="clear"/>
            <w:tcMar>
              <w:top w:w="150.0" w:type="dxa"/>
              <w:left w:w="150.0" w:type="dxa"/>
              <w:bottom w:w="150.0" w:type="dxa"/>
              <w:right w:w="15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Ekran süresi dolan çocukların gençlik merkezlerine, spor tesislerine ücretsiz yönlendirilmesi ve takibi.</w:t>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