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2A48D" w14:textId="77777777" w:rsidR="00000000" w:rsidRDefault="00000000">
      <w:pPr>
        <w:pStyle w:val="Balk1"/>
        <w:rPr>
          <w:rFonts w:ascii="Calibri" w:eastAsia="Times New Roman" w:hAnsi="Calibri" w:cs="Calibri"/>
        </w:rPr>
      </w:pPr>
      <w:r>
        <w:rPr>
          <w:rFonts w:ascii="Calibri" w:eastAsia="Times New Roman" w:hAnsi="Calibri" w:cs="Calibri"/>
        </w:rPr>
        <w:t>PATLAMADAN KORUNMA DOKÜMANI</w:t>
      </w:r>
      <w:r>
        <w:rPr>
          <w:rFonts w:ascii="Calibri" w:eastAsia="Times New Roman" w:hAnsi="Calibri" w:cs="Calibri"/>
        </w:rPr>
        <w:br/>
        <w:t>(PKD)</w:t>
      </w:r>
    </w:p>
    <w:p w14:paraId="50CF98A7" w14:textId="77777777" w:rsidR="00000000" w:rsidRDefault="00000000">
      <w:pPr>
        <w:pStyle w:val="center"/>
        <w:spacing w:after="150"/>
        <w:rPr>
          <w:rFonts w:ascii="Calibri" w:hAnsi="Calibri" w:cs="Calibri"/>
          <w:sz w:val="22"/>
          <w:szCs w:val="22"/>
        </w:rPr>
      </w:pPr>
      <w:r>
        <w:rPr>
          <w:rFonts w:ascii="Calibri" w:hAnsi="Calibri" w:cs="Calibri"/>
          <w:sz w:val="22"/>
          <w:szCs w:val="22"/>
        </w:rPr>
        <w:t>Çalışanların Patlayıcı Ortamların Tehlikelerinden Korunması Hakkında Yönetmelik</w:t>
      </w:r>
      <w:r>
        <w:rPr>
          <w:rFonts w:ascii="Calibri" w:hAnsi="Calibri" w:cs="Calibri"/>
          <w:sz w:val="22"/>
          <w:szCs w:val="22"/>
        </w:rPr>
        <w:br/>
        <w:t>(30 Nisan 2013 tarih ve 28633 sayılı Resmî Gazete) kapsamında hazırlanmıştır.</w:t>
      </w:r>
    </w:p>
    <w:p w14:paraId="472019EE" w14:textId="77777777" w:rsidR="00000000" w:rsidRDefault="00000000">
      <w:pPr>
        <w:pStyle w:val="center"/>
        <w:spacing w:after="150"/>
        <w:rPr>
          <w:rFonts w:ascii="Calibri" w:hAnsi="Calibri" w:cs="Calibri"/>
          <w:sz w:val="22"/>
          <w:szCs w:val="22"/>
        </w:rPr>
      </w:pPr>
      <w:r>
        <w:rPr>
          <w:rFonts w:ascii="Calibri" w:hAnsi="Calibri" w:cs="Calibri"/>
          <w:b/>
          <w:bCs/>
          <w:sz w:val="22"/>
          <w:szCs w:val="22"/>
        </w:rPr>
        <w:t>İŞLETME: {isyeriUnvani}</w:t>
      </w:r>
    </w:p>
    <w:p w14:paraId="358FA271" w14:textId="77777777" w:rsidR="00000000" w:rsidRDefault="00000000">
      <w:pPr>
        <w:pStyle w:val="Balk2"/>
        <w:rPr>
          <w:rFonts w:ascii="Calibri" w:eastAsia="Times New Roman" w:hAnsi="Calibri" w:cs="Calibri"/>
        </w:rPr>
      </w:pPr>
      <w:r>
        <w:rPr>
          <w:rFonts w:ascii="Calibri" w:eastAsia="Times New Roman" w:hAnsi="Calibri" w:cs="Calibri"/>
        </w:rPr>
        <w:t>DOKÜMAN KİMLİK BİLGİLERİ</w:t>
      </w:r>
    </w:p>
    <w:tbl>
      <w:tblPr>
        <w:tblW w:w="5000" w:type="pct"/>
        <w:tblLook w:val="04A0" w:firstRow="1" w:lastRow="0" w:firstColumn="1" w:lastColumn="0" w:noHBand="0" w:noVBand="1"/>
      </w:tblPr>
      <w:tblGrid>
        <w:gridCol w:w="2717"/>
        <w:gridCol w:w="6339"/>
      </w:tblGrid>
      <w:tr w:rsidR="00000000" w14:paraId="1A949AD8" w14:textId="77777777">
        <w:tc>
          <w:tcPr>
            <w:tcW w:w="1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57A0DD"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Doküman 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C339F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{dokumanNo}</w:t>
            </w:r>
          </w:p>
        </w:tc>
      </w:tr>
      <w:tr w:rsidR="00000000" w14:paraId="3C4C239C"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051494"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Yayın Tarihi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F34FE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{yayinTarihi}</w:t>
            </w:r>
          </w:p>
        </w:tc>
      </w:tr>
      <w:tr w:rsidR="00000000" w14:paraId="6410594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FEEC57"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Revizyon No / Tarihi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BDA93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{revizyonNoTarihi}</w:t>
            </w:r>
          </w:p>
        </w:tc>
      </w:tr>
      <w:tr w:rsidR="00000000" w14:paraId="0FAA2F0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3DAD2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Hazırlayan (İSG Uzmanı)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293A3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{hazirlayanIsgUzmani}</w:t>
            </w:r>
          </w:p>
        </w:tc>
      </w:tr>
      <w:tr w:rsidR="00000000" w14:paraId="0E8A860C"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DB3FD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Kontrol Eden (İşyeri Hekimi)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2BFCB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{kontrolEdenHekim}</w:t>
            </w:r>
          </w:p>
        </w:tc>
      </w:tr>
      <w:tr w:rsidR="00000000" w14:paraId="275278D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45291D"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Onaylayan (İşveren/Vekili)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47249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{onaylayanIsveren}</w:t>
            </w:r>
          </w:p>
        </w:tc>
      </w:tr>
      <w:tr w:rsidR="00000000" w14:paraId="11A66539"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1F373E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Geçerlilik / Gözden Geçirme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B13E0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{gecerlilikSuresi}</w:t>
            </w:r>
          </w:p>
        </w:tc>
      </w:tr>
    </w:tbl>
    <w:p w14:paraId="3785EFC8" w14:textId="77777777" w:rsidR="00000000" w:rsidRDefault="00000000">
      <w:pPr>
        <w:pStyle w:val="Balk2"/>
        <w:rPr>
          <w:rFonts w:ascii="Calibri" w:eastAsia="Times New Roman" w:hAnsi="Calibri" w:cs="Calibri"/>
        </w:rPr>
      </w:pPr>
      <w:r>
        <w:rPr>
          <w:rFonts w:ascii="Calibri" w:eastAsia="Times New Roman" w:hAnsi="Calibri" w:cs="Calibri"/>
        </w:rPr>
        <w:t>1. AMAÇ</w:t>
      </w:r>
    </w:p>
    <w:p w14:paraId="284CAEB7" w14:textId="77777777" w:rsidR="00000000" w:rsidRDefault="00000000">
      <w:pPr>
        <w:pStyle w:val="NormalWeb"/>
        <w:rPr>
          <w:rFonts w:ascii="Calibri" w:hAnsi="Calibri" w:cs="Calibri"/>
          <w:sz w:val="22"/>
          <w:szCs w:val="22"/>
        </w:rPr>
      </w:pPr>
      <w:r>
        <w:rPr>
          <w:rFonts w:ascii="Calibri" w:hAnsi="Calibri" w:cs="Calibri"/>
          <w:sz w:val="22"/>
          <w:szCs w:val="22"/>
        </w:rPr>
        <w:t>Bu Patlamadan Korunma Dokümanı (PKD); {isyeriUnvani}'ye ait işyerinde yürütülen üretim, depolama ve dolum faaliyetleri sırasında yanıcı/parlayıcı kimyasalların gaz, buhar, sis ve tozlarından kaynaklanabilecek patlayıcı ortamların belirlenmesi, bu ortamların oluşmasının önlenmesi, önlenemiyorsa tutuşmasının engellenmesi ve olası bir patlamanın zararlı etkilerinin azaltılması amacıyla hazırlanmıştır. Doküman, çalışanların sağlık ve güvenliğinin patlayıcı ortam tehlikelerine karşı korunmasına ilişkin usul ve esasları belirler.</w:t>
      </w:r>
    </w:p>
    <w:p w14:paraId="20D75AE7" w14:textId="77777777" w:rsidR="00000000" w:rsidRDefault="00000000">
      <w:pPr>
        <w:pStyle w:val="Balk2"/>
        <w:rPr>
          <w:rFonts w:ascii="Calibri" w:eastAsia="Times New Roman" w:hAnsi="Calibri" w:cs="Calibri"/>
        </w:rPr>
      </w:pPr>
      <w:r>
        <w:rPr>
          <w:rFonts w:ascii="Calibri" w:eastAsia="Times New Roman" w:hAnsi="Calibri" w:cs="Calibri"/>
        </w:rPr>
        <w:t>2. KAPSAM</w:t>
      </w:r>
    </w:p>
    <w:p w14:paraId="00C72125" w14:textId="77777777" w:rsidR="00000000" w:rsidRDefault="00000000">
      <w:pPr>
        <w:pStyle w:val="NormalWeb"/>
        <w:rPr>
          <w:rFonts w:ascii="Calibri" w:hAnsi="Calibri" w:cs="Calibri"/>
          <w:sz w:val="22"/>
          <w:szCs w:val="22"/>
        </w:rPr>
      </w:pPr>
      <w:r>
        <w:rPr>
          <w:rFonts w:ascii="Calibri" w:hAnsi="Calibri" w:cs="Calibri"/>
          <w:sz w:val="22"/>
          <w:szCs w:val="22"/>
        </w:rPr>
        <w:t>Bu doküman, {isyeriUnvani}'nin {isyeriAdresi} adresinde bulunan üretim tesisinin tamamını; özellikle çözücü/tiner depolama alanı, boya hazırlama (reaktör/mikser) bölümü, dolum hattı, çözücü pompa istasyonu ve atık çözücü deposunu kapsar. Patlayıcı ortam oluşma ihtimali bulunan tüm birimler ile bu birimlerde kullanılan iş ekipmanları, elektrik tesisatı ve koruyucu sistemler kapsam dahilindedir.</w:t>
      </w:r>
    </w:p>
    <w:p w14:paraId="724F3805" w14:textId="77777777" w:rsidR="00000000" w:rsidRDefault="00000000">
      <w:pPr>
        <w:pStyle w:val="Balk2"/>
        <w:rPr>
          <w:rFonts w:ascii="Calibri" w:eastAsia="Times New Roman" w:hAnsi="Calibri" w:cs="Calibri"/>
        </w:rPr>
      </w:pPr>
      <w:r>
        <w:rPr>
          <w:rFonts w:ascii="Calibri" w:eastAsia="Times New Roman" w:hAnsi="Calibri" w:cs="Calibri"/>
        </w:rPr>
        <w:t>3. KAPSAM DIŞI FAALİYETLER</w:t>
      </w:r>
    </w:p>
    <w:p w14:paraId="6424FEC4" w14:textId="77777777" w:rsidR="00000000" w:rsidRDefault="00000000">
      <w:pPr>
        <w:pStyle w:val="NormalWeb"/>
        <w:rPr>
          <w:rFonts w:ascii="Calibri" w:hAnsi="Calibri" w:cs="Calibri"/>
          <w:sz w:val="22"/>
          <w:szCs w:val="22"/>
        </w:rPr>
      </w:pPr>
      <w:r>
        <w:rPr>
          <w:rFonts w:ascii="Calibri" w:hAnsi="Calibri" w:cs="Calibri"/>
          <w:sz w:val="22"/>
          <w:szCs w:val="22"/>
        </w:rPr>
        <w:t>Çalışanların Patlayıcı Ortamların Tehlikelerinden Korunması Hakkında Yönetmeliğin 2 nci maddesi uyarınca; hastalar için tıbbi tedavi uygulamaları, gaz yakan cihazların kullanılması (1/4/2011 tarihli 27892 sayılı Yönetmelik kapsamı), patlayıcı maddelerin üretimi ve işlenmesi, mineral kaynakların çıkarılması işleri, uluslararası antlaşmaların uygulandığı kara/hava/su taşıma araçlarının kullanılması bu dokümanın kapsamı dışındadır. İşletmede bu nitelikte bir faaliyet bulunmamaktadır.</w:t>
      </w:r>
    </w:p>
    <w:p w14:paraId="7A4EA09B" w14:textId="77777777" w:rsidR="00000000" w:rsidRDefault="00000000">
      <w:pPr>
        <w:pStyle w:val="Balk2"/>
        <w:rPr>
          <w:rFonts w:ascii="Calibri" w:eastAsia="Times New Roman" w:hAnsi="Calibri" w:cs="Calibri"/>
        </w:rPr>
      </w:pPr>
      <w:r>
        <w:rPr>
          <w:rFonts w:ascii="Calibri" w:eastAsia="Times New Roman" w:hAnsi="Calibri" w:cs="Calibri"/>
        </w:rPr>
        <w:lastRenderedPageBreak/>
        <w:t>4. TANIMLAR</w:t>
      </w:r>
    </w:p>
    <w:tbl>
      <w:tblPr>
        <w:tblW w:w="5000" w:type="pct"/>
        <w:tblLook w:val="04A0" w:firstRow="1" w:lastRow="0" w:firstColumn="1" w:lastColumn="0" w:noHBand="0" w:noVBand="1"/>
      </w:tblPr>
      <w:tblGrid>
        <w:gridCol w:w="2717"/>
        <w:gridCol w:w="6339"/>
      </w:tblGrid>
      <w:tr w:rsidR="00000000" w14:paraId="0C996966" w14:textId="77777777">
        <w:tc>
          <w:tcPr>
            <w:tcW w:w="1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57460B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Patlayıcı ortam</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AFBAA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Yanıcı maddelerin gaz, buhar, sis veya tozlarının atmosferik şartlar altında hava ile oluşturduğu ve herhangi bir tutuşturucu kaynakla temasında tümüyle yanabilen karışım.</w:t>
            </w:r>
          </w:p>
        </w:tc>
      </w:tr>
      <w:tr w:rsidR="00000000" w14:paraId="1AFF544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6D2CC4"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Patlamadan Korunma Dokümanı (PKD)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5B5CA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İşyerinde oluşabilecek patlayıcı ortamların tehlikelerinden çalışanların sağlık ve güvenliğini korumak amacıyla hazırlanan doküman.</w:t>
            </w:r>
          </w:p>
        </w:tc>
      </w:tr>
      <w:tr w:rsidR="00000000" w14:paraId="095F13E1"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5021AC"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Tehlikeli bölge (Zone)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28981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Patlayıcı ortamın oluşma sıklığı ve süresine göre sınıflandırılan bölge.</w:t>
            </w:r>
          </w:p>
        </w:tc>
      </w:tr>
      <w:tr w:rsidR="00000000" w14:paraId="21AE40A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8A65B3"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Parlama (alevlenme) noktası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6C380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Bir sıvının, yüzeyinde tutuşabilir buhar-hava karışımı oluşturduğu en düşük sıcaklık.</w:t>
            </w:r>
          </w:p>
        </w:tc>
      </w:tr>
      <w:tr w:rsidR="00000000" w14:paraId="0508699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F24365"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LEL / UEL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D104A8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Alt ve Üst Patlama Sınırı; havada patlayıcı karışım oluşturan yanıcı madde derişiminin alt ve üst sınırı.</w:t>
            </w:r>
          </w:p>
        </w:tc>
      </w:tr>
      <w:tr w:rsidR="00000000" w14:paraId="75DF447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EC7E7C7"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Boşalma kaynağı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1384E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Patlayıcı ortam oluşturabilecek yanıcı maddenin ortama yayıldığı nokta veya yer.</w:t>
            </w:r>
          </w:p>
        </w:tc>
      </w:tr>
    </w:tbl>
    <w:p w14:paraId="1151CD24" w14:textId="77777777" w:rsidR="00000000" w:rsidRDefault="00000000">
      <w:pPr>
        <w:pStyle w:val="Balk2"/>
        <w:rPr>
          <w:rFonts w:ascii="Calibri" w:eastAsia="Times New Roman" w:hAnsi="Calibri" w:cs="Calibri"/>
        </w:rPr>
      </w:pPr>
      <w:r>
        <w:rPr>
          <w:rFonts w:ascii="Calibri" w:eastAsia="Times New Roman" w:hAnsi="Calibri" w:cs="Calibri"/>
        </w:rPr>
        <w:t>5. İLGİLİ MEVZUAT VE STANDARTLAR</w:t>
      </w:r>
    </w:p>
    <w:p w14:paraId="0A379E25"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6331 sayılı İş Sağlığı ve Güvenliği Kanunu (md. 30).</w:t>
      </w:r>
    </w:p>
    <w:p w14:paraId="12BAB089"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Çalışanların Patlayıcı Ortamların Tehlikelerinden Korunması Hakkında Yönetmelik (30.04.2013 tarih, 28633 sayılı R.G.).</w:t>
      </w:r>
    </w:p>
    <w:p w14:paraId="1F132900"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Muhtemel Patlayıcı Ortamda Kullanılan Teçhizat ve Koruyucu Sistemler ile İlgili Yönetmelik (2014/34/AB – ATEX).</w:t>
      </w:r>
    </w:p>
    <w:p w14:paraId="3D18A570"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İş Ekipmanlarının Kullanımında Sağlık ve Güvenlik Şartları Yönetmeliği (25.04.2013 tarih, 28628 sayılı R.G.).</w:t>
      </w:r>
    </w:p>
    <w:p w14:paraId="758F9B9E"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İş Sağlığı ve Güvenliği Risk Değerlendirmesi Yönetmeliği (29.12.2012 tarih, 28512 sayılı R.G.).</w:t>
      </w:r>
    </w:p>
    <w:p w14:paraId="2151E5C0"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Kimyasal Maddelerle Çalışmalarda Sağlık ve Güvenlik Önlemleri Hakkında Yönetmelik.</w:t>
      </w:r>
    </w:p>
    <w:p w14:paraId="5DE7B936"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TS EN 60079-10-1: Patlayıcı gaz atmosferleri için tehlikeli bölgelerin sınıflandırılması.</w:t>
      </w:r>
    </w:p>
    <w:p w14:paraId="1DB92AE1"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TS EN 60079-10-2: Yanıcı toz atmosferleri için tehlikeli bölgelerin sınıflandırılması.</w:t>
      </w:r>
    </w:p>
    <w:p w14:paraId="63AEC08B" w14:textId="77777777" w:rsidR="00000000" w:rsidRDefault="00000000">
      <w:pPr>
        <w:numPr>
          <w:ilvl w:val="0"/>
          <w:numId w:val="1"/>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TS EN 60079-14: Patlayıcı ortamlarda elektrik tesisatının tasarımı, seçimi ve montajı.</w:t>
      </w:r>
    </w:p>
    <w:p w14:paraId="421D8749" w14:textId="77777777" w:rsidR="00000000" w:rsidRDefault="00000000">
      <w:pPr>
        <w:pStyle w:val="Balk2"/>
        <w:rPr>
          <w:rFonts w:ascii="Calibri" w:eastAsia="Times New Roman" w:hAnsi="Calibri" w:cs="Calibri"/>
        </w:rPr>
      </w:pPr>
      <w:r>
        <w:rPr>
          <w:rFonts w:ascii="Calibri" w:eastAsia="Times New Roman" w:hAnsi="Calibri" w:cs="Calibri"/>
        </w:rPr>
        <w:t>6. İŞYERİ VE PROSES TANITIMI</w:t>
      </w:r>
    </w:p>
    <w:tbl>
      <w:tblPr>
        <w:tblW w:w="5000" w:type="pct"/>
        <w:tblLook w:val="04A0" w:firstRow="1" w:lastRow="0" w:firstColumn="1" w:lastColumn="0" w:noHBand="0" w:noVBand="1"/>
      </w:tblPr>
      <w:tblGrid>
        <w:gridCol w:w="2717"/>
        <w:gridCol w:w="6339"/>
      </w:tblGrid>
      <w:tr w:rsidR="00000000" w14:paraId="6219E6CD" w14:textId="77777777">
        <w:tc>
          <w:tcPr>
            <w:tcW w:w="1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DBDFDA"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İşyeri 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B2769F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{isyeriUnvani}</w:t>
            </w:r>
          </w:p>
        </w:tc>
      </w:tr>
      <w:tr w:rsidR="00000000" w14:paraId="3D759E8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B839CA"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Adres</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8DC2C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{isyeriAdresi}</w:t>
            </w:r>
          </w:p>
        </w:tc>
      </w:tr>
      <w:tr w:rsidR="00000000" w14:paraId="0BBD7B4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44EE21A"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Faaliyet Konusu (NACE)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44E97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{faaliyetKonusu}</w:t>
            </w:r>
          </w:p>
        </w:tc>
      </w:tr>
      <w:tr w:rsidR="00000000" w14:paraId="5A4BC9F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2E6492"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lastRenderedPageBreak/>
              <w:t>Tehlike Sınıfı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D52DD3"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{tehlikeSinifi}</w:t>
            </w:r>
          </w:p>
        </w:tc>
      </w:tr>
      <w:tr w:rsidR="00000000" w14:paraId="1E5D6EC9"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8912D6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Çalışan Sayısı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486B1B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{calisanSayisi}</w:t>
            </w:r>
          </w:p>
        </w:tc>
      </w:tr>
      <w:tr w:rsidR="00000000" w14:paraId="41CBCE1B"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16FE7A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Kapalı Alan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D174C0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{kapaliAlan}</w:t>
            </w:r>
          </w:p>
        </w:tc>
      </w:tr>
      <w:tr w:rsidR="00000000" w14:paraId="5CA9D8EE"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2AEBDE5"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Vardiya Düzeni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4B7DD1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{vardiyaDuzeni}</w:t>
            </w:r>
          </w:p>
        </w:tc>
      </w:tr>
    </w:tbl>
    <w:p w14:paraId="7AF3FBEC" w14:textId="77777777" w:rsidR="00000000" w:rsidRDefault="00000000">
      <w:pPr>
        <w:pStyle w:val="NormalWeb"/>
        <w:rPr>
          <w:rFonts w:ascii="Calibri" w:hAnsi="Calibri" w:cs="Calibri"/>
          <w:sz w:val="22"/>
          <w:szCs w:val="22"/>
        </w:rPr>
      </w:pPr>
      <w:r>
        <w:rPr>
          <w:rFonts w:ascii="Calibri" w:hAnsi="Calibri" w:cs="Calibri"/>
          <w:b/>
          <w:bCs/>
          <w:sz w:val="22"/>
          <w:szCs w:val="22"/>
        </w:rPr>
        <w:t>Proses Akışı (Özet):</w:t>
      </w:r>
      <w:r>
        <w:rPr>
          <w:rFonts w:ascii="Calibri" w:hAnsi="Calibri" w:cs="Calibri"/>
          <w:sz w:val="22"/>
          <w:szCs w:val="22"/>
        </w:rPr>
        <w:br/>
        <w:t>{prosesAkisiOzet}</w:t>
      </w:r>
    </w:p>
    <w:p w14:paraId="7D14884A" w14:textId="77777777" w:rsidR="00000000" w:rsidRDefault="00000000">
      <w:pPr>
        <w:pStyle w:val="Balk2"/>
        <w:rPr>
          <w:rFonts w:ascii="Calibri" w:eastAsia="Times New Roman" w:hAnsi="Calibri" w:cs="Calibri"/>
        </w:rPr>
      </w:pPr>
      <w:r>
        <w:rPr>
          <w:rFonts w:ascii="Calibri" w:eastAsia="Times New Roman" w:hAnsi="Calibri" w:cs="Calibri"/>
        </w:rPr>
        <w:t>7. PATLAYICI ORTAM OLUŞTURABİLECEK MADDELER (KİMYASAL ENVANTER)</w:t>
      </w:r>
    </w:p>
    <w:p w14:paraId="17BD6CF5" w14:textId="77777777" w:rsidR="00000000" w:rsidRDefault="00000000">
      <w:pPr>
        <w:pStyle w:val="NormalWeb"/>
        <w:rPr>
          <w:rFonts w:ascii="Calibri" w:hAnsi="Calibri" w:cs="Calibri"/>
          <w:sz w:val="22"/>
          <w:szCs w:val="22"/>
        </w:rPr>
      </w:pPr>
      <w:r>
        <w:rPr>
          <w:rFonts w:ascii="Calibri" w:hAnsi="Calibri" w:cs="Calibri"/>
          <w:sz w:val="22"/>
          <w:szCs w:val="22"/>
        </w:rPr>
        <w:t>İşletmede kullanılan ve patlayıcı ortam oluşturma potansiyeli bulunan başlıca yanıcı/parlayıcı maddeler aşağıda verilmiştir. Veriler ilgili Güvenlik Bilgi Formlarından (GBF/SDS) alınmıştır.</w:t>
      </w:r>
    </w:p>
    <w:tbl>
      <w:tblPr>
        <w:tblW w:w="5000" w:type="pct"/>
        <w:tblLook w:val="04A0" w:firstRow="1" w:lastRow="0" w:firstColumn="1" w:lastColumn="0" w:noHBand="0" w:noVBand="1"/>
      </w:tblPr>
      <w:tblGrid>
        <w:gridCol w:w="1204"/>
        <w:gridCol w:w="1183"/>
        <w:gridCol w:w="1697"/>
        <w:gridCol w:w="1294"/>
        <w:gridCol w:w="1740"/>
        <w:gridCol w:w="2310"/>
      </w:tblGrid>
      <w:tr w:rsidR="00000000" w14:paraId="3A8660A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09A009"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Madde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4D597A"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Fiziksel Hal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6E7FD9"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Parlama Noktası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2BA290"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LEL–UEL (hacimce %)</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085C89"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Tutuşma Sıc.</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1D2AEB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Kullanım/Depolama</w:t>
            </w:r>
          </w:p>
        </w:tc>
      </w:tr>
      <w:tr w:rsidR="00000000" w14:paraId="38B5CBD9" w14:textId="77777777">
        <w:tc>
          <w:tcPr>
            <w:tcW w:w="0" w:type="auto"/>
            <w:gridSpan w:val="6"/>
            <w:tcMar>
              <w:top w:w="30" w:type="dxa"/>
              <w:left w:w="30" w:type="dxa"/>
              <w:bottom w:w="30" w:type="dxa"/>
              <w:right w:w="30" w:type="dxa"/>
            </w:tcMar>
            <w:vAlign w:val="center"/>
            <w:hideMark/>
          </w:tcPr>
          <w:p w14:paraId="5035BD8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{#kimyasalEnvanter}</w:t>
            </w:r>
          </w:p>
        </w:tc>
      </w:tr>
      <w:tr w:rsidR="00000000" w14:paraId="57FB40E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5A26D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{maddeAdi}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8FD16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{fizikselHal}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604B9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{parlamaNoktasi}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4068B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{lelUelOrani}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0FD5F2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{tutusmaSicakligi}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379FD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{kullanimDepolamaYeri}</w:t>
            </w:r>
          </w:p>
        </w:tc>
      </w:tr>
      <w:tr w:rsidR="00000000" w14:paraId="438B4D0B" w14:textId="77777777">
        <w:tc>
          <w:tcPr>
            <w:tcW w:w="0" w:type="auto"/>
            <w:gridSpan w:val="6"/>
            <w:tcMar>
              <w:top w:w="30" w:type="dxa"/>
              <w:left w:w="30" w:type="dxa"/>
              <w:bottom w:w="30" w:type="dxa"/>
              <w:right w:w="30" w:type="dxa"/>
            </w:tcMar>
            <w:vAlign w:val="center"/>
            <w:hideMark/>
          </w:tcPr>
          <w:p w14:paraId="5CF524A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{/kimyasalEnvanter}</w:t>
            </w:r>
          </w:p>
        </w:tc>
      </w:tr>
    </w:tbl>
    <w:p w14:paraId="521771F1" w14:textId="77777777" w:rsidR="00000000" w:rsidRDefault="00000000">
      <w:pPr>
        <w:pStyle w:val="Balk2"/>
        <w:rPr>
          <w:rFonts w:ascii="Calibri" w:eastAsia="Times New Roman" w:hAnsi="Calibri" w:cs="Calibri"/>
        </w:rPr>
      </w:pPr>
      <w:r>
        <w:rPr>
          <w:rFonts w:ascii="Calibri" w:eastAsia="Times New Roman" w:hAnsi="Calibri" w:cs="Calibri"/>
        </w:rPr>
        <w:t>8. ATEŞLEME (TUTUŞTURMA) KAYNAKLARININ BELİRLENMESİ</w:t>
      </w:r>
    </w:p>
    <w:p w14:paraId="687B074F" w14:textId="77777777" w:rsidR="00000000" w:rsidRDefault="00000000">
      <w:pPr>
        <w:pStyle w:val="NormalWeb"/>
        <w:rPr>
          <w:rFonts w:ascii="Calibri" w:hAnsi="Calibri" w:cs="Calibri"/>
          <w:sz w:val="22"/>
          <w:szCs w:val="22"/>
        </w:rPr>
      </w:pPr>
      <w:r>
        <w:rPr>
          <w:rFonts w:ascii="Calibri" w:hAnsi="Calibri" w:cs="Calibri"/>
          <w:sz w:val="22"/>
          <w:szCs w:val="22"/>
        </w:rPr>
        <w:t>Patlayıcı ortamın tutuşması için bir ateşleme kaynağı gereklidir. İşletmede tespit edilen muhtemel ateşleme kaynakları ve durumları aşağıdadır.</w:t>
      </w:r>
    </w:p>
    <w:tbl>
      <w:tblPr>
        <w:tblW w:w="5000" w:type="pct"/>
        <w:tblLook w:val="04A0" w:firstRow="1" w:lastRow="0" w:firstColumn="1" w:lastColumn="0" w:noHBand="0" w:noVBand="1"/>
      </w:tblPr>
      <w:tblGrid>
        <w:gridCol w:w="1354"/>
        <w:gridCol w:w="2821"/>
        <w:gridCol w:w="2417"/>
        <w:gridCol w:w="2464"/>
      </w:tblGrid>
      <w:tr w:rsidR="00000000" w14:paraId="5604A6E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D45CF5"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FEF520"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Ateşleme Kaynağı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0EA976"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Bulunduğu Yer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87EFB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Mevcut Durum</w:t>
            </w:r>
          </w:p>
        </w:tc>
      </w:tr>
      <w:tr w:rsidR="00000000" w14:paraId="07C5BD9D" w14:textId="77777777">
        <w:tc>
          <w:tcPr>
            <w:tcW w:w="0" w:type="auto"/>
            <w:gridSpan w:val="4"/>
            <w:tcMar>
              <w:top w:w="30" w:type="dxa"/>
              <w:left w:w="30" w:type="dxa"/>
              <w:bottom w:w="30" w:type="dxa"/>
              <w:right w:w="30" w:type="dxa"/>
            </w:tcMar>
            <w:vAlign w:val="center"/>
            <w:hideMark/>
          </w:tcPr>
          <w:p w14:paraId="0B84FC0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{#ateslemeKaynaklari}</w:t>
            </w:r>
          </w:p>
        </w:tc>
      </w:tr>
      <w:tr w:rsidR="00000000" w14:paraId="20D137C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807E96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{siraNo}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93000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{ateslemeKaynagi}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C75931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{bulunduguYer}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98C52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{mevcutDurum}</w:t>
            </w:r>
          </w:p>
        </w:tc>
      </w:tr>
      <w:tr w:rsidR="00000000" w14:paraId="2FE8FC3E" w14:textId="77777777">
        <w:tc>
          <w:tcPr>
            <w:tcW w:w="0" w:type="auto"/>
            <w:gridSpan w:val="4"/>
            <w:tcMar>
              <w:top w:w="30" w:type="dxa"/>
              <w:left w:w="30" w:type="dxa"/>
              <w:bottom w:w="30" w:type="dxa"/>
              <w:right w:w="30" w:type="dxa"/>
            </w:tcMar>
            <w:vAlign w:val="center"/>
            <w:hideMark/>
          </w:tcPr>
          <w:p w14:paraId="15566EE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{/ateslemeKaynaklari}</w:t>
            </w:r>
          </w:p>
        </w:tc>
      </w:tr>
    </w:tbl>
    <w:p w14:paraId="1821A114" w14:textId="77777777" w:rsidR="00000000" w:rsidRDefault="00000000">
      <w:pPr>
        <w:pStyle w:val="Balk2"/>
        <w:rPr>
          <w:rFonts w:ascii="Calibri" w:eastAsia="Times New Roman" w:hAnsi="Calibri" w:cs="Calibri"/>
        </w:rPr>
      </w:pPr>
      <w:r>
        <w:rPr>
          <w:rFonts w:ascii="Calibri" w:eastAsia="Times New Roman" w:hAnsi="Calibri" w:cs="Calibri"/>
        </w:rPr>
        <w:t>9. TEHLİKELİ BÖLGE (ZONE) SINIFLANDIRMASI</w:t>
      </w:r>
    </w:p>
    <w:p w14:paraId="5D2D4BD7" w14:textId="77777777" w:rsidR="00000000" w:rsidRDefault="00000000">
      <w:pPr>
        <w:pStyle w:val="NormalWeb"/>
        <w:rPr>
          <w:rFonts w:ascii="Calibri" w:hAnsi="Calibri" w:cs="Calibri"/>
          <w:sz w:val="22"/>
          <w:szCs w:val="22"/>
        </w:rPr>
      </w:pPr>
      <w:r>
        <w:rPr>
          <w:rFonts w:ascii="Calibri" w:hAnsi="Calibri" w:cs="Calibri"/>
          <w:sz w:val="22"/>
          <w:szCs w:val="22"/>
        </w:rPr>
        <w:t>Gaz/buhar kaynaklı patlayıcı ortamlar TS EN 60079-10-1 standardına göre patlayıcı ortamın oluşma sıklığı ve sürekliliğine göre üç bölgede sınıflandırılır:</w:t>
      </w:r>
    </w:p>
    <w:tbl>
      <w:tblPr>
        <w:tblW w:w="5000" w:type="pct"/>
        <w:tblLook w:val="04A0" w:firstRow="1" w:lastRow="0" w:firstColumn="1" w:lastColumn="0" w:noHBand="0" w:noVBand="1"/>
      </w:tblPr>
      <w:tblGrid>
        <w:gridCol w:w="755"/>
        <w:gridCol w:w="5427"/>
        <w:gridCol w:w="2874"/>
      </w:tblGrid>
      <w:tr w:rsidR="00000000" w14:paraId="3CC9363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DC34D33"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Bölge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8756C0E"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Tanım</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BF165A"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Gerekli Ekipman Kategorisi (2014/34/AB)</w:t>
            </w:r>
          </w:p>
        </w:tc>
      </w:tr>
      <w:tr w:rsidR="00000000" w14:paraId="72E0B92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30B1D2"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lastRenderedPageBreak/>
              <w:t>Bölge 0</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228BB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Patlayıcı ortamın sürekli, uzun süreli veya sık oluştuğu yer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57082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Kategori 1G</w:t>
            </w:r>
          </w:p>
        </w:tc>
      </w:tr>
      <w:tr w:rsidR="00000000" w14:paraId="5AD3A5C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2CDA9A"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Bölge 1</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DCB051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Patlayıcı ortamın normal çalışmada ara sıra oluşabileceği yer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08FE1B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Kategori 1G veya 2G</w:t>
            </w:r>
          </w:p>
        </w:tc>
      </w:tr>
      <w:tr w:rsidR="00000000" w14:paraId="159C3AD5"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48B1A2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Bölge 2</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777551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Patlayıcı ortamın normal çalışmada oluşması beklenmeyen, oluşsa da kısa süreli olduğu yer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07FDB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Kategori 1G, 2G veya 3G</w:t>
            </w:r>
          </w:p>
        </w:tc>
      </w:tr>
    </w:tbl>
    <w:p w14:paraId="2589B474" w14:textId="77777777" w:rsidR="00000000" w:rsidRDefault="00000000">
      <w:pPr>
        <w:pStyle w:val="Balk3"/>
        <w:rPr>
          <w:rFonts w:ascii="Calibri" w:eastAsia="Times New Roman" w:hAnsi="Calibri" w:cs="Calibri"/>
        </w:rPr>
      </w:pPr>
      <w:r>
        <w:rPr>
          <w:rFonts w:ascii="Calibri" w:eastAsia="Times New Roman" w:hAnsi="Calibri" w:cs="Calibri"/>
        </w:rPr>
        <w:t>İşletmeye Özel Bölge Sınıflandırması</w:t>
      </w:r>
    </w:p>
    <w:tbl>
      <w:tblPr>
        <w:tblW w:w="5000" w:type="pct"/>
        <w:tblLook w:val="04A0" w:firstRow="1" w:lastRow="0" w:firstColumn="1" w:lastColumn="0" w:noHBand="0" w:noVBand="1"/>
      </w:tblPr>
      <w:tblGrid>
        <w:gridCol w:w="2826"/>
        <w:gridCol w:w="1990"/>
        <w:gridCol w:w="2460"/>
        <w:gridCol w:w="1780"/>
      </w:tblGrid>
      <w:tr w:rsidR="00000000" w14:paraId="1EBC0F4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EDC8D06"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Saha / Ekipman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1AF293"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Bölge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AD8D19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Yayılım</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AEE3033"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Gerekçe</w:t>
            </w:r>
          </w:p>
        </w:tc>
      </w:tr>
      <w:tr w:rsidR="00000000" w14:paraId="7F45706B" w14:textId="77777777">
        <w:tc>
          <w:tcPr>
            <w:tcW w:w="0" w:type="auto"/>
            <w:gridSpan w:val="4"/>
            <w:tcMar>
              <w:top w:w="30" w:type="dxa"/>
              <w:left w:w="30" w:type="dxa"/>
              <w:bottom w:w="30" w:type="dxa"/>
              <w:right w:w="30" w:type="dxa"/>
            </w:tcMar>
            <w:vAlign w:val="center"/>
            <w:hideMark/>
          </w:tcPr>
          <w:p w14:paraId="2FA24533"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{#tehlikeliBolgeler}</w:t>
            </w:r>
          </w:p>
        </w:tc>
      </w:tr>
      <w:tr w:rsidR="00000000" w14:paraId="4C4116F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5F6B03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{sahaEkipman}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D3AEE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{bolgeTipi}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E9F49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{yayilimAlani}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C5822F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{gerekce}</w:t>
            </w:r>
          </w:p>
        </w:tc>
      </w:tr>
      <w:tr w:rsidR="00000000" w14:paraId="1D45A5AD" w14:textId="77777777">
        <w:tc>
          <w:tcPr>
            <w:tcW w:w="0" w:type="auto"/>
            <w:gridSpan w:val="4"/>
            <w:tcMar>
              <w:top w:w="30" w:type="dxa"/>
              <w:left w:w="30" w:type="dxa"/>
              <w:bottom w:w="30" w:type="dxa"/>
              <w:right w:w="30" w:type="dxa"/>
            </w:tcMar>
            <w:vAlign w:val="center"/>
            <w:hideMark/>
          </w:tcPr>
          <w:p w14:paraId="781A1FD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{/tehlikeliBolgeler}</w:t>
            </w:r>
          </w:p>
        </w:tc>
      </w:tr>
    </w:tbl>
    <w:p w14:paraId="13F19479" w14:textId="77777777" w:rsidR="00000000" w:rsidRDefault="00000000">
      <w:pPr>
        <w:pStyle w:val="NormalWeb"/>
        <w:rPr>
          <w:rFonts w:ascii="Calibri" w:hAnsi="Calibri" w:cs="Calibri"/>
          <w:sz w:val="22"/>
          <w:szCs w:val="22"/>
        </w:rPr>
      </w:pPr>
      <w:r>
        <w:rPr>
          <w:rFonts w:ascii="Calibri" w:hAnsi="Calibri" w:cs="Calibri"/>
          <w:sz w:val="22"/>
          <w:szCs w:val="22"/>
        </w:rPr>
        <w:t>Bölge sınıflandırmasının ölçekli krokisi ve saha yerleşim planı üzerinde işaretlenmiş hali EK-4'te (Tehlikeli Bölge Çizimleri) yer almaktadır.</w:t>
      </w:r>
    </w:p>
    <w:p w14:paraId="35D9A965" w14:textId="77777777" w:rsidR="00000000" w:rsidRDefault="00000000">
      <w:pPr>
        <w:pStyle w:val="Balk2"/>
        <w:rPr>
          <w:rFonts w:ascii="Calibri" w:eastAsia="Times New Roman" w:hAnsi="Calibri" w:cs="Calibri"/>
        </w:rPr>
      </w:pPr>
      <w:r>
        <w:rPr>
          <w:rFonts w:ascii="Calibri" w:eastAsia="Times New Roman" w:hAnsi="Calibri" w:cs="Calibri"/>
        </w:rPr>
        <w:t>10. PATLAMA RİSK DEĞERLENDİRMESİ</w:t>
      </w:r>
    </w:p>
    <w:p w14:paraId="7A444D72" w14:textId="77777777" w:rsidR="00000000" w:rsidRDefault="00000000">
      <w:pPr>
        <w:pStyle w:val="NormalWeb"/>
        <w:rPr>
          <w:rFonts w:ascii="Calibri" w:hAnsi="Calibri" w:cs="Calibri"/>
          <w:sz w:val="22"/>
          <w:szCs w:val="22"/>
        </w:rPr>
      </w:pPr>
      <w:r>
        <w:rPr>
          <w:rFonts w:ascii="Calibri" w:hAnsi="Calibri" w:cs="Calibri"/>
          <w:sz w:val="22"/>
          <w:szCs w:val="22"/>
        </w:rPr>
        <w:t>Patlayıcı ortam oluşabilecek her bölge için olasılık (O) × şiddet (Ş) esaslı 5x5 matris yöntemiyle risk skoru hesaplanmıştır. Skor: 1-5 Düşük, 6-12 Orta, 13-25 Yüksek. Önlem sonrası (artık) risk son sütunda verilmiştir.</w:t>
      </w:r>
    </w:p>
    <w:tbl>
      <w:tblPr>
        <w:tblW w:w="5000" w:type="pct"/>
        <w:tblLook w:val="04A0" w:firstRow="1" w:lastRow="0" w:firstColumn="1" w:lastColumn="0" w:noHBand="0" w:noVBand="1"/>
      </w:tblPr>
      <w:tblGrid>
        <w:gridCol w:w="2173"/>
        <w:gridCol w:w="934"/>
        <w:gridCol w:w="1070"/>
        <w:gridCol w:w="1001"/>
        <w:gridCol w:w="1324"/>
        <w:gridCol w:w="1302"/>
        <w:gridCol w:w="1252"/>
      </w:tblGrid>
      <w:tr w:rsidR="00000000" w14:paraId="5DD419B9"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5C12BD"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Tehlike / Senaryo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47AE1B"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Bölge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EF2CA7"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91039F"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Ş</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444B577"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Risk</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AF273BD"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Önlemler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24F0DDF"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Artık Risk</w:t>
            </w:r>
          </w:p>
        </w:tc>
      </w:tr>
      <w:tr w:rsidR="00000000" w14:paraId="69AB8E3C" w14:textId="77777777">
        <w:tc>
          <w:tcPr>
            <w:tcW w:w="0" w:type="auto"/>
            <w:gridSpan w:val="7"/>
            <w:tcMar>
              <w:top w:w="30" w:type="dxa"/>
              <w:left w:w="30" w:type="dxa"/>
              <w:bottom w:w="30" w:type="dxa"/>
              <w:right w:w="30" w:type="dxa"/>
            </w:tcMar>
            <w:vAlign w:val="center"/>
            <w:hideMark/>
          </w:tcPr>
          <w:p w14:paraId="2CEBB5D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{#riskDegerlendirmesi}</w:t>
            </w:r>
          </w:p>
        </w:tc>
      </w:tr>
      <w:tr w:rsidR="00000000" w14:paraId="3C757A0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57C762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{tehlikeSenaryosu}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2CE892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{bolge}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70206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{olasilik}</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976EE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{siddet}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864DD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{riskSkoru}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64F43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{onlemler}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FABEC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{artikRisk}</w:t>
            </w:r>
          </w:p>
        </w:tc>
      </w:tr>
      <w:tr w:rsidR="00000000" w14:paraId="201AB377" w14:textId="77777777">
        <w:tc>
          <w:tcPr>
            <w:tcW w:w="0" w:type="auto"/>
            <w:gridSpan w:val="7"/>
            <w:tcMar>
              <w:top w:w="30" w:type="dxa"/>
              <w:left w:w="30" w:type="dxa"/>
              <w:bottom w:w="30" w:type="dxa"/>
              <w:right w:w="30" w:type="dxa"/>
            </w:tcMar>
            <w:vAlign w:val="center"/>
            <w:hideMark/>
          </w:tcPr>
          <w:p w14:paraId="01D694E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{/riskDegerlendirmesi}</w:t>
            </w:r>
          </w:p>
        </w:tc>
      </w:tr>
    </w:tbl>
    <w:p w14:paraId="3B639E65" w14:textId="77777777" w:rsidR="00000000" w:rsidRDefault="00000000">
      <w:pPr>
        <w:pStyle w:val="NormalWeb"/>
        <w:rPr>
          <w:rFonts w:ascii="Calibri" w:hAnsi="Calibri" w:cs="Calibri"/>
          <w:sz w:val="22"/>
          <w:szCs w:val="22"/>
        </w:rPr>
      </w:pPr>
      <w:r>
        <w:rPr>
          <w:rFonts w:ascii="Calibri" w:hAnsi="Calibri" w:cs="Calibri"/>
          <w:sz w:val="22"/>
          <w:szCs w:val="22"/>
        </w:rPr>
        <w:t>Değerlendirme sonucunda tüm yüksek riskler, belirtilen teknik ve organizasyonel önlemlerin uygulanmasıyla kabul edilebilir (düşük/orta) seviyeye indirilebilmektedir. Detaylı risk analizi tablosu EK-3'te yer almaktadır.</w:t>
      </w:r>
    </w:p>
    <w:p w14:paraId="77C06214" w14:textId="77777777" w:rsidR="00000000" w:rsidRDefault="00000000">
      <w:pPr>
        <w:pStyle w:val="Balk2"/>
        <w:rPr>
          <w:rFonts w:ascii="Calibri" w:eastAsia="Times New Roman" w:hAnsi="Calibri" w:cs="Calibri"/>
        </w:rPr>
      </w:pPr>
      <w:r>
        <w:rPr>
          <w:rFonts w:ascii="Calibri" w:eastAsia="Times New Roman" w:hAnsi="Calibri" w:cs="Calibri"/>
        </w:rPr>
        <w:t>11. PATLAMADAN KORUNMA ÖNLEMLERİ</w:t>
      </w:r>
    </w:p>
    <w:p w14:paraId="2A7F8DDB" w14:textId="77777777" w:rsidR="00000000" w:rsidRDefault="00000000">
      <w:pPr>
        <w:pStyle w:val="Balk3"/>
        <w:rPr>
          <w:rFonts w:ascii="Calibri" w:eastAsia="Times New Roman" w:hAnsi="Calibri" w:cs="Calibri"/>
        </w:rPr>
      </w:pPr>
      <w:r>
        <w:rPr>
          <w:rFonts w:ascii="Calibri" w:eastAsia="Times New Roman" w:hAnsi="Calibri" w:cs="Calibri"/>
        </w:rPr>
        <w:t>11.1. Patlayıcı Ortam Oluşumunu Önleyici Önlemler</w:t>
      </w:r>
    </w:p>
    <w:p w14:paraId="7A71D64F" w14:textId="77777777" w:rsidR="00000000" w:rsidRDefault="00000000">
      <w:pPr>
        <w:numPr>
          <w:ilvl w:val="0"/>
          <w:numId w:val="2"/>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Çözücüler kapalı sistem ve sızdırmaz kaplarda muhafaza edilir; transferler kapalı devre yapılır.</w:t>
      </w:r>
    </w:p>
    <w:p w14:paraId="7C378709" w14:textId="77777777" w:rsidR="00000000" w:rsidRDefault="00000000">
      <w:pPr>
        <w:numPr>
          <w:ilvl w:val="0"/>
          <w:numId w:val="2"/>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Tehlikeli bölgelerde yeterli doğal ve cebri (mekanik) havalandırma sağlanır; buhar derişimi LEL'in altında tutulur.</w:t>
      </w:r>
    </w:p>
    <w:p w14:paraId="79446BA9" w14:textId="77777777" w:rsidR="00000000" w:rsidRDefault="00000000">
      <w:pPr>
        <w:numPr>
          <w:ilvl w:val="0"/>
          <w:numId w:val="2"/>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lastRenderedPageBreak/>
        <w:t>Çözücü stok miktarı asgari çalışma seviyesinde tutulur; gereksiz açık kap bulundurulmaz.</w:t>
      </w:r>
    </w:p>
    <w:p w14:paraId="50E33B4A" w14:textId="77777777" w:rsidR="00000000" w:rsidRDefault="00000000">
      <w:pPr>
        <w:numPr>
          <w:ilvl w:val="0"/>
          <w:numId w:val="2"/>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Sabit gaz/buhar (LEL) dedektörleri ile sürekli izleme yapılır, %20 LEL'de uyarı verir.</w:t>
      </w:r>
    </w:p>
    <w:p w14:paraId="38665A54" w14:textId="77777777" w:rsidR="00000000" w:rsidRDefault="00000000">
      <w:pPr>
        <w:pStyle w:val="Balk3"/>
        <w:rPr>
          <w:rFonts w:ascii="Calibri" w:eastAsia="Times New Roman" w:hAnsi="Calibri" w:cs="Calibri"/>
        </w:rPr>
      </w:pPr>
      <w:r>
        <w:rPr>
          <w:rFonts w:ascii="Calibri" w:eastAsia="Times New Roman" w:hAnsi="Calibri" w:cs="Calibri"/>
        </w:rPr>
        <w:t>11.2. Ateşleme Kaynaklarını Önleyici Önlemler</w:t>
      </w:r>
    </w:p>
    <w:p w14:paraId="49A41731" w14:textId="77777777" w:rsidR="00000000" w:rsidRDefault="00000000">
      <w:pPr>
        <w:numPr>
          <w:ilvl w:val="0"/>
          <w:numId w:val="3"/>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Tehlikeli bölgelerdeki tüm elektrikli ekipman ve aydınlatma, bölgeye uygun Ex (patlamaya karşı korumalı) tipte seçilir (2014/34/AB).</w:t>
      </w:r>
    </w:p>
    <w:p w14:paraId="371A8200" w14:textId="77777777" w:rsidR="00000000" w:rsidRDefault="00000000">
      <w:pPr>
        <w:numPr>
          <w:ilvl w:val="0"/>
          <w:numId w:val="3"/>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Tüm iletken ekipman, tank ve dolum hatları topraklanır ve eşpotansiyel bağlantı yapılır; statik elektrik boşaltılır.</w:t>
      </w:r>
    </w:p>
    <w:p w14:paraId="0EFA139E" w14:textId="77777777" w:rsidR="00000000" w:rsidRDefault="00000000">
      <w:pPr>
        <w:numPr>
          <w:ilvl w:val="0"/>
          <w:numId w:val="3"/>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Ateşli çalışma (kaynak, taşlama) yalnızca İş İzni Sistemi ve gaz ölçümü ile yapılır.</w:t>
      </w:r>
    </w:p>
    <w:p w14:paraId="2ACF512B" w14:textId="77777777" w:rsidR="00000000" w:rsidRDefault="00000000">
      <w:pPr>
        <w:numPr>
          <w:ilvl w:val="0"/>
          <w:numId w:val="3"/>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Tehlikeli bölgelerde sigara içmek yasaktır; kıvılcım çıkarmayan (antistatik) el aletleri kullanılır.</w:t>
      </w:r>
    </w:p>
    <w:p w14:paraId="6E699E02" w14:textId="77777777" w:rsidR="00000000" w:rsidRDefault="00000000">
      <w:pPr>
        <w:numPr>
          <w:ilvl w:val="0"/>
          <w:numId w:val="3"/>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Paratoner ve topraklama tesisatı yıllık olarak ölçülür ve raporlanır.</w:t>
      </w:r>
    </w:p>
    <w:p w14:paraId="64DFA630" w14:textId="77777777" w:rsidR="00000000" w:rsidRDefault="00000000">
      <w:pPr>
        <w:pStyle w:val="Balk3"/>
        <w:rPr>
          <w:rFonts w:ascii="Calibri" w:eastAsia="Times New Roman" w:hAnsi="Calibri" w:cs="Calibri"/>
        </w:rPr>
      </w:pPr>
      <w:r>
        <w:rPr>
          <w:rFonts w:ascii="Calibri" w:eastAsia="Times New Roman" w:hAnsi="Calibri" w:cs="Calibri"/>
        </w:rPr>
        <w:t>11.3. Patlamanın Zararlı Etkilerini Azaltıcı Önlemler</w:t>
      </w:r>
    </w:p>
    <w:p w14:paraId="72F77C31" w14:textId="77777777" w:rsidR="00000000" w:rsidRDefault="00000000">
      <w:pPr>
        <w:numPr>
          <w:ilvl w:val="0"/>
          <w:numId w:val="4"/>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Depo ve hazırlama bölümünde basınç tahliye (patlama tahliye) panelleri / hafif çatı uygulaması bulunur.</w:t>
      </w:r>
    </w:p>
    <w:p w14:paraId="1B644E34" w14:textId="77777777" w:rsidR="00000000" w:rsidRDefault="00000000">
      <w:pPr>
        <w:numPr>
          <w:ilvl w:val="0"/>
          <w:numId w:val="4"/>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Acil durdurma butonları ve otomatik havalandırma devreye alma sistemi mevcuttur.</w:t>
      </w:r>
    </w:p>
    <w:p w14:paraId="7218D1AB" w14:textId="77777777" w:rsidR="00000000" w:rsidRDefault="00000000">
      <w:pPr>
        <w:numPr>
          <w:ilvl w:val="0"/>
          <w:numId w:val="4"/>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Yangın söndürme sistemi (köpük/kuru kimyevi) ve seyyar söndürücüler erişilebilir konumdadır.</w:t>
      </w:r>
    </w:p>
    <w:p w14:paraId="3D30707A" w14:textId="77777777" w:rsidR="00000000" w:rsidRDefault="00000000">
      <w:pPr>
        <w:numPr>
          <w:ilvl w:val="0"/>
          <w:numId w:val="4"/>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Acil durum eylem planı, tahliye tatbikatları ve ilk müdahale ekipleri oluşturulmuştur (bkz. EK-2).</w:t>
      </w:r>
    </w:p>
    <w:p w14:paraId="0657CCC5" w14:textId="77777777" w:rsidR="00000000" w:rsidRDefault="00000000">
      <w:pPr>
        <w:pStyle w:val="Balk3"/>
        <w:rPr>
          <w:rFonts w:ascii="Calibri" w:eastAsia="Times New Roman" w:hAnsi="Calibri" w:cs="Calibri"/>
        </w:rPr>
      </w:pPr>
      <w:r>
        <w:rPr>
          <w:rFonts w:ascii="Calibri" w:eastAsia="Times New Roman" w:hAnsi="Calibri" w:cs="Calibri"/>
        </w:rPr>
        <w:t>11.4. Organizasyonel Önlemler</w:t>
      </w:r>
    </w:p>
    <w:p w14:paraId="715749E0" w14:textId="77777777" w:rsidR="00000000" w:rsidRDefault="00000000">
      <w:pPr>
        <w:numPr>
          <w:ilvl w:val="0"/>
          <w:numId w:val="5"/>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Çalışanlara patlayıcı ortam, tehlikeli bölgeler ve güvenli çalışma kuralları hakkında eğitim verilir (kayıt tutulur).</w:t>
      </w:r>
    </w:p>
    <w:p w14:paraId="3CBA0BF0" w14:textId="77777777" w:rsidR="00000000" w:rsidRDefault="00000000">
      <w:pPr>
        <w:numPr>
          <w:ilvl w:val="0"/>
          <w:numId w:val="5"/>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Tehlikeli bölgeler, sarı zemin üzerine siyah 'EX' uyarı işareti ile sınırları belirlenerek işaretlenir.</w:t>
      </w:r>
    </w:p>
    <w:p w14:paraId="4868CFE0" w14:textId="77777777" w:rsidR="00000000" w:rsidRDefault="00000000">
      <w:pPr>
        <w:numPr>
          <w:ilvl w:val="0"/>
          <w:numId w:val="5"/>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Patlamaya karşı korumalı ekipmanların periyodik kontrol ve bakımları planlanır ve kayıt altına alınır.</w:t>
      </w:r>
    </w:p>
    <w:p w14:paraId="77FBAE78" w14:textId="77777777" w:rsidR="00000000" w:rsidRDefault="00000000">
      <w:pPr>
        <w:numPr>
          <w:ilvl w:val="0"/>
          <w:numId w:val="5"/>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Yüklenici/alt işveren ve ziyaretçiler için giriş ve çalışma kuralları belirlenmiştir.</w:t>
      </w:r>
    </w:p>
    <w:p w14:paraId="0D613998" w14:textId="77777777" w:rsidR="00000000" w:rsidRDefault="00000000">
      <w:pPr>
        <w:pStyle w:val="Balk2"/>
        <w:rPr>
          <w:rFonts w:ascii="Calibri" w:eastAsia="Times New Roman" w:hAnsi="Calibri" w:cs="Calibri"/>
        </w:rPr>
      </w:pPr>
      <w:r>
        <w:rPr>
          <w:rFonts w:ascii="Calibri" w:eastAsia="Times New Roman" w:hAnsi="Calibri" w:cs="Calibri"/>
        </w:rPr>
        <w:t>12. KORUMA ÖNLEMLERİNİN KOORDİNASYONU VE SORUMLULUKLAR</w:t>
      </w:r>
    </w:p>
    <w:p w14:paraId="65EB2367" w14:textId="77777777" w:rsidR="00000000" w:rsidRDefault="00000000">
      <w:pPr>
        <w:pStyle w:val="NormalWeb"/>
        <w:rPr>
          <w:rFonts w:ascii="Calibri" w:hAnsi="Calibri" w:cs="Calibri"/>
          <w:sz w:val="22"/>
          <w:szCs w:val="22"/>
        </w:rPr>
      </w:pPr>
      <w:r>
        <w:rPr>
          <w:rFonts w:ascii="Calibri" w:hAnsi="Calibri" w:cs="Calibri"/>
          <w:sz w:val="22"/>
          <w:szCs w:val="22"/>
        </w:rPr>
        <w:t>Aynı çalışma alanında birden fazla işverene ait çalışan bulunması halinde (alt işveren, yüklenici), her işveren kendi çalışanlarının güvenliğinden sorumlu olmakla birlikte, patlamadan korunma önlemlerinin koordinasyonundan asıl işveren ({isyeriUnvani}) sorumludur.</w:t>
      </w:r>
    </w:p>
    <w:tbl>
      <w:tblPr>
        <w:tblW w:w="5000" w:type="pct"/>
        <w:tblLook w:val="04A0" w:firstRow="1" w:lastRow="0" w:firstColumn="1" w:lastColumn="0" w:noHBand="0" w:noVBand="1"/>
      </w:tblPr>
      <w:tblGrid>
        <w:gridCol w:w="1801"/>
        <w:gridCol w:w="7255"/>
      </w:tblGrid>
      <w:tr w:rsidR="00000000" w14:paraId="1BDAD8D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BA268D"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Taraf</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8659390"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Sorumluluk</w:t>
            </w:r>
          </w:p>
        </w:tc>
      </w:tr>
      <w:tr w:rsidR="00000000" w14:paraId="7CBA374B"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5BCE48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İşveren / Vekili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96F82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PKD'nin hazırlatılması, önlemlerin uygulanması için kaynak ayrılması, gözden geçirme.</w:t>
            </w:r>
          </w:p>
        </w:tc>
      </w:tr>
      <w:tr w:rsidR="00000000" w14:paraId="119D50A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EE83D9F"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İSG Uzmanı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E90BC8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 değerlendirmesi, bölge sınıflandırması, PKD'nin teknik içeriği ve güncelliği.</w:t>
            </w:r>
          </w:p>
        </w:tc>
      </w:tr>
      <w:tr w:rsidR="00000000" w14:paraId="251387CC"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B2ACBFC"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İşyeri Hekimi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3E075C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Sağlık gözetimi, acil durumlarda tıbbi müdahale planı.</w:t>
            </w:r>
          </w:p>
        </w:tc>
      </w:tr>
      <w:tr w:rsidR="00000000" w14:paraId="6C88C2A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4D668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lastRenderedPageBreak/>
              <w:t>Bölüm Sorumluları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963964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Önlemlerin sahada uygulanması, eğitimlerin takibi, uygunsuzluk bildirimi.</w:t>
            </w:r>
          </w:p>
        </w:tc>
      </w:tr>
      <w:tr w:rsidR="00000000" w14:paraId="2D6E5B6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A1A9CF"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Çalışanlar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5FC5C5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Kurallara uyum, kişisel koruyucu donanım kullanımı, tehlike bildirimi.</w:t>
            </w:r>
          </w:p>
        </w:tc>
      </w:tr>
    </w:tbl>
    <w:p w14:paraId="7DB55F4C" w14:textId="77777777" w:rsidR="00000000" w:rsidRDefault="00000000">
      <w:pPr>
        <w:pStyle w:val="Balk2"/>
        <w:rPr>
          <w:rFonts w:ascii="Calibri" w:eastAsia="Times New Roman" w:hAnsi="Calibri" w:cs="Calibri"/>
        </w:rPr>
      </w:pPr>
      <w:r>
        <w:rPr>
          <w:rFonts w:ascii="Calibri" w:eastAsia="Times New Roman" w:hAnsi="Calibri" w:cs="Calibri"/>
        </w:rPr>
        <w:t>13. SONUÇ VE GÜNCELLEME</w:t>
      </w:r>
    </w:p>
    <w:p w14:paraId="3215E17E" w14:textId="77777777" w:rsidR="00000000" w:rsidRDefault="00000000">
      <w:pPr>
        <w:pStyle w:val="NormalWeb"/>
        <w:rPr>
          <w:rFonts w:ascii="Calibri" w:hAnsi="Calibri" w:cs="Calibri"/>
          <w:sz w:val="22"/>
          <w:szCs w:val="22"/>
        </w:rPr>
      </w:pPr>
      <w:r>
        <w:rPr>
          <w:rFonts w:ascii="Calibri" w:hAnsi="Calibri" w:cs="Calibri"/>
          <w:sz w:val="22"/>
          <w:szCs w:val="22"/>
        </w:rPr>
        <w:t>Bu Patlamadan Korunma Dokümanı, işin başlamasından önce hazırlanmıştır. İşyerinde, iş ekipmanında veya iş organizasyonunda önemli bir değişiklik, genişleme veya tadilat yapıldığında ya da en geç yıllık periyotlarla yeniden gözden geçirilerek güncellenecektir. Belirlenen önlemler uygulandığında işletmedeki patlama riskleri kabul edilebilir seviyeye indirilmektedir.</w:t>
      </w:r>
    </w:p>
    <w:p w14:paraId="0C78746C" w14:textId="77777777" w:rsidR="00000000" w:rsidRDefault="00000000">
      <w:pPr>
        <w:pStyle w:val="Balk2"/>
        <w:rPr>
          <w:rFonts w:ascii="Calibri" w:eastAsia="Times New Roman" w:hAnsi="Calibri" w:cs="Calibri"/>
        </w:rPr>
      </w:pPr>
      <w:r>
        <w:rPr>
          <w:rFonts w:ascii="Calibri" w:eastAsia="Times New Roman" w:hAnsi="Calibri" w:cs="Calibri"/>
        </w:rPr>
        <w:t>14. EKLER</w:t>
      </w:r>
    </w:p>
    <w:p w14:paraId="0416F7F4"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EK-1: Patlama Risklerinin Değerlendirilmesi Formu</w:t>
      </w:r>
    </w:p>
    <w:p w14:paraId="0032FF45"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EK-2: Patlama / Acil Durum Eylem Planı</w:t>
      </w:r>
    </w:p>
    <w:p w14:paraId="3F77B350"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EK-3: Detaylı Risk Analizi Tablosu</w:t>
      </w:r>
    </w:p>
    <w:p w14:paraId="6E26D535"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EK-4: Tehlikeli Bölge (Zone) Çizimleri ve Saha Yerleşim Planı</w:t>
      </w:r>
    </w:p>
    <w:p w14:paraId="62CE55FA"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EK-5: Yanıcı Kimyasallara Ait Güvenlik Bilgi Formları (GBF/SDS)</w:t>
      </w:r>
    </w:p>
    <w:p w14:paraId="20C53E40"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EK-6: Ex Ekipman Envanteri ve Uygunluk Belgeleri</w:t>
      </w:r>
    </w:p>
    <w:p w14:paraId="49F1DC57"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EK-7: Topraklama ve Paratoner Ölçüm Raporları</w:t>
      </w:r>
    </w:p>
    <w:p w14:paraId="5E9ECD32" w14:textId="77777777" w:rsidR="00000000" w:rsidRDefault="00000000">
      <w:pPr>
        <w:numPr>
          <w:ilvl w:val="0"/>
          <w:numId w:val="6"/>
        </w:numPr>
        <w:spacing w:before="100" w:beforeAutospacing="1" w:after="75"/>
        <w:jc w:val="both"/>
        <w:rPr>
          <w:rFonts w:ascii="Calibri" w:eastAsia="Times New Roman" w:hAnsi="Calibri" w:cs="Calibri"/>
          <w:sz w:val="22"/>
          <w:szCs w:val="22"/>
        </w:rPr>
      </w:pPr>
      <w:r>
        <w:rPr>
          <w:rFonts w:ascii="Calibri" w:eastAsia="Times New Roman" w:hAnsi="Calibri" w:cs="Calibri"/>
          <w:sz w:val="22"/>
          <w:szCs w:val="22"/>
        </w:rPr>
        <w:t>EK-8: Eğitim Katılım ve Tatbikat Kayıtları</w:t>
      </w:r>
    </w:p>
    <w:p w14:paraId="0D32DDF8" w14:textId="77777777" w:rsidR="00000000" w:rsidRDefault="00000000">
      <w:pPr>
        <w:pStyle w:val="Balk2"/>
        <w:rPr>
          <w:rFonts w:ascii="Calibri" w:eastAsia="Times New Roman" w:hAnsi="Calibri" w:cs="Calibri"/>
        </w:rPr>
      </w:pPr>
      <w:r>
        <w:rPr>
          <w:rFonts w:ascii="Calibri" w:eastAsia="Times New Roman" w:hAnsi="Calibri" w:cs="Calibri"/>
        </w:rPr>
        <w:t>ONAY</w:t>
      </w:r>
    </w:p>
    <w:tbl>
      <w:tblPr>
        <w:tblW w:w="5000" w:type="pct"/>
        <w:tblLook w:val="04A0" w:firstRow="1" w:lastRow="0" w:firstColumn="1" w:lastColumn="0" w:noHBand="0" w:noVBand="1"/>
      </w:tblPr>
      <w:tblGrid>
        <w:gridCol w:w="2989"/>
        <w:gridCol w:w="2988"/>
        <w:gridCol w:w="3079"/>
      </w:tblGrid>
      <w:tr w:rsidR="00000000" w14:paraId="0C3FA218" w14:textId="77777777">
        <w:tc>
          <w:tcPr>
            <w:tcW w:w="165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7A2EA9"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Hazırlayan (İSG Uzmanı)</w:t>
            </w:r>
            <w:r>
              <w:rPr>
                <w:rFonts w:ascii="Calibri" w:eastAsia="Times New Roman" w:hAnsi="Calibri" w:cs="Calibri"/>
                <w:sz w:val="22"/>
                <w:szCs w:val="22"/>
              </w:rPr>
              <w:br/>
            </w:r>
            <w:r>
              <w:rPr>
                <w:rFonts w:ascii="Calibri" w:eastAsia="Times New Roman" w:hAnsi="Calibri" w:cs="Calibri"/>
                <w:sz w:val="22"/>
                <w:szCs w:val="22"/>
              </w:rPr>
              <w:br/>
              <w:t>{hazirlayanAdSoyad}</w:t>
            </w:r>
            <w:r>
              <w:rPr>
                <w:rFonts w:ascii="Calibri" w:eastAsia="Times New Roman" w:hAnsi="Calibri" w:cs="Calibri"/>
                <w:sz w:val="22"/>
                <w:szCs w:val="22"/>
              </w:rPr>
              <w:br/>
              <w:t>{hazirlayanUnvan}</w:t>
            </w:r>
            <w:r>
              <w:rPr>
                <w:rFonts w:ascii="Calibri" w:eastAsia="Times New Roman" w:hAnsi="Calibri" w:cs="Calibri"/>
                <w:sz w:val="22"/>
                <w:szCs w:val="22"/>
              </w:rPr>
              <w:br/>
              <w:t>İmza:</w:t>
            </w:r>
            <w:r>
              <w:rPr>
                <w:rFonts w:ascii="Calibri" w:eastAsia="Times New Roman" w:hAnsi="Calibri" w:cs="Calibri"/>
                <w:sz w:val="22"/>
                <w:szCs w:val="22"/>
              </w:rPr>
              <w:br/>
              <w:t>Tarih: {onayTarihi}</w:t>
            </w:r>
          </w:p>
        </w:tc>
        <w:tc>
          <w:tcPr>
            <w:tcW w:w="165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5CF2BF"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Kontrol Eden (İşyeri Hekimi)</w:t>
            </w:r>
            <w:r>
              <w:rPr>
                <w:rFonts w:ascii="Calibri" w:eastAsia="Times New Roman" w:hAnsi="Calibri" w:cs="Calibri"/>
                <w:sz w:val="22"/>
                <w:szCs w:val="22"/>
              </w:rPr>
              <w:br/>
            </w:r>
            <w:r>
              <w:rPr>
                <w:rFonts w:ascii="Calibri" w:eastAsia="Times New Roman" w:hAnsi="Calibri" w:cs="Calibri"/>
                <w:sz w:val="22"/>
                <w:szCs w:val="22"/>
              </w:rPr>
              <w:br/>
              <w:t>{kontrolEdenAdSoyad}</w:t>
            </w:r>
            <w:r>
              <w:rPr>
                <w:rFonts w:ascii="Calibri" w:eastAsia="Times New Roman" w:hAnsi="Calibri" w:cs="Calibri"/>
                <w:sz w:val="22"/>
                <w:szCs w:val="22"/>
              </w:rPr>
              <w:br/>
              <w:t>{kontrolEdenUnvan}</w:t>
            </w:r>
            <w:r>
              <w:rPr>
                <w:rFonts w:ascii="Calibri" w:eastAsia="Times New Roman" w:hAnsi="Calibri" w:cs="Calibri"/>
                <w:sz w:val="22"/>
                <w:szCs w:val="22"/>
              </w:rPr>
              <w:br/>
              <w:t>İmza:</w:t>
            </w:r>
            <w:r>
              <w:rPr>
                <w:rFonts w:ascii="Calibri" w:eastAsia="Times New Roman" w:hAnsi="Calibri" w:cs="Calibri"/>
                <w:sz w:val="22"/>
                <w:szCs w:val="22"/>
              </w:rPr>
              <w:br/>
              <w:t>Tarih: {onayTarihi}</w:t>
            </w:r>
          </w:p>
        </w:tc>
        <w:tc>
          <w:tcPr>
            <w:tcW w:w="1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D94BD9"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Onaylayan (İşveren/Vekili)</w:t>
            </w:r>
            <w:r>
              <w:rPr>
                <w:rFonts w:ascii="Calibri" w:eastAsia="Times New Roman" w:hAnsi="Calibri" w:cs="Calibri"/>
                <w:sz w:val="22"/>
                <w:szCs w:val="22"/>
              </w:rPr>
              <w:br/>
            </w:r>
            <w:r>
              <w:rPr>
                <w:rFonts w:ascii="Calibri" w:eastAsia="Times New Roman" w:hAnsi="Calibri" w:cs="Calibri"/>
                <w:sz w:val="22"/>
                <w:szCs w:val="22"/>
              </w:rPr>
              <w:br/>
              <w:t>{onaylayanAdSoyad}</w:t>
            </w:r>
            <w:r>
              <w:rPr>
                <w:rFonts w:ascii="Calibri" w:eastAsia="Times New Roman" w:hAnsi="Calibri" w:cs="Calibri"/>
                <w:sz w:val="22"/>
                <w:szCs w:val="22"/>
              </w:rPr>
              <w:br/>
              <w:t>{onaylayanUnvan}</w:t>
            </w:r>
            <w:r>
              <w:rPr>
                <w:rFonts w:ascii="Calibri" w:eastAsia="Times New Roman" w:hAnsi="Calibri" w:cs="Calibri"/>
                <w:sz w:val="22"/>
                <w:szCs w:val="22"/>
              </w:rPr>
              <w:br/>
              <w:t>İmza:</w:t>
            </w:r>
            <w:r>
              <w:rPr>
                <w:rFonts w:ascii="Calibri" w:eastAsia="Times New Roman" w:hAnsi="Calibri" w:cs="Calibri"/>
                <w:sz w:val="22"/>
                <w:szCs w:val="22"/>
              </w:rPr>
              <w:br/>
              <w:t>Tarih: {onayTarihi}</w:t>
            </w:r>
          </w:p>
        </w:tc>
      </w:tr>
    </w:tbl>
    <w:p w14:paraId="003A3988" w14:textId="77777777" w:rsidR="00EF4BC6" w:rsidRDefault="00EF4BC6">
      <w:pPr>
        <w:rPr>
          <w:rFonts w:eastAsia="Times New Roman"/>
        </w:rPr>
      </w:pPr>
    </w:p>
    <w:sectPr w:rsidR="00EF4BC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E6A11"/>
    <w:multiLevelType w:val="multilevel"/>
    <w:tmpl w:val="99E43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65583F"/>
    <w:multiLevelType w:val="multilevel"/>
    <w:tmpl w:val="4CD89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344C2E"/>
    <w:multiLevelType w:val="multilevel"/>
    <w:tmpl w:val="85881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419EC"/>
    <w:multiLevelType w:val="multilevel"/>
    <w:tmpl w:val="3CAE5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5D6666"/>
    <w:multiLevelType w:val="multilevel"/>
    <w:tmpl w:val="0A26A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391A6D"/>
    <w:multiLevelType w:val="multilevel"/>
    <w:tmpl w:val="E7261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2099323945">
    <w:abstractNumId w:val="4"/>
    <w:lvlOverride w:ilvl="0"/>
    <w:lvlOverride w:ilvl="1"/>
    <w:lvlOverride w:ilvl="2"/>
    <w:lvlOverride w:ilvl="3"/>
    <w:lvlOverride w:ilvl="4"/>
    <w:lvlOverride w:ilvl="5"/>
    <w:lvlOverride w:ilvl="6"/>
    <w:lvlOverride w:ilvl="7"/>
    <w:lvlOverride w:ilvl="8"/>
  </w:num>
  <w:num w:numId="2" w16cid:durableId="618491559">
    <w:abstractNumId w:val="0"/>
    <w:lvlOverride w:ilvl="0"/>
    <w:lvlOverride w:ilvl="1"/>
    <w:lvlOverride w:ilvl="2"/>
    <w:lvlOverride w:ilvl="3"/>
    <w:lvlOverride w:ilvl="4"/>
    <w:lvlOverride w:ilvl="5"/>
    <w:lvlOverride w:ilvl="6"/>
    <w:lvlOverride w:ilvl="7"/>
    <w:lvlOverride w:ilvl="8"/>
  </w:num>
  <w:num w:numId="3" w16cid:durableId="859012130">
    <w:abstractNumId w:val="2"/>
    <w:lvlOverride w:ilvl="0"/>
    <w:lvlOverride w:ilvl="1"/>
    <w:lvlOverride w:ilvl="2"/>
    <w:lvlOverride w:ilvl="3"/>
    <w:lvlOverride w:ilvl="4"/>
    <w:lvlOverride w:ilvl="5"/>
    <w:lvlOverride w:ilvl="6"/>
    <w:lvlOverride w:ilvl="7"/>
    <w:lvlOverride w:ilvl="8"/>
  </w:num>
  <w:num w:numId="4" w16cid:durableId="705258771">
    <w:abstractNumId w:val="3"/>
    <w:lvlOverride w:ilvl="0"/>
    <w:lvlOverride w:ilvl="1"/>
    <w:lvlOverride w:ilvl="2"/>
    <w:lvlOverride w:ilvl="3"/>
    <w:lvlOverride w:ilvl="4"/>
    <w:lvlOverride w:ilvl="5"/>
    <w:lvlOverride w:ilvl="6"/>
    <w:lvlOverride w:ilvl="7"/>
    <w:lvlOverride w:ilvl="8"/>
  </w:num>
  <w:num w:numId="5" w16cid:durableId="455568806">
    <w:abstractNumId w:val="5"/>
    <w:lvlOverride w:ilvl="0"/>
    <w:lvlOverride w:ilvl="1"/>
    <w:lvlOverride w:ilvl="2"/>
    <w:lvlOverride w:ilvl="3"/>
    <w:lvlOverride w:ilvl="4"/>
    <w:lvlOverride w:ilvl="5"/>
    <w:lvlOverride w:ilvl="6"/>
    <w:lvlOverride w:ilvl="7"/>
    <w:lvlOverride w:ilvl="8"/>
  </w:num>
  <w:num w:numId="6" w16cid:durableId="617763556">
    <w:abstractNumId w:val="1"/>
    <w:lvlOverride w:ilvl="0"/>
    <w:lvlOverride w:ilvl="1"/>
    <w:lvlOverride w:ilvl="2"/>
    <w:lvlOverride w:ilvl="3"/>
    <w:lvlOverride w:ilvl="4"/>
    <w:lvlOverride w:ilvl="5"/>
    <w:lvlOverride w:ilvl="6"/>
    <w:lvlOverride w:ilvl="7"/>
    <w:lvlOverride w:ilv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4254D"/>
    <w:rsid w:val="0034254D"/>
    <w:rsid w:val="00671E24"/>
    <w:rsid w:val="00EF4BC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AC8FE3"/>
  <w15:chartTrackingRefBased/>
  <w15:docId w15:val="{36153104-61AA-4A49-9B22-9DBB1824B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Balk1">
    <w:name w:val="heading 1"/>
    <w:basedOn w:val="Normal"/>
    <w:link w:val="Balk1Char"/>
    <w:uiPriority w:val="9"/>
    <w:qFormat/>
    <w:pPr>
      <w:spacing w:before="225" w:after="150"/>
      <w:jc w:val="center"/>
      <w:outlineLvl w:val="0"/>
    </w:pPr>
    <w:rPr>
      <w:b/>
      <w:bCs/>
      <w:kern w:val="36"/>
      <w:sz w:val="28"/>
      <w:szCs w:val="28"/>
    </w:rPr>
  </w:style>
  <w:style w:type="paragraph" w:styleId="Balk2">
    <w:name w:val="heading 2"/>
    <w:basedOn w:val="Normal"/>
    <w:link w:val="Balk2Char"/>
    <w:uiPriority w:val="9"/>
    <w:qFormat/>
    <w:pPr>
      <w:spacing w:before="225" w:after="150"/>
      <w:outlineLvl w:val="1"/>
    </w:pPr>
    <w:rPr>
      <w:b/>
      <w:bCs/>
    </w:rPr>
  </w:style>
  <w:style w:type="paragraph" w:styleId="Balk3">
    <w:name w:val="heading 3"/>
    <w:basedOn w:val="Normal"/>
    <w:link w:val="Balk3Char"/>
    <w:uiPriority w:val="9"/>
    <w:qFormat/>
    <w:pPr>
      <w:spacing w:before="150" w:after="150"/>
      <w:outlineLvl w:val="2"/>
    </w:pPr>
    <w:rPr>
      <w:b/>
      <w:bCs/>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locked/>
    <w:rPr>
      <w:rFonts w:asciiTheme="majorHAnsi" w:eastAsiaTheme="majorEastAsia" w:hAnsiTheme="majorHAnsi" w:cstheme="majorBidi" w:hint="default"/>
      <w:color w:val="0F4761" w:themeColor="accent1" w:themeShade="BF"/>
      <w:sz w:val="40"/>
      <w:szCs w:val="40"/>
    </w:rPr>
  </w:style>
  <w:style w:type="character" w:customStyle="1" w:styleId="Balk2Char">
    <w:name w:val="Başlık 2 Char"/>
    <w:basedOn w:val="VarsaylanParagrafYazTipi"/>
    <w:link w:val="Balk2"/>
    <w:uiPriority w:val="9"/>
    <w:semiHidden/>
    <w:locked/>
    <w:rPr>
      <w:rFonts w:asciiTheme="majorHAnsi" w:eastAsiaTheme="majorEastAsia" w:hAnsiTheme="majorHAnsi" w:cstheme="majorBidi" w:hint="default"/>
      <w:color w:val="0F4761" w:themeColor="accent1" w:themeShade="BF"/>
      <w:sz w:val="32"/>
      <w:szCs w:val="32"/>
    </w:rPr>
  </w:style>
  <w:style w:type="character" w:customStyle="1" w:styleId="Balk3Char">
    <w:name w:val="Başlık 3 Char"/>
    <w:basedOn w:val="VarsaylanParagrafYazTipi"/>
    <w:link w:val="Balk3"/>
    <w:uiPriority w:val="9"/>
    <w:semiHidden/>
    <w:locked/>
    <w:rPr>
      <w:rFonts w:asciiTheme="minorHAnsi" w:eastAsiaTheme="majorEastAsia" w:hAnsiTheme="minorHAnsi" w:cstheme="majorBidi" w:hint="default"/>
      <w:color w:val="0F4761" w:themeColor="accent1" w:themeShade="BF"/>
      <w:sz w:val="28"/>
      <w:szCs w:val="28"/>
    </w:rPr>
  </w:style>
  <w:style w:type="paragraph" w:customStyle="1" w:styleId="msonormal0">
    <w:name w:val="msonormal"/>
    <w:basedOn w:val="Normal"/>
    <w:uiPriority w:val="99"/>
    <w:semiHidden/>
    <w:pPr>
      <w:spacing w:before="100" w:beforeAutospacing="1" w:after="150"/>
      <w:jc w:val="both"/>
    </w:pPr>
  </w:style>
  <w:style w:type="paragraph" w:styleId="NormalWeb">
    <w:name w:val="Normal (Web)"/>
    <w:basedOn w:val="Normal"/>
    <w:uiPriority w:val="99"/>
    <w:semiHidden/>
    <w:unhideWhenUsed/>
    <w:pPr>
      <w:spacing w:before="100" w:beforeAutospacing="1" w:after="150"/>
      <w:jc w:val="both"/>
    </w:pPr>
  </w:style>
  <w:style w:type="paragraph" w:customStyle="1" w:styleId="center">
    <w:name w:val="center"/>
    <w:basedOn w:val="Normal"/>
    <w:uiPriority w:val="99"/>
    <w:semiHidden/>
    <w:pPr>
      <w:spacing w:before="100" w:beforeAutospacing="1" w:after="75"/>
      <w:jc w:val="center"/>
    </w:pPr>
  </w:style>
  <w:style w:type="paragraph" w:customStyle="1" w:styleId="bold">
    <w:name w:val="bold"/>
    <w:basedOn w:val="Normal"/>
    <w:uiPriority w:val="99"/>
    <w:semiHidden/>
    <w:pPr>
      <w:spacing w:before="100" w:beforeAutospacing="1" w:after="75"/>
      <w:jc w:val="both"/>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1496</Words>
  <Characters>8530</Characters>
  <Application>Microsoft Office Word</Application>
  <DocSecurity>0</DocSecurity>
  <Lines>71</Lines>
  <Paragraphs>20</Paragraphs>
  <ScaleCrop>false</ScaleCrop>
  <Company/>
  <LinksUpToDate>false</LinksUpToDate>
  <CharactersWithSpaces>10006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KASIM KIRBAŞ</dc:creator>
  <cp:keywords/>
  <dc:description/>
  <cp:lastModifiedBy>KASIM KIRBAŞ</cp:lastModifiedBy>
  <cp:revision>2</cp:revision>
  <dcterms:created xsi:type="dcterms:W3CDTF">2026-07-19T17:55:00Z</dcterms:created>
  <dcterms:modified xsi:type="dcterms:W3CDTF">2026-07-19T17:55:00Z</dcterms:modified>
</cp:coreProperties>
</file>