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8eaadb" w:space="0" w:sz="6" w:val="single"/>
          <w:left w:color="8eaadb" w:space="0" w:sz="6" w:val="single"/>
          <w:bottom w:color="8eaadb" w:space="0" w:sz="6" w:val="single"/>
          <w:right w:color="8eaadb" w:space="0" w:sz="6" w:val="single"/>
          <w:insideH w:color="8eaadb" w:space="0" w:sz="6" w:val="single"/>
          <w:insideV w:color="8eaadb" w:space="0" w:sz="6" w:val="single"/>
        </w:tblBorders>
        <w:tblLayout w:type="fixed"/>
        <w:tblLook w:val="0600"/>
      </w:tblPr>
      <w:tblGrid>
        <w:gridCol w:w="1872"/>
        <w:gridCol w:w="4680"/>
        <w:gridCol w:w="2808"/>
        <w:tblGridChange w:id="0">
          <w:tblGrid>
            <w:gridCol w:w="1872"/>
            <w:gridCol w:w="4680"/>
            <w:gridCol w:w="2808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</w:tc>
        <w:tc>
          <w:tcPr>
            <w:vMerge w:val="restart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Doküman No: {dokumanNo}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Yayın Tarihi: {date}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Revizyon No/Tarih: {revizyonNoTarih}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Sayfa No: 1 / 1</w:t>
            </w:r>
          </w:p>
        </w:tc>
      </w:tr>
    </w:tbl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Layout w:type="fixed"/>
        <w:tblLook w:val="0600"/>
      </w:tblPr>
      <w:tblGrid>
        <w:gridCol w:w="2340"/>
        <w:gridCol w:w="7020"/>
        <w:tblGridChange w:id="0">
          <w:tblGrid>
            <w:gridCol w:w="2340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Tesis / Santral Adı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{tesisAdi}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Tesis Adresi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{tesisAdresi}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İşveren / İşveren Vekili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{companyName} – {isverenAdSoyad} ({isverenUnvan})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Düzenleme Tarihi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{date}</w:t>
            </w:r>
          </w:p>
        </w:tc>
      </w:tr>
    </w:tbl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{#personeller} {/personeller}</w:t>
      </w:r>
    </w:p>
    <w:tbl>
      <w:tblPr>
        <w:tblStyle w:val="Table3"/>
        <w:tblW w:w="9360.0" w:type="dxa"/>
        <w:jc w:val="left"/>
        <w:tblBorders>
          <w:top w:color="8eaadb" w:space="0" w:sz="6" w:val="single"/>
          <w:left w:color="8eaadb" w:space="0" w:sz="6" w:val="single"/>
          <w:bottom w:color="8eaadb" w:space="0" w:sz="6" w:val="single"/>
          <w:right w:color="8eaadb" w:space="0" w:sz="6" w:val="single"/>
          <w:insideH w:color="8eaadb" w:space="0" w:sz="6" w:val="single"/>
          <w:insideV w:color="8eaadb" w:space="0" w:sz="6" w:val="single"/>
        </w:tblBorders>
        <w:tblLayout w:type="fixed"/>
        <w:tblLook w:val="060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  <w:tblGridChange w:id="0">
          <w:tblGrid>
            <w:gridCol w:w="1040"/>
            <w:gridCol w:w="1040"/>
            <w:gridCol w:w="1040"/>
            <w:gridCol w:w="1040"/>
            <w:gridCol w:w="1040"/>
            <w:gridCol w:w="1040"/>
            <w:gridCol w:w="1040"/>
            <w:gridCol w:w="1040"/>
            <w:gridCol w:w="1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S.No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Adı Soyadı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Görevi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Belge No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Belge Türü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Düzenleyen Kurum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Düzenlenme Tarihi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Yenileme Tarihi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Durum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{siraNo}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{adSoyad}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{gorevi}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{belgeNo}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{belgeTuru}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{kurum}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{duzenlenmeTarihi}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{yenilemeTarihi}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{durum}</w:t>
            </w:r>
          </w:p>
        </w:tc>
      </w:tr>
    </w:tbl>
    <w:p w:rsidR="00000000" w:rsidDel="00000000" w:rsidP="00000000" w:rsidRDefault="00000000" w:rsidRPr="00000000" w14:paraId="0000002D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="275.9999942779541" w:lineRule="auto"/>
        <w:rPr>
          <w:rFonts w:ascii="Arial" w:cs="Arial" w:eastAsia="Arial" w:hAnsi="Arial"/>
          <w:b w:val="1"/>
          <w:bCs w:val="1"/>
          <w:i w:val="0"/>
          <w:iCs w:val="0"/>
          <w:color w:val="1f3864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3864"/>
          <w:sz w:val="24"/>
          <w:szCs w:val="24"/>
          <w:rtl w:val="0"/>
        </w:rPr>
        <w:t xml:space="preserve">AÇIKLAMALAR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Elektrik kuvvetli akım tesislerinde (1000 V ve üzeri yüksek gerilim) çalışacak elektrikle ilgili fen adamlarının EKAT (Yüksek Gerilim Altında Çalışma İzin Belgesi) sahibi olması zorunludur.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EKAT Belgesi, düzenlenme tarihinden itibaren 5 (beş) yıl geçerlidir ve süre sonunda yenileme eğitimi ile yenilenmelidir.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Bu çizelge, santral sahasında görevli personelin belge geçerliliklerinin takibi amacıyla İSG birimi tarafından düzenlenir ve geçerlilik tarihinden en az 90 gün önce yenileme süreci başlatılır.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Belgesi olmayan veya geçerlilik süresi dolmuş personel, yüksek gerilim altında çalışma yapamaz; bu durumdaki personel için iş atama yapılmaz.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Çizelge en az 6 (altı) ayda bir veya personel/belge değişikliğinde güncellenir.</w:t>
      </w:r>
    </w:p>
    <w:tbl>
      <w:tblPr>
        <w:tblStyle w:val="Table4"/>
        <w:tblW w:w="9360.0" w:type="dxa"/>
        <w:jc w:val="left"/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  <w:rtl w:val="0"/>
              </w:rPr>
              <w:t xml:space="preserve">HAZIRLAYAN</w:t>
            </w:r>
          </w:p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  <w:rtl w:val="0"/>
              </w:rPr>
              <w:t xml:space="preserve">İş Güvenliği Uzmanı</w:t>
            </w:r>
          </w:p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Adı Soyadı: {isgUzmani}</w:t>
            </w:r>
          </w:p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İmza:</w:t>
            </w:r>
          </w:p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Tarih: {date}</w:t>
            </w:r>
          </w:p>
        </w:tc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  <w:rtl w:val="0"/>
              </w:rPr>
              <w:t xml:space="preserve">ONAYLAYAN</w:t>
            </w:r>
          </w:p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  <w:rtl w:val="0"/>
              </w:rPr>
              <w:t xml:space="preserve">İşveren / İşveren Vekili</w:t>
            </w:r>
          </w:p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Adı Soyadı: {isverenAdSoyad}</w:t>
            </w:r>
          </w:p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İmza:</w:t>
            </w:r>
          </w:p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Tarih: {date}</w:t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