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AirConnect India</w:t>
      </w:r>
    </w:p>
    <w:p>
      <w:pPr>
        <w:pStyle w:val="Heading1"/>
      </w:pPr>
      <w:r>
        <w:t>Machine Learning-Based Analysis of Indian Airport Passenger Traffic and Connectivity</w:t>
      </w:r>
    </w:p>
    <w:p>
      <w:r>
        <w:rPr>
          <w:b/>
        </w:rPr>
        <w:t>Course:</w:t>
      </w:r>
      <w:r>
        <w:t xml:space="preserve"> MDI4001 Machine Learning for Data Science</w:t>
      </w:r>
    </w:p>
    <w:p>
      <w:r>
        <w:rPr>
          <w:b/>
        </w:rPr>
        <w:t>Institution:</w:t>
      </w:r>
      <w:r>
        <w:t xml:space="preserve"> Vellore Institute of Technology, Vellore</w:t>
      </w:r>
    </w:p>
    <w:p>
      <w:r>
        <w:rPr>
          <w:b/>
        </w:rPr>
        <w:t>Team members:</w:t>
      </w:r>
      <w:r>
        <w:t xml:space="preserve"> [Enter names, register numbers, and university email addresses]</w:t>
      </w:r>
    </w:p>
    <w:p>
      <w:r>
        <w:rPr>
          <w:b/>
        </w:rPr>
        <w:t>Version:</w:t>
      </w:r>
      <w:r>
        <w:t xml:space="preserve"> 2.0.0</w:t>
      </w:r>
    </w:p>
    <w:p>
      <w:r>
        <w:rPr>
          <w:b/>
        </w:rPr>
        <w:t>Date:</w:t>
      </w:r>
      <w:r>
        <w:t xml:space="preserve"> 19 October 2026</w:t>
      </w:r>
    </w:p>
    <w:p>
      <w:pPr>
        <w:pStyle w:val="Heading1"/>
      </w:pPr>
      <w:r>
        <w:t>Abstract</w:t>
      </w:r>
    </w:p>
    <w:p>
      <w:r>
        <w:t>AirConnect India studies airport passenger movements using a reproducible offline machine learning workflow. Version 2.0 replaces a small annual forecast with a one-step airport-month task constructed from 13,599 validated domestic records. Exact-calendar lags, shifted rolling statistics, seasonal terms, and airport identity are evaluated with expanding chronological validation and an untouched 2025 test period. The selected Random Forest achieves a 2025 MAE of 17,479 passenger movements, a substantial reduction from the original annual model's approximately 451,552, but the previous-month naive forecast remains stronger at 16,481 MAE. A supervised classifier predicts whether traffic is at least 10% above the same month one year earlier; validation selects Logistic Regression, which records 0.781 balanced accuracy and 0.886 ROC-AUC on 2025. K-Means selects four airport groups under a minimum-size and parsimony rule, with Silhouette Score 0.492. PCA represents 63.9% of standardised feature variance in two components. The principal conclusion is methodological: chronological evidence and strong baselines matter more than algorithm complexity.</w:t>
      </w:r>
    </w:p>
    <w:p>
      <w:r>
        <w:rPr>
          <w:b/>
        </w:rPr>
        <w:t>Keywords:</w:t>
      </w:r>
      <w:r>
        <w:t xml:space="preserve"> Indian aviation, passenger movements, time-series regression, classification, K-Means, PCA, chronological validation</w:t>
      </w:r>
    </w:p>
    <w:p>
      <w:pPr>
        <w:pStyle w:val="Heading1"/>
      </w:pPr>
      <w:r>
        <w:t>1. Introduction</w:t>
      </w:r>
    </w:p>
    <w:p>
      <w:r>
        <w:t>Indian aviation has expanded rapidly, but several quantities are often confused: operational facilities, airports reporting passenger traffic, airports recording international movements, and airports designated for international service. This project analyses recorded passenger movements without treating those categories as interchangeable. Passenger movements equal arrivals plus departures and therefore do not count unique travellers.</w:t>
      </w:r>
    </w:p>
    <w:p>
      <w:r>
        <w:t>The original project provided a useful descriptive website and honest negative annual-forecast result, but its supervised dataset contained only about one hundred training observations. Version 2.0 uses monthly records to create a larger chronological panel while preserving the offline, small-project architecture.</w:t>
      </w:r>
    </w:p>
    <w:p>
      <w:pPr>
        <w:pStyle w:val="Heading1"/>
      </w:pPr>
      <w:r>
        <w:t>2. Problem formulation and objectives</w:t>
      </w:r>
    </w:p>
    <w:p>
      <w:r>
        <w:t>The primary regression question is: predict domestic passenger movements for airport A in month T using information available strictly before month T. This is a one-step-ahead evaluation. It assumes observed history becomes available each month and is not equivalent to recursive multi-month forecasting.</w:t>
      </w:r>
    </w:p>
    <w:p>
      <w:r>
        <w:t>The classification question is: will target-month domestic traffic be at least 10% higher than the same month in the previous year? The threshold is an analytical choice for a compact syllabus-aligned problem, not an official government class.</w:t>
      </w:r>
    </w:p>
    <w:p>
      <w:r>
        <w:t>Additional objectives are to identify interpretable airport groups, visualise multivariate structure with PCA, communicate uncertainty, and keep every numerical output reproducible.</w:t>
      </w:r>
    </w:p>
    <w:p>
      <w:pPr>
        <w:pStyle w:val="Heading1"/>
      </w:pPr>
      <w:r>
        <w:t>3. Related work and data provenance</w:t>
      </w:r>
    </w:p>
    <w:p>
      <w:pPr>
        <w:keepNext/>
        <w:jc w:val="center"/>
      </w:pPr>
      <w:r>
        <w:drawing>
          <wp:inline xmlns:a="http://schemas.openxmlformats.org/drawingml/2006/main" xmlns:pic="http://schemas.openxmlformats.org/drawingml/2006/picture">
            <wp:extent cx="5806440" cy="2123271"/>
            <wp:docPr id="1" name="Picture 1"/>
            <wp:cNvGraphicFramePr>
              <a:graphicFrameLocks noChangeAspect="1"/>
            </wp:cNvGraphicFramePr>
            <a:graphic>
              <a:graphicData uri="http://schemas.openxmlformats.org/drawingml/2006/picture">
                <pic:pic>
                  <pic:nvPicPr>
                    <pic:cNvPr id="0" name="annual_traffic.png"/>
                    <pic:cNvPicPr/>
                  </pic:nvPicPr>
                  <pic:blipFill>
                    <a:blip r:embed="rId11"/>
                    <a:stretch>
                      <a:fillRect/>
                    </a:stretch>
                  </pic:blipFill>
                  <pic:spPr>
                    <a:xfrm>
                      <a:off x="0" y="0"/>
                      <a:ext cx="5806440" cy="2123271"/>
                    </a:xfrm>
                    <a:prstGeom prst="rect"/>
                  </pic:spPr>
                </pic:pic>
              </a:graphicData>
            </a:graphic>
          </wp:inline>
        </w:drawing>
      </w:r>
    </w:p>
    <w:p>
      <w:pPr>
        <w:jc w:val="center"/>
      </w:pPr>
      <w:r>
        <w:rPr>
          <w:i/>
          <w:color w:val="4A5863"/>
          <w:sz w:val="18"/>
        </w:rPr>
        <w:t>Figure 2. National domestic and international airport passenger movements, 2016–2025.</w:t>
      </w:r>
    </w:p>
    <w:p>
      <w:r>
        <w:t xml:space="preserve">The source is Kubicek's </w:t>
      </w:r>
      <w:r>
        <w:rPr>
          <w:i/>
        </w:rPr>
        <w:t>India Aviation Stats</w:t>
      </w:r>
      <w:r>
        <w:t xml:space="preserve">, which cleans public DGCA workbooks into single-grain tables and documents difficult airport-identity decisions. AirConnect pins upstream commit </w:t>
      </w:r>
      <w:r>
        <w:rPr>
          <w:rFonts w:ascii="Consolas" w:hAnsi="Consolas"/>
          <w:sz w:val="18"/>
        </w:rPr>
        <w:t>bce8fc78f2be1de88154c1d8e62d13ffc0d8e171</w:t>
      </w:r>
      <w:r>
        <w:t xml:space="preserve"> and preserves the MIT licence and SHA-256 hashes. Ministry of Civil Aviation figures are used only for broad expansion context, not as directly comparable traffic-reporting counts.</w:t>
      </w:r>
    </w:p>
    <w:p>
      <w:pPr>
        <w:pStyle w:val="Heading1"/>
      </w:pPr>
      <w:r>
        <w:t>4. Dataset description</w:t>
      </w:r>
    </w:p>
    <w:tbl>
      <w:tblPr>
        <w:tblStyle w:val="TableGrid"/>
        <w:tblW w:type="auto" w:w="0"/>
        <w:jc w:val="center"/>
        <w:tblLook w:firstColumn="1" w:firstRow="1" w:lastColumn="0" w:lastRow="0" w:noHBand="0" w:noVBand="1" w:val="04A0"/>
      </w:tblPr>
      <w:tblGrid>
        <w:gridCol w:w="1976"/>
        <w:gridCol w:w="1976"/>
        <w:gridCol w:w="1976"/>
        <w:gridCol w:w="1976"/>
        <w:gridCol w:w="1976"/>
      </w:tblGrid>
      <w:tr>
        <w:tc>
          <w:tcPr>
            <w:tcW w:type="dxa" w:w="1976"/>
            <w:vAlign w:val="center"/>
            <w:tcMar>
              <w:top w:w="90" w:type="dxa"/>
              <w:start w:w="90" w:type="dxa"/>
              <w:bottom w:w="90" w:type="dxa"/>
              <w:end w:w="90" w:type="dxa"/>
            </w:tcMar>
            <w:shd w:fill="173B58"/>
          </w:tcPr>
          <w:p>
            <w:pPr>
              <w:jc w:val="left"/>
            </w:pPr>
            <w:r>
              <w:rPr>
                <w:rFonts w:ascii="Times New Roman" w:hAnsi="Times New Roman"/>
                <w:b/>
                <w:color w:val="FFFFFF"/>
                <w:sz w:val="16"/>
              </w:rPr>
              <w:t>Dataset</w:t>
            </w:r>
          </w:p>
        </w:tc>
        <w:tc>
          <w:tcPr>
            <w:tcW w:type="dxa" w:w="1976"/>
            <w:vAlign w:val="center"/>
            <w:tcMar>
              <w:top w:w="90" w:type="dxa"/>
              <w:start w:w="90" w:type="dxa"/>
              <w:bottom w:w="90" w:type="dxa"/>
              <w:end w:w="90" w:type="dxa"/>
            </w:tcMar>
            <w:shd w:fill="173B58"/>
          </w:tcPr>
          <w:p>
            <w:pPr>
              <w:jc w:val="center"/>
            </w:pPr>
            <w:r>
              <w:rPr>
                <w:rFonts w:ascii="Times New Roman" w:hAnsi="Times New Roman"/>
                <w:b/>
                <w:color w:val="FFFFFF"/>
                <w:sz w:val="16"/>
              </w:rPr>
              <w:t>Grain</w:t>
            </w:r>
          </w:p>
        </w:tc>
        <w:tc>
          <w:tcPr>
            <w:tcW w:type="dxa" w:w="1976"/>
            <w:vAlign w:val="center"/>
            <w:tcMar>
              <w:top w:w="90" w:type="dxa"/>
              <w:start w:w="90" w:type="dxa"/>
              <w:bottom w:w="90" w:type="dxa"/>
              <w:end w:w="90" w:type="dxa"/>
            </w:tcMar>
            <w:shd w:fill="173B58"/>
          </w:tcPr>
          <w:p>
            <w:pPr>
              <w:jc w:val="center"/>
            </w:pPr>
            <w:r>
              <w:rPr>
                <w:rFonts w:ascii="Times New Roman" w:hAnsi="Times New Roman"/>
                <w:b/>
                <w:color w:val="FFFFFF"/>
                <w:sz w:val="16"/>
              </w:rPr>
              <w:t>Rows</w:t>
            </w:r>
          </w:p>
        </w:tc>
        <w:tc>
          <w:tcPr>
            <w:tcW w:type="dxa" w:w="1976"/>
            <w:vAlign w:val="center"/>
            <w:tcMar>
              <w:top w:w="90" w:type="dxa"/>
              <w:start w:w="90" w:type="dxa"/>
              <w:bottom w:w="90" w:type="dxa"/>
              <w:end w:w="90" w:type="dxa"/>
            </w:tcMar>
            <w:shd w:fill="173B58"/>
          </w:tcPr>
          <w:p>
            <w:pPr>
              <w:jc w:val="center"/>
            </w:pPr>
            <w:r>
              <w:rPr>
                <w:rFonts w:ascii="Times New Roman" w:hAnsi="Times New Roman"/>
                <w:b/>
                <w:color w:val="FFFFFF"/>
                <w:sz w:val="16"/>
              </w:rPr>
              <w:t>Airports</w:t>
            </w:r>
          </w:p>
        </w:tc>
        <w:tc>
          <w:tcPr>
            <w:tcW w:type="dxa" w:w="1976"/>
            <w:vAlign w:val="center"/>
            <w:tcMar>
              <w:top w:w="90" w:type="dxa"/>
              <w:start w:w="90" w:type="dxa"/>
              <w:bottom w:w="90" w:type="dxa"/>
              <w:end w:w="90" w:type="dxa"/>
            </w:tcMar>
            <w:shd w:fill="173B58"/>
          </w:tcPr>
          <w:p>
            <w:pPr>
              <w:jc w:val="center"/>
            </w:pPr>
            <w:r>
              <w:rPr>
                <w:rFonts w:ascii="Times New Roman" w:hAnsi="Times New Roman"/>
                <w:b/>
                <w:color w:val="FFFFFF"/>
                <w:sz w:val="16"/>
              </w:rPr>
              <w:t>Coverage</w:t>
            </w:r>
          </w:p>
        </w:tc>
      </w:tr>
      <w:tr>
        <w:tc>
          <w:tcPr>
            <w:tcW w:type="dxa" w:w="1976"/>
            <w:vAlign w:val="center"/>
            <w:tcMar>
              <w:top w:w="90" w:type="dxa"/>
              <w:start w:w="90" w:type="dxa"/>
              <w:bottom w:w="90" w:type="dxa"/>
              <w:end w:w="90" w:type="dxa"/>
            </w:tcMar>
          </w:tcPr>
          <w:p>
            <w:pPr>
              <w:jc w:val="left"/>
            </w:pPr>
            <w:r>
              <w:rPr>
                <w:rFonts w:ascii="Times New Roman" w:hAnsi="Times New Roman"/>
                <w:color w:val="191919"/>
                <w:sz w:val="16"/>
              </w:rPr>
              <w:t>Domestic monthly</w:t>
            </w:r>
          </w:p>
        </w:tc>
        <w:tc>
          <w:tcPr>
            <w:tcW w:type="dxa" w:w="1976"/>
            <w:vAlign w:val="center"/>
            <w:tcMar>
              <w:top w:w="90" w:type="dxa"/>
              <w:start w:w="90" w:type="dxa"/>
              <w:bottom w:w="90" w:type="dxa"/>
              <w:end w:w="90" w:type="dxa"/>
            </w:tcMar>
          </w:tcPr>
          <w:p>
            <w:pPr>
              <w:jc w:val="center"/>
            </w:pPr>
            <w:r>
              <w:rPr>
                <w:rFonts w:ascii="Times New Roman" w:hAnsi="Times New Roman"/>
                <w:color w:val="191919"/>
                <w:sz w:val="16"/>
              </w:rPr>
              <w:t>Airport × month</w:t>
            </w:r>
          </w:p>
        </w:tc>
        <w:tc>
          <w:tcPr>
            <w:tcW w:type="dxa" w:w="1976"/>
            <w:vAlign w:val="center"/>
            <w:tcMar>
              <w:top w:w="90" w:type="dxa"/>
              <w:start w:w="90" w:type="dxa"/>
              <w:bottom w:w="90" w:type="dxa"/>
              <w:end w:w="90" w:type="dxa"/>
            </w:tcMar>
          </w:tcPr>
          <w:p>
            <w:pPr>
              <w:jc w:val="center"/>
            </w:pPr>
            <w:r>
              <w:rPr>
                <w:rFonts w:ascii="Times New Roman" w:hAnsi="Times New Roman"/>
                <w:color w:val="191919"/>
                <w:sz w:val="16"/>
              </w:rPr>
              <w:t>13,599</w:t>
            </w:r>
          </w:p>
        </w:tc>
        <w:tc>
          <w:tcPr>
            <w:tcW w:type="dxa" w:w="1976"/>
            <w:vAlign w:val="center"/>
            <w:tcMar>
              <w:top w:w="90" w:type="dxa"/>
              <w:start w:w="90" w:type="dxa"/>
              <w:bottom w:w="90" w:type="dxa"/>
              <w:end w:w="90" w:type="dxa"/>
            </w:tcMar>
          </w:tcPr>
          <w:p>
            <w:pPr>
              <w:jc w:val="center"/>
            </w:pPr>
            <w:r>
              <w:rPr>
                <w:rFonts w:ascii="Times New Roman" w:hAnsi="Times New Roman"/>
                <w:color w:val="191919"/>
                <w:sz w:val="16"/>
              </w:rPr>
              <w:t>144</w:t>
            </w:r>
          </w:p>
        </w:tc>
        <w:tc>
          <w:tcPr>
            <w:tcW w:type="dxa" w:w="1976"/>
            <w:vAlign w:val="center"/>
            <w:tcMar>
              <w:top w:w="90" w:type="dxa"/>
              <w:start w:w="90" w:type="dxa"/>
              <w:bottom w:w="90" w:type="dxa"/>
              <w:end w:w="90" w:type="dxa"/>
            </w:tcMar>
          </w:tcPr>
          <w:p>
            <w:pPr>
              <w:jc w:val="center"/>
            </w:pPr>
            <w:r>
              <w:rPr>
                <w:rFonts w:ascii="Times New Roman" w:hAnsi="Times New Roman"/>
                <w:color w:val="191919"/>
                <w:sz w:val="16"/>
              </w:rPr>
              <w:t>April 2015 to partial 2026</w:t>
            </w:r>
          </w:p>
        </w:tc>
      </w:tr>
      <w:tr>
        <w:tc>
          <w:tcPr>
            <w:tcW w:type="dxa" w:w="1976"/>
            <w:vAlign w:val="center"/>
            <w:tcMar>
              <w:top w:w="90" w:type="dxa"/>
              <w:start w:w="90" w:type="dxa"/>
              <w:bottom w:w="90" w:type="dxa"/>
              <w:end w:w="90" w:type="dxa"/>
            </w:tcMar>
            <w:shd w:fill="F4F7F9"/>
          </w:tcPr>
          <w:p>
            <w:pPr>
              <w:jc w:val="left"/>
            </w:pPr>
            <w:r>
              <w:rPr>
                <w:rFonts w:ascii="Times New Roman" w:hAnsi="Times New Roman"/>
                <w:color w:val="191919"/>
                <w:sz w:val="16"/>
              </w:rPr>
              <w:t>Airport yearly</w:t>
            </w:r>
          </w:p>
        </w:tc>
        <w:tc>
          <w:tcPr>
            <w:tcW w:type="dxa" w:w="1976"/>
            <w:vAlign w:val="center"/>
            <w:tcMar>
              <w:top w:w="90" w:type="dxa"/>
              <w:start w:w="90" w:type="dxa"/>
              <w:bottom w:w="90" w:type="dxa"/>
              <w:end w:w="90" w:type="dxa"/>
            </w:tcMar>
            <w:shd w:fill="F4F7F9"/>
          </w:tcPr>
          <w:p>
            <w:pPr>
              <w:jc w:val="center"/>
            </w:pPr>
            <w:r>
              <w:rPr>
                <w:rFonts w:ascii="Times New Roman" w:hAnsi="Times New Roman"/>
                <w:color w:val="191919"/>
                <w:sz w:val="16"/>
              </w:rPr>
              <w:t>Airport × year × category</w:t>
            </w:r>
          </w:p>
        </w:tc>
        <w:tc>
          <w:tcPr>
            <w:tcW w:type="dxa" w:w="1976"/>
            <w:vAlign w:val="center"/>
            <w:tcMar>
              <w:top w:w="90" w:type="dxa"/>
              <w:start w:w="90" w:type="dxa"/>
              <w:bottom w:w="90" w:type="dxa"/>
              <w:end w:w="90" w:type="dxa"/>
            </w:tcMar>
            <w:shd w:fill="F4F7F9"/>
          </w:tcPr>
          <w:p>
            <w:pPr>
              <w:jc w:val="center"/>
            </w:pPr>
            <w:r>
              <w:rPr>
                <w:rFonts w:ascii="Times New Roman" w:hAnsi="Times New Roman"/>
                <w:color w:val="191919"/>
                <w:sz w:val="16"/>
              </w:rPr>
              <w:t>1,388</w:t>
            </w:r>
          </w:p>
        </w:tc>
        <w:tc>
          <w:tcPr>
            <w:tcW w:type="dxa" w:w="1976"/>
            <w:vAlign w:val="center"/>
            <w:tcMar>
              <w:top w:w="90" w:type="dxa"/>
              <w:start w:w="90" w:type="dxa"/>
              <w:bottom w:w="90" w:type="dxa"/>
              <w:end w:w="90" w:type="dxa"/>
            </w:tcMar>
            <w:shd w:fill="F4F7F9"/>
          </w:tcPr>
          <w:p>
            <w:pPr>
              <w:jc w:val="center"/>
            </w:pPr>
            <w:r>
              <w:rPr>
                <w:rFonts w:ascii="Times New Roman" w:hAnsi="Times New Roman"/>
                <w:color w:val="191919"/>
                <w:sz w:val="16"/>
              </w:rPr>
              <w:t>140</w:t>
            </w:r>
          </w:p>
        </w:tc>
        <w:tc>
          <w:tcPr>
            <w:tcW w:type="dxa" w:w="1976"/>
            <w:vAlign w:val="center"/>
            <w:tcMar>
              <w:top w:w="90" w:type="dxa"/>
              <w:start w:w="90" w:type="dxa"/>
              <w:bottom w:w="90" w:type="dxa"/>
              <w:end w:w="90" w:type="dxa"/>
            </w:tcMar>
            <w:shd w:fill="F4F7F9"/>
          </w:tcPr>
          <w:p>
            <w:pPr>
              <w:jc w:val="center"/>
            </w:pPr>
            <w:r>
              <w:rPr>
                <w:rFonts w:ascii="Times New Roman" w:hAnsi="Times New Roman"/>
                <w:color w:val="191919"/>
                <w:sz w:val="16"/>
              </w:rPr>
              <w:t>2015–2025</w:t>
            </w:r>
          </w:p>
        </w:tc>
      </w:tr>
      <w:tr>
        <w:tc>
          <w:tcPr>
            <w:tcW w:type="dxa" w:w="1976"/>
            <w:vAlign w:val="center"/>
            <w:tcMar>
              <w:top w:w="90" w:type="dxa"/>
              <w:start w:w="90" w:type="dxa"/>
              <w:bottom w:w="90" w:type="dxa"/>
              <w:end w:w="90" w:type="dxa"/>
            </w:tcMar>
          </w:tcPr>
          <w:p>
            <w:pPr>
              <w:jc w:val="left"/>
            </w:pPr>
            <w:r>
              <w:rPr>
                <w:rFonts w:ascii="Times New Roman" w:hAnsi="Times New Roman"/>
                <w:color w:val="191919"/>
                <w:sz w:val="16"/>
              </w:rPr>
              <w:t>International quarterly</w:t>
            </w:r>
          </w:p>
        </w:tc>
        <w:tc>
          <w:tcPr>
            <w:tcW w:type="dxa" w:w="1976"/>
            <w:vAlign w:val="center"/>
            <w:tcMar>
              <w:top w:w="90" w:type="dxa"/>
              <w:start w:w="90" w:type="dxa"/>
              <w:bottom w:w="90" w:type="dxa"/>
              <w:end w:w="90" w:type="dxa"/>
            </w:tcMar>
          </w:tcPr>
          <w:p>
            <w:pPr>
              <w:jc w:val="center"/>
            </w:pPr>
            <w:r>
              <w:rPr>
                <w:rFonts w:ascii="Times New Roman" w:hAnsi="Times New Roman"/>
                <w:color w:val="191919"/>
                <w:sz w:val="16"/>
              </w:rPr>
              <w:t>Airport × quarter</w:t>
            </w:r>
          </w:p>
        </w:tc>
        <w:tc>
          <w:tcPr>
            <w:tcW w:type="dxa" w:w="1976"/>
            <w:vAlign w:val="center"/>
            <w:tcMar>
              <w:top w:w="90" w:type="dxa"/>
              <w:start w:w="90" w:type="dxa"/>
              <w:bottom w:w="90" w:type="dxa"/>
              <w:end w:w="90" w:type="dxa"/>
            </w:tcMar>
          </w:tcPr>
          <w:p>
            <w:pPr>
              <w:jc w:val="center"/>
            </w:pPr>
            <w:r>
              <w:rPr>
                <w:rFonts w:ascii="Times New Roman" w:hAnsi="Times New Roman"/>
                <w:color w:val="191919"/>
                <w:sz w:val="16"/>
              </w:rPr>
              <w:t>1,248</w:t>
            </w:r>
          </w:p>
        </w:tc>
        <w:tc>
          <w:tcPr>
            <w:tcW w:type="dxa" w:w="1976"/>
            <w:vAlign w:val="center"/>
            <w:tcMar>
              <w:top w:w="90" w:type="dxa"/>
              <w:start w:w="90" w:type="dxa"/>
              <w:bottom w:w="90" w:type="dxa"/>
              <w:end w:w="90" w:type="dxa"/>
            </w:tcMar>
          </w:tcPr>
          <w:p>
            <w:pPr>
              <w:jc w:val="center"/>
            </w:pPr>
            <w:r>
              <w:rPr>
                <w:rFonts w:ascii="Times New Roman" w:hAnsi="Times New Roman"/>
                <w:color w:val="191919"/>
                <w:sz w:val="16"/>
              </w:rPr>
              <w:t>35</w:t>
            </w:r>
          </w:p>
        </w:tc>
        <w:tc>
          <w:tcPr>
            <w:tcW w:type="dxa" w:w="1976"/>
            <w:vAlign w:val="center"/>
            <w:tcMar>
              <w:top w:w="90" w:type="dxa"/>
              <w:start w:w="90" w:type="dxa"/>
              <w:bottom w:w="90" w:type="dxa"/>
              <w:end w:w="90" w:type="dxa"/>
            </w:tcMar>
          </w:tcPr>
          <w:p>
            <w:pPr>
              <w:jc w:val="center"/>
            </w:pPr>
            <w:r>
              <w:rPr>
                <w:rFonts w:ascii="Times New Roman" w:hAnsi="Times New Roman"/>
                <w:color w:val="191919"/>
                <w:sz w:val="16"/>
              </w:rPr>
              <w:t>2015 to partial 2026</w:t>
            </w:r>
          </w:p>
        </w:tc>
      </w:tr>
    </w:tbl>
    <w:p>
      <w:pPr>
        <w:spacing w:after="0"/>
      </w:pPr>
    </w:p>
    <w:p>
      <w:r>
        <w:t>Core fields have no missing values, duplicate keys, or negative passenger counts. The pipeline verifies that passengers equal departures plus arrivals and reconciles complete domestic years between monthly and yearly tables. Partial 2026 is excluded from modelling. Eligible modelling rows run from April 2016 through December 2025.</w:t>
      </w:r>
    </w:p>
    <w:p>
      <w:pPr>
        <w:pStyle w:val="Heading1"/>
      </w:pPr>
      <w:r>
        <w:t>5. System architecture</w:t>
      </w:r>
    </w:p>
    <w:tbl>
      <w:tblPr>
        <w:tblW w:type="auto" w:w="0"/>
        <w:jc w:val="center"/>
        <w:tblLayout w:type="fixed"/>
        <w:tblLook w:firstColumn="1" w:firstRow="1" w:lastColumn="0" w:lastRow="0" w:noHBand="0" w:noVBand="1" w:val="04A0"/>
      </w:tblPr>
      <w:tblGrid>
        <w:gridCol w:w="1646"/>
        <w:gridCol w:w="1646"/>
        <w:gridCol w:w="1646"/>
        <w:gridCol w:w="1646"/>
        <w:gridCol w:w="1646"/>
        <w:gridCol w:w="1646"/>
      </w:tblGrid>
      <w:tr>
        <w:tc>
          <w:tcPr>
            <w:tcW w:type="dxa" w:w="1512"/>
            <w:vAlign w:val="center"/>
            <w:tcMar>
              <w:top w:w="100" w:type="dxa"/>
              <w:start w:w="70" w:type="dxa"/>
              <w:bottom w:w="100" w:type="dxa"/>
              <w:end w:w="70" w:type="dxa"/>
            </w:tcMar>
            <w:shd w:fill="EAF1F6"/>
          </w:tcPr>
          <w:p>
            <w:pPr>
              <w:jc w:val="center"/>
            </w:pPr>
            <w:r>
              <w:rPr>
                <w:b/>
                <w:color w:val="173B58"/>
                <w:sz w:val="16"/>
              </w:rPr>
              <w:t>Pinned source</w:t>
            </w:r>
          </w:p>
        </w:tc>
        <w:tc>
          <w:tcPr>
            <w:tcW w:type="dxa" w:w="1512"/>
            <w:vAlign w:val="center"/>
            <w:tcMar>
              <w:top w:w="100" w:type="dxa"/>
              <w:start w:w="70" w:type="dxa"/>
              <w:bottom w:w="100" w:type="dxa"/>
              <w:end w:w="70" w:type="dxa"/>
            </w:tcMar>
            <w:shd w:fill="F6F8FA"/>
          </w:tcPr>
          <w:p>
            <w:pPr>
              <w:jc w:val="center"/>
            </w:pPr>
            <w:r>
              <w:rPr>
                <w:b/>
                <w:color w:val="173B58"/>
                <w:sz w:val="16"/>
              </w:rPr>
              <w:t>Validation</w:t>
            </w:r>
          </w:p>
        </w:tc>
        <w:tc>
          <w:tcPr>
            <w:tcW w:type="dxa" w:w="1512"/>
            <w:vAlign w:val="center"/>
            <w:tcMar>
              <w:top w:w="100" w:type="dxa"/>
              <w:start w:w="70" w:type="dxa"/>
              <w:bottom w:w="100" w:type="dxa"/>
              <w:end w:w="70" w:type="dxa"/>
            </w:tcMar>
            <w:shd w:fill="EAF1F6"/>
          </w:tcPr>
          <w:p>
            <w:pPr>
              <w:jc w:val="center"/>
            </w:pPr>
            <w:r>
              <w:rPr>
                <w:b/>
                <w:color w:val="173B58"/>
                <w:sz w:val="16"/>
              </w:rPr>
              <w:t>Exact lags</w:t>
            </w:r>
          </w:p>
        </w:tc>
        <w:tc>
          <w:tcPr>
            <w:tcW w:type="dxa" w:w="1512"/>
            <w:vAlign w:val="center"/>
            <w:tcMar>
              <w:top w:w="100" w:type="dxa"/>
              <w:start w:w="70" w:type="dxa"/>
              <w:bottom w:w="100" w:type="dxa"/>
              <w:end w:w="70" w:type="dxa"/>
            </w:tcMar>
            <w:shd w:fill="F6F8FA"/>
          </w:tcPr>
          <w:p>
            <w:pPr>
              <w:jc w:val="center"/>
            </w:pPr>
            <w:r>
              <w:rPr>
                <w:b/>
                <w:color w:val="173B58"/>
                <w:sz w:val="16"/>
              </w:rPr>
              <w:t>Chronological models</w:t>
            </w:r>
          </w:p>
        </w:tc>
        <w:tc>
          <w:tcPr>
            <w:tcW w:type="dxa" w:w="1512"/>
            <w:vAlign w:val="center"/>
            <w:tcMar>
              <w:top w:w="100" w:type="dxa"/>
              <w:start w:w="70" w:type="dxa"/>
              <w:bottom w:w="100" w:type="dxa"/>
              <w:end w:w="70" w:type="dxa"/>
            </w:tcMar>
            <w:shd w:fill="EAF1F6"/>
          </w:tcPr>
          <w:p>
            <w:pPr>
              <w:jc w:val="center"/>
            </w:pPr>
            <w:r>
              <w:rPr>
                <w:b/>
                <w:color w:val="173B58"/>
                <w:sz w:val="16"/>
              </w:rPr>
              <w:t>Canonical JSON</w:t>
            </w:r>
          </w:p>
        </w:tc>
        <w:tc>
          <w:tcPr>
            <w:tcW w:type="dxa" w:w="1512"/>
            <w:vAlign w:val="center"/>
            <w:tcMar>
              <w:top w:w="100" w:type="dxa"/>
              <w:start w:w="70" w:type="dxa"/>
              <w:bottom w:w="100" w:type="dxa"/>
              <w:end w:w="70" w:type="dxa"/>
            </w:tcMar>
            <w:shd w:fill="F6F8FA"/>
          </w:tcPr>
          <w:p>
            <w:pPr>
              <w:jc w:val="center"/>
            </w:pPr>
            <w:r>
              <w:rPr>
                <w:b/>
                <w:color w:val="173B58"/>
                <w:sz w:val="16"/>
              </w:rPr>
              <w:t>Website and documents</w:t>
            </w:r>
          </w:p>
        </w:tc>
      </w:tr>
    </w:tbl>
    <w:p>
      <w:pPr>
        <w:jc w:val="center"/>
      </w:pPr>
      <w:r>
        <w:rPr>
          <w:i/>
          <w:sz w:val="18"/>
        </w:rPr>
        <w:t>Figure 1. Reproducible AirConnect India v2.0 system workflow.</w:t>
      </w:r>
    </w:p>
    <w:p>
      <w:r>
        <w:t>Python performs validation, feature engineering, training, model selection, evaluation, chart generation, and document preparation. The website is static HTML, CSS, JavaScript, and SVG reading precomputed data.</w:t>
      </w:r>
    </w:p>
    <w:p>
      <w:pPr>
        <w:pStyle w:val="Heading1"/>
      </w:pPr>
      <w:r>
        <w:t>6. Data preprocessing</w:t>
      </w:r>
    </w:p>
    <w:p>
      <w:r>
        <w:t>Rows are ordered chronologically by airport. Each lag uses an exact date join rather than a simple previous-row shift. Missing months therefore remain missing. Targets are never imputed. For models requiring complete numeric inputs, median imputation is fitted only within the current training fold; airport identity uses one-hot encoding with unknown-category handling.</w:t>
      </w:r>
    </w:p>
    <w:p>
      <w:pPr>
        <w:pStyle w:val="Heading1"/>
      </w:pPr>
      <w:r>
        <w:t>7. Feature engineering</w:t>
      </w:r>
    </w:p>
    <w:p>
      <w:r>
        <w:t>The fifteen predictors are airport identity; lags 1, 2, 3, and 12; shifted rolling means over 3, 6, and 12 preceding months; counts of observed preceding months; one-month and lagged year-on-year growth; sine and cosine month terms; and a chronological index. Internally generated lag 13 supports the lagged year-on-year growth feature but is not directly supplied as a separate model feature.</w:t>
      </w:r>
    </w:p>
    <w:p>
      <w:r>
        <w:t>For a target month t, the three-month rolling feature is:</w:t>
      </w:r>
    </w:p>
    <w:p>
      <w:r>
        <w:rPr>
          <w:rFonts w:ascii="Consolas" w:hAnsi="Consolas"/>
          <w:sz w:val="18"/>
        </w:rPr>
        <w:t>rolling3(t) = mean(y(t-1), y(t-2), y(t-3))</w:t>
      </w:r>
    </w:p>
    <w:p>
      <w:r>
        <w:t>Every term is before t. No target-year or target-month value enters the predictors.</w:t>
      </w:r>
    </w:p>
    <w:p>
      <w:pPr>
        <w:pStyle w:val="Heading1"/>
      </w:pPr>
      <w:r>
        <w:t>8. Validation strategy</w:t>
      </w:r>
    </w:p>
    <w:p>
      <w:r>
        <w:t>The final test period is January through December 2025 with 1,357 eligible airport-month observations. Expanding validation uses 2022, 2023, and 2024 as successive validation years; each fold trains only on earlier records. Hyperparameters are chosen from bounded grids using validation results. The final test is not used for selection.</w:t>
      </w:r>
    </w:p>
    <w:p>
      <w:r>
        <w:t>This design exposes distribution shift, particularly the pandemic and recovery period. It also prevents the optimistic estimates that would result from randomly mixing future and past months.</w:t>
      </w:r>
    </w:p>
    <w:p>
      <w:pPr>
        <w:pStyle w:val="Heading1"/>
      </w:pPr>
      <w:r>
        <w:t>9. Regression methodology</w:t>
      </w:r>
    </w:p>
    <w:p>
      <w:r>
        <w:t xml:space="preserve">Candidates are Ridge Regression, Decision Tree Regressor, Random Forest Regressor, and Histogram Gradient Boosting. All predict </w:t>
      </w:r>
      <w:r>
        <w:rPr>
          <w:rFonts w:ascii="Consolas" w:hAnsi="Consolas"/>
          <w:sz w:val="18"/>
        </w:rPr>
        <w:t>log(1 + traffic)</w:t>
      </w:r>
      <w:r>
        <w:t xml:space="preserve"> and are inverted to original passenger units. Baselines are previous month, same month previous year, and airport historical mean.</w:t>
      </w:r>
    </w:p>
    <w:p>
      <w:r>
        <w:t>The metrics are:</w:t>
      </w:r>
    </w:p>
    <w:p>
      <w:pPr>
        <w:pStyle w:val="ListBullet"/>
      </w:pPr>
      <w:r>
        <w:rPr>
          <w:rFonts w:ascii="Consolas" w:hAnsi="Consolas"/>
          <w:sz w:val="18"/>
        </w:rPr>
        <w:t>MAE = mean(|y - y_hat|)</w:t>
      </w:r>
    </w:p>
    <w:p>
      <w:pPr>
        <w:pStyle w:val="ListBullet"/>
      </w:pPr>
      <w:r>
        <w:rPr>
          <w:rFonts w:ascii="Consolas" w:hAnsi="Consolas"/>
          <w:sz w:val="18"/>
        </w:rPr>
        <w:t>RMSE = sqrt(mean((y - y_hat)^2))</w:t>
      </w:r>
    </w:p>
    <w:p>
      <w:pPr>
        <w:pStyle w:val="ListBullet"/>
      </w:pPr>
      <w:r>
        <w:rPr>
          <w:rFonts w:ascii="Consolas" w:hAnsi="Consolas"/>
          <w:sz w:val="18"/>
        </w:rPr>
        <w:t>R² = 1 - sum((y - y_hat)^2) / sum((y - mean(y))^2)</w:t>
      </w:r>
    </w:p>
    <w:p>
      <w:pPr>
        <w:pStyle w:val="ListBullet"/>
      </w:pPr>
      <w:r>
        <w:rPr>
          <w:rFonts w:ascii="Consolas" w:hAnsi="Consolas"/>
          <w:sz w:val="18"/>
        </w:rPr>
        <w:t>WAPE = sum(|y - y_hat|) / sum(|y|)</w:t>
      </w:r>
      <w:r>
        <w:t xml:space="preserve"> when the denominator is nonzero</w:t>
      </w:r>
    </w:p>
    <w:p>
      <w:pPr>
        <w:pStyle w:val="ListBullet"/>
      </w:pPr>
      <w:r>
        <w:t>Median absolute error</w:t>
      </w:r>
    </w:p>
    <w:p>
      <w:r>
        <w:t>Random Forest is selected among trained models by validation MAE with 180 trees, depth 16, minimum leaf size 5, and all transformed features considered per split.</w:t>
      </w:r>
    </w:p>
    <w:p>
      <w:pPr>
        <w:pStyle w:val="Heading1"/>
      </w:pPr>
      <w:r>
        <w:t>10. Regression results</w:t>
      </w:r>
    </w:p>
    <w:p>
      <w:pPr>
        <w:keepNext/>
        <w:jc w:val="center"/>
      </w:pPr>
      <w:r>
        <w:drawing>
          <wp:inline xmlns:a="http://schemas.openxmlformats.org/drawingml/2006/main" xmlns:pic="http://schemas.openxmlformats.org/drawingml/2006/picture">
            <wp:extent cx="5806440" cy="2559585"/>
            <wp:docPr id="2" name="Picture 2"/>
            <wp:cNvGraphicFramePr>
              <a:graphicFrameLocks noChangeAspect="1"/>
            </wp:cNvGraphicFramePr>
            <a:graphic>
              <a:graphicData uri="http://schemas.openxmlformats.org/drawingml/2006/picture">
                <pic:pic>
                  <pic:nvPicPr>
                    <pic:cNvPr id="0" name="regression_model_comparison.png"/>
                    <pic:cNvPicPr/>
                  </pic:nvPicPr>
                  <pic:blipFill>
                    <a:blip r:embed="rId12"/>
                    <a:stretch>
                      <a:fillRect/>
                    </a:stretch>
                  </pic:blipFill>
                  <pic:spPr>
                    <a:xfrm>
                      <a:off x="0" y="0"/>
                      <a:ext cx="5806440" cy="2559585"/>
                    </a:xfrm>
                    <a:prstGeom prst="rect"/>
                  </pic:spPr>
                </pic:pic>
              </a:graphicData>
            </a:graphic>
          </wp:inline>
        </w:drawing>
      </w:r>
    </w:p>
    <w:p>
      <w:pPr>
        <w:jc w:val="center"/>
      </w:pPr>
      <w:r>
        <w:rPr>
          <w:i/>
          <w:color w:val="4A5863"/>
          <w:sz w:val="18"/>
        </w:rPr>
        <w:t>Figure 3. Held-out 2025 regression MAE for trained models and baselines.</w:t>
      </w:r>
    </w:p>
    <w:tbl>
      <w:tblPr>
        <w:tblStyle w:val="TableGrid"/>
        <w:tblW w:type="auto" w:w="0"/>
        <w:jc w:val="center"/>
        <w:tblLook w:firstColumn="1" w:firstRow="1" w:lastColumn="0" w:lastRow="0" w:noHBand="0" w:noVBand="1" w:val="04A0"/>
      </w:tblPr>
      <w:tblGrid>
        <w:gridCol w:w="1411"/>
        <w:gridCol w:w="1411"/>
        <w:gridCol w:w="1411"/>
        <w:gridCol w:w="1411"/>
        <w:gridCol w:w="1411"/>
        <w:gridCol w:w="1411"/>
        <w:gridCol w:w="1411"/>
      </w:tblGrid>
      <w:tr>
        <w:tc>
          <w:tcPr>
            <w:tcW w:type="dxa" w:w="1411"/>
            <w:vAlign w:val="center"/>
            <w:tcMar>
              <w:top w:w="90" w:type="dxa"/>
              <w:start w:w="90" w:type="dxa"/>
              <w:bottom w:w="90" w:type="dxa"/>
              <w:end w:w="90" w:type="dxa"/>
            </w:tcMar>
            <w:shd w:fill="173B58"/>
          </w:tcPr>
          <w:p>
            <w:pPr>
              <w:jc w:val="left"/>
            </w:pPr>
            <w:r>
              <w:rPr>
                <w:rFonts w:ascii="Times New Roman" w:hAnsi="Times New Roman"/>
                <w:b/>
                <w:color w:val="FFFFFF"/>
                <w:sz w:val="16"/>
              </w:rPr>
              <w:t>Method</w:t>
            </w:r>
          </w:p>
        </w:tc>
        <w:tc>
          <w:tcPr>
            <w:tcW w:type="dxa" w:w="1411"/>
            <w:vAlign w:val="center"/>
            <w:tcMar>
              <w:top w:w="90" w:type="dxa"/>
              <w:start w:w="90" w:type="dxa"/>
              <w:bottom w:w="90" w:type="dxa"/>
              <w:end w:w="90" w:type="dxa"/>
            </w:tcMar>
            <w:shd w:fill="173B58"/>
          </w:tcPr>
          <w:p>
            <w:pPr>
              <w:jc w:val="center"/>
            </w:pPr>
            <w:r>
              <w:rPr>
                <w:rFonts w:ascii="Times New Roman" w:hAnsi="Times New Roman"/>
                <w:b/>
                <w:color w:val="FFFFFF"/>
                <w:sz w:val="16"/>
              </w:rPr>
              <w:t>Type</w:t>
            </w:r>
          </w:p>
        </w:tc>
        <w:tc>
          <w:tcPr>
            <w:tcW w:type="dxa" w:w="1411"/>
            <w:vAlign w:val="center"/>
            <w:tcMar>
              <w:top w:w="90" w:type="dxa"/>
              <w:start w:w="90" w:type="dxa"/>
              <w:bottom w:w="90" w:type="dxa"/>
              <w:end w:w="90" w:type="dxa"/>
            </w:tcMar>
            <w:shd w:fill="173B58"/>
          </w:tcPr>
          <w:p>
            <w:pPr>
              <w:jc w:val="center"/>
            </w:pPr>
            <w:r>
              <w:rPr>
                <w:rFonts w:ascii="Times New Roman" w:hAnsi="Times New Roman"/>
                <w:b/>
                <w:color w:val="FFFFFF"/>
                <w:sz w:val="16"/>
              </w:rPr>
              <w:t>Validation MAE</w:t>
            </w:r>
          </w:p>
        </w:tc>
        <w:tc>
          <w:tcPr>
            <w:tcW w:type="dxa" w:w="1411"/>
            <w:vAlign w:val="center"/>
            <w:tcMar>
              <w:top w:w="90" w:type="dxa"/>
              <w:start w:w="90" w:type="dxa"/>
              <w:bottom w:w="90" w:type="dxa"/>
              <w:end w:w="90" w:type="dxa"/>
            </w:tcMar>
            <w:shd w:fill="173B58"/>
          </w:tcPr>
          <w:p>
            <w:pPr>
              <w:jc w:val="center"/>
            </w:pPr>
            <w:r>
              <w:rPr>
                <w:rFonts w:ascii="Times New Roman" w:hAnsi="Times New Roman"/>
                <w:b/>
                <w:color w:val="FFFFFF"/>
                <w:sz w:val="16"/>
              </w:rPr>
              <w:t>Test MAE</w:t>
            </w:r>
          </w:p>
        </w:tc>
        <w:tc>
          <w:tcPr>
            <w:tcW w:type="dxa" w:w="1411"/>
            <w:vAlign w:val="center"/>
            <w:tcMar>
              <w:top w:w="90" w:type="dxa"/>
              <w:start w:w="90" w:type="dxa"/>
              <w:bottom w:w="90" w:type="dxa"/>
              <w:end w:w="90" w:type="dxa"/>
            </w:tcMar>
            <w:shd w:fill="173B58"/>
          </w:tcPr>
          <w:p>
            <w:pPr>
              <w:jc w:val="center"/>
            </w:pPr>
            <w:r>
              <w:rPr>
                <w:rFonts w:ascii="Times New Roman" w:hAnsi="Times New Roman"/>
                <w:b/>
                <w:color w:val="FFFFFF"/>
                <w:sz w:val="16"/>
              </w:rPr>
              <w:t>Test RMSE</w:t>
            </w:r>
          </w:p>
        </w:tc>
        <w:tc>
          <w:tcPr>
            <w:tcW w:type="dxa" w:w="1411"/>
            <w:vAlign w:val="center"/>
            <w:tcMar>
              <w:top w:w="90" w:type="dxa"/>
              <w:start w:w="90" w:type="dxa"/>
              <w:bottom w:w="90" w:type="dxa"/>
              <w:end w:w="90" w:type="dxa"/>
            </w:tcMar>
            <w:shd w:fill="173B58"/>
          </w:tcPr>
          <w:p>
            <w:pPr>
              <w:jc w:val="center"/>
            </w:pPr>
            <w:r>
              <w:rPr>
                <w:rFonts w:ascii="Times New Roman" w:hAnsi="Times New Roman"/>
                <w:b/>
                <w:color w:val="FFFFFF"/>
                <w:sz w:val="16"/>
              </w:rPr>
              <w:t>Test R²</w:t>
            </w:r>
          </w:p>
        </w:tc>
        <w:tc>
          <w:tcPr>
            <w:tcW w:type="dxa" w:w="1411"/>
            <w:vAlign w:val="center"/>
            <w:tcMar>
              <w:top w:w="90" w:type="dxa"/>
              <w:start w:w="90" w:type="dxa"/>
              <w:bottom w:w="90" w:type="dxa"/>
              <w:end w:w="90" w:type="dxa"/>
            </w:tcMar>
            <w:shd w:fill="173B58"/>
          </w:tcPr>
          <w:p>
            <w:pPr>
              <w:jc w:val="center"/>
            </w:pPr>
            <w:r>
              <w:rPr>
                <w:rFonts w:ascii="Times New Roman" w:hAnsi="Times New Roman"/>
                <w:b/>
                <w:color w:val="FFFFFF"/>
                <w:sz w:val="16"/>
              </w:rPr>
              <w:t>Test WAPE</w:t>
            </w:r>
          </w:p>
        </w:tc>
      </w:tr>
      <w:tr>
        <w:tc>
          <w:tcPr>
            <w:tcW w:type="dxa" w:w="1411"/>
            <w:vAlign w:val="center"/>
            <w:tcMar>
              <w:top w:w="90" w:type="dxa"/>
              <w:start w:w="90" w:type="dxa"/>
              <w:bottom w:w="90" w:type="dxa"/>
              <w:end w:w="90" w:type="dxa"/>
            </w:tcMar>
          </w:tcPr>
          <w:p>
            <w:pPr>
              <w:jc w:val="left"/>
            </w:pPr>
            <w:r>
              <w:rPr>
                <w:rFonts w:ascii="Times New Roman" w:hAnsi="Times New Roman"/>
                <w:color w:val="191919"/>
                <w:sz w:val="16"/>
              </w:rPr>
              <w:t>Ridge Regression</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Trained</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135,038</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162,333</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1,721,109</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-6.1304</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66.06%</w:t>
            </w:r>
          </w:p>
        </w:tc>
      </w:tr>
      <w:tr>
        <w:tc>
          <w:tcPr>
            <w:tcW w:type="dxa" w:w="1411"/>
            <w:vAlign w:val="center"/>
            <w:tcMar>
              <w:top w:w="90" w:type="dxa"/>
              <w:start w:w="90" w:type="dxa"/>
              <w:bottom w:w="90" w:type="dxa"/>
              <w:end w:w="90" w:type="dxa"/>
            </w:tcMar>
            <w:shd w:fill="F4F7F9"/>
          </w:tcPr>
          <w:p>
            <w:pPr>
              <w:jc w:val="left"/>
            </w:pPr>
            <w:r>
              <w:rPr>
                <w:rFonts w:ascii="Times New Roman" w:hAnsi="Times New Roman"/>
                <w:color w:val="191919"/>
                <w:sz w:val="16"/>
              </w:rPr>
              <w:t>Decision Tree</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Trained</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28,749</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21,434</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61,018</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0.9910</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8.72%</w:t>
            </w:r>
          </w:p>
        </w:tc>
      </w:tr>
      <w:tr>
        <w:tc>
          <w:tcPr>
            <w:tcW w:type="dxa" w:w="1411"/>
            <w:vAlign w:val="center"/>
            <w:tcMar>
              <w:top w:w="90" w:type="dxa"/>
              <w:start w:w="90" w:type="dxa"/>
              <w:bottom w:w="90" w:type="dxa"/>
              <w:end w:w="90" w:type="dxa"/>
            </w:tcMar>
          </w:tcPr>
          <w:p>
            <w:pPr>
              <w:jc w:val="left"/>
            </w:pPr>
            <w:r>
              <w:rPr>
                <w:rFonts w:ascii="Times New Roman" w:hAnsi="Times New Roman"/>
                <w:color w:val="191919"/>
                <w:sz w:val="16"/>
              </w:rPr>
              <w:t>Random Forest</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Trained</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24,769</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17,479</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50,430</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0.9939</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7.11%</w:t>
            </w:r>
          </w:p>
        </w:tc>
      </w:tr>
      <w:tr>
        <w:tc>
          <w:tcPr>
            <w:tcW w:type="dxa" w:w="1411"/>
            <w:vAlign w:val="center"/>
            <w:tcMar>
              <w:top w:w="90" w:type="dxa"/>
              <w:start w:w="90" w:type="dxa"/>
              <w:bottom w:w="90" w:type="dxa"/>
              <w:end w:w="90" w:type="dxa"/>
            </w:tcMar>
            <w:shd w:fill="F4F7F9"/>
          </w:tcPr>
          <w:p>
            <w:pPr>
              <w:jc w:val="left"/>
            </w:pPr>
            <w:r>
              <w:rPr>
                <w:rFonts w:ascii="Times New Roman" w:hAnsi="Times New Roman"/>
                <w:color w:val="191919"/>
                <w:sz w:val="16"/>
              </w:rPr>
              <w:t>Histogram Gradient Boosting</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Trained</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39,217</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20,977</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67,784</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0.9889</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8.54%</w:t>
            </w:r>
          </w:p>
        </w:tc>
      </w:tr>
      <w:tr>
        <w:tc>
          <w:tcPr>
            <w:tcW w:type="dxa" w:w="1411"/>
            <w:vAlign w:val="center"/>
            <w:tcMar>
              <w:top w:w="90" w:type="dxa"/>
              <w:start w:w="90" w:type="dxa"/>
              <w:bottom w:w="90" w:type="dxa"/>
              <w:end w:w="90" w:type="dxa"/>
            </w:tcMar>
          </w:tcPr>
          <w:p>
            <w:pPr>
              <w:jc w:val="left"/>
            </w:pPr>
            <w:r>
              <w:rPr>
                <w:rFonts w:ascii="Times New Roman" w:hAnsi="Times New Roman"/>
                <w:color w:val="191919"/>
                <w:sz w:val="16"/>
              </w:rPr>
              <w:t>Previous month naive</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Baseline</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17,880</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16,481</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46,579</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0.9948</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6.71%</w:t>
            </w:r>
          </w:p>
        </w:tc>
      </w:tr>
      <w:tr>
        <w:tc>
          <w:tcPr>
            <w:tcW w:type="dxa" w:w="1411"/>
            <w:vAlign w:val="center"/>
            <w:tcMar>
              <w:top w:w="90" w:type="dxa"/>
              <w:start w:w="90" w:type="dxa"/>
              <w:bottom w:w="90" w:type="dxa"/>
              <w:end w:w="90" w:type="dxa"/>
            </w:tcMar>
            <w:shd w:fill="F4F7F9"/>
          </w:tcPr>
          <w:p>
            <w:pPr>
              <w:jc w:val="left"/>
            </w:pPr>
            <w:r>
              <w:rPr>
                <w:rFonts w:ascii="Times New Roman" w:hAnsi="Times New Roman"/>
                <w:color w:val="191919"/>
                <w:sz w:val="16"/>
              </w:rPr>
              <w:t>Seasonal naive</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Baseline</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49,576</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22,668</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55,234</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0.9927</w:t>
            </w:r>
          </w:p>
        </w:tc>
        <w:tc>
          <w:tcPr>
            <w:tcW w:type="dxa" w:w="1411"/>
            <w:vAlign w:val="center"/>
            <w:tcMar>
              <w:top w:w="90" w:type="dxa"/>
              <w:start w:w="90" w:type="dxa"/>
              <w:bottom w:w="90" w:type="dxa"/>
              <w:end w:w="90" w:type="dxa"/>
            </w:tcMar>
            <w:shd w:fill="F4F7F9"/>
          </w:tcPr>
          <w:p>
            <w:pPr>
              <w:jc w:val="center"/>
            </w:pPr>
            <w:r>
              <w:rPr>
                <w:rFonts w:ascii="Times New Roman" w:hAnsi="Times New Roman"/>
                <w:color w:val="191919"/>
                <w:sz w:val="16"/>
              </w:rPr>
              <w:t>9.22%</w:t>
            </w:r>
          </w:p>
        </w:tc>
      </w:tr>
      <w:tr>
        <w:tc>
          <w:tcPr>
            <w:tcW w:type="dxa" w:w="1411"/>
            <w:vAlign w:val="center"/>
            <w:tcMar>
              <w:top w:w="90" w:type="dxa"/>
              <w:start w:w="90" w:type="dxa"/>
              <w:bottom w:w="90" w:type="dxa"/>
              <w:end w:w="90" w:type="dxa"/>
            </w:tcMar>
          </w:tcPr>
          <w:p>
            <w:pPr>
              <w:jc w:val="left"/>
            </w:pPr>
            <w:r>
              <w:rPr>
                <w:rFonts w:ascii="Times New Roman" w:hAnsi="Times New Roman"/>
                <w:color w:val="191919"/>
                <w:sz w:val="16"/>
              </w:rPr>
              <w:t>Airport historical mean</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Baseline</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58,337</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62,708</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172,392</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0.9285</w:t>
            </w:r>
          </w:p>
        </w:tc>
        <w:tc>
          <w:tcPr>
            <w:tcW w:type="dxa" w:w="1411"/>
            <w:vAlign w:val="center"/>
            <w:tcMar>
              <w:top w:w="90" w:type="dxa"/>
              <w:start w:w="90" w:type="dxa"/>
              <w:bottom w:w="90" w:type="dxa"/>
              <w:end w:w="90" w:type="dxa"/>
            </w:tcMar>
          </w:tcPr>
          <w:p>
            <w:pPr>
              <w:jc w:val="center"/>
            </w:pPr>
            <w:r>
              <w:rPr>
                <w:rFonts w:ascii="Times New Roman" w:hAnsi="Times New Roman"/>
                <w:color w:val="191919"/>
                <w:sz w:val="16"/>
              </w:rPr>
              <w:t>25.52%</w:t>
            </w:r>
          </w:p>
        </w:tc>
      </w:tr>
    </w:tbl>
    <w:p>
      <w:pPr>
        <w:spacing w:after="0"/>
      </w:pPr>
    </w:p>
    <w:p>
      <w:r>
        <w:t>The Random Forest improves dramatically over the original annual model but does not beat the previous-month baseline. The short horizon and strong traffic persistence explain why lag 1 dominates permutation importance. This is a defensible negative result, not a failure to report.</w:t>
      </w:r>
    </w:p>
    <w:p>
      <w:pPr>
        <w:pStyle w:val="Heading1"/>
      </w:pPr>
      <w:r>
        <w:t>11. Regression error analysis</w:t>
      </w:r>
    </w:p>
    <w:p>
      <w:pPr>
        <w:keepNext/>
        <w:jc w:val="center"/>
      </w:pPr>
      <w:r>
        <w:drawing>
          <wp:inline xmlns:a="http://schemas.openxmlformats.org/drawingml/2006/main" xmlns:pic="http://schemas.openxmlformats.org/drawingml/2006/picture">
            <wp:extent cx="5806440" cy="4760771"/>
            <wp:docPr id="3" name="Picture 3"/>
            <wp:cNvGraphicFramePr>
              <a:graphicFrameLocks noChangeAspect="1"/>
            </wp:cNvGraphicFramePr>
            <a:graphic>
              <a:graphicData uri="http://schemas.openxmlformats.org/drawingml/2006/picture">
                <pic:pic>
                  <pic:nvPicPr>
                    <pic:cNvPr id="0" name="regression_actual_predicted.png"/>
                    <pic:cNvPicPr/>
                  </pic:nvPicPr>
                  <pic:blipFill>
                    <a:blip r:embed="rId13"/>
                    <a:stretch>
                      <a:fillRect/>
                    </a:stretch>
                  </pic:blipFill>
                  <pic:spPr>
                    <a:xfrm>
                      <a:off x="0" y="0"/>
                      <a:ext cx="5806440" cy="4760771"/>
                    </a:xfrm>
                    <a:prstGeom prst="rect"/>
                  </pic:spPr>
                </pic:pic>
              </a:graphicData>
            </a:graphic>
          </wp:inline>
        </w:drawing>
      </w:r>
    </w:p>
    <w:p>
      <w:pPr>
        <w:jc w:val="center"/>
      </w:pPr>
      <w:r>
        <w:rPr>
          <w:i/>
          <w:color w:val="4A5863"/>
          <w:sz w:val="18"/>
        </w:rPr>
        <w:t>Figure 4. Actual and predicted 2025 airport-month movements for the validation-selected Random Forest.</w:t>
      </w:r>
    </w:p>
    <w:tbl>
      <w:tblPr>
        <w:tblStyle w:val="TableGrid"/>
        <w:tblW w:type="auto" w:w="0"/>
        <w:jc w:val="center"/>
        <w:tblLook w:firstColumn="1" w:firstRow="1" w:lastColumn="0" w:lastRow="0" w:noHBand="0" w:noVBand="1" w:val="04A0"/>
      </w:tblPr>
      <w:tblGrid>
        <w:gridCol w:w="2470"/>
        <w:gridCol w:w="2470"/>
        <w:gridCol w:w="2470"/>
        <w:gridCol w:w="2470"/>
      </w:tblGrid>
      <w:tr>
        <w:tc>
          <w:tcPr>
            <w:tcW w:type="dxa" w:w="2470"/>
            <w:vAlign w:val="center"/>
            <w:tcMar>
              <w:top w:w="90" w:type="dxa"/>
              <w:start w:w="90" w:type="dxa"/>
              <w:bottom w:w="90" w:type="dxa"/>
              <w:end w:w="90" w:type="dxa"/>
            </w:tcMar>
            <w:shd w:fill="173B58"/>
          </w:tcPr>
          <w:p>
            <w:pPr>
              <w:jc w:val="left"/>
            </w:pPr>
            <w:r>
              <w:rPr>
                <w:rFonts w:ascii="Times New Roman" w:hAnsi="Times New Roman"/>
                <w:b/>
                <w:color w:val="FFFFFF"/>
                <w:sz w:val="16"/>
              </w:rPr>
              <w:t>Prior-year traffic segment</w:t>
            </w:r>
          </w:p>
        </w:tc>
        <w:tc>
          <w:tcPr>
            <w:tcW w:type="dxa" w:w="2470"/>
            <w:vAlign w:val="center"/>
            <w:tcMar>
              <w:top w:w="90" w:type="dxa"/>
              <w:start w:w="90" w:type="dxa"/>
              <w:bottom w:w="90" w:type="dxa"/>
              <w:end w:w="90" w:type="dxa"/>
            </w:tcMar>
            <w:shd w:fill="173B58"/>
          </w:tcPr>
          <w:p>
            <w:pPr>
              <w:jc w:val="center"/>
            </w:pPr>
            <w:r>
              <w:rPr>
                <w:rFonts w:ascii="Times New Roman" w:hAnsi="Times New Roman"/>
                <w:b/>
                <w:color w:val="FFFFFF"/>
                <w:sz w:val="16"/>
              </w:rPr>
              <w:t>Random Forest MAE</w:t>
            </w:r>
          </w:p>
        </w:tc>
        <w:tc>
          <w:tcPr>
            <w:tcW w:type="dxa" w:w="2470"/>
            <w:vAlign w:val="center"/>
            <w:tcMar>
              <w:top w:w="90" w:type="dxa"/>
              <w:start w:w="90" w:type="dxa"/>
              <w:bottom w:w="90" w:type="dxa"/>
              <w:end w:w="90" w:type="dxa"/>
            </w:tcMar>
            <w:shd w:fill="173B58"/>
          </w:tcPr>
          <w:p>
            <w:pPr>
              <w:jc w:val="center"/>
            </w:pPr>
            <w:r>
              <w:rPr>
                <w:rFonts w:ascii="Times New Roman" w:hAnsi="Times New Roman"/>
                <w:b/>
                <w:color w:val="FFFFFF"/>
                <w:sz w:val="16"/>
              </w:rPr>
              <w:t>Previous-month MAE</w:t>
            </w:r>
          </w:p>
        </w:tc>
        <w:tc>
          <w:tcPr>
            <w:tcW w:type="dxa" w:w="2470"/>
            <w:vAlign w:val="center"/>
            <w:tcMar>
              <w:top w:w="90" w:type="dxa"/>
              <w:start w:w="90" w:type="dxa"/>
              <w:bottom w:w="90" w:type="dxa"/>
              <w:end w:w="90" w:type="dxa"/>
            </w:tcMar>
            <w:shd w:fill="173B58"/>
          </w:tcPr>
          <w:p>
            <w:pPr>
              <w:jc w:val="center"/>
            </w:pPr>
            <w:r>
              <w:rPr>
                <w:rFonts w:ascii="Times New Roman" w:hAnsi="Times New Roman"/>
                <w:b/>
                <w:color w:val="FFFFFF"/>
                <w:sz w:val="16"/>
              </w:rPr>
              <w:t>Test rows</w:t>
            </w:r>
          </w:p>
        </w:tc>
      </w:tr>
      <w:tr>
        <w:tc>
          <w:tcPr>
            <w:tcW w:type="dxa" w:w="2470"/>
            <w:vAlign w:val="center"/>
            <w:tcMar>
              <w:top w:w="90" w:type="dxa"/>
              <w:start w:w="90" w:type="dxa"/>
              <w:bottom w:w="90" w:type="dxa"/>
              <w:end w:w="90" w:type="dxa"/>
            </w:tcMar>
          </w:tcPr>
          <w:p>
            <w:pPr>
              <w:jc w:val="left"/>
            </w:pPr>
            <w:r>
              <w:rPr>
                <w:rFonts w:ascii="Times New Roman" w:hAnsi="Times New Roman"/>
                <w:color w:val="191919"/>
                <w:sz w:val="16"/>
              </w:rPr>
              <w:t>Lower</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1,431</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1,314</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436</w:t>
            </w:r>
          </w:p>
        </w:tc>
      </w:tr>
      <w:tr>
        <w:tc>
          <w:tcPr>
            <w:tcW w:type="dxa" w:w="2470"/>
            <w:vAlign w:val="center"/>
            <w:tcMar>
              <w:top w:w="90" w:type="dxa"/>
              <w:start w:w="90" w:type="dxa"/>
              <w:bottom w:w="90" w:type="dxa"/>
              <w:end w:w="90" w:type="dxa"/>
            </w:tcMar>
            <w:shd w:fill="F4F7F9"/>
          </w:tcPr>
          <w:p>
            <w:pPr>
              <w:jc w:val="left"/>
            </w:pPr>
            <w:r>
              <w:rPr>
                <w:rFonts w:ascii="Times New Roman" w:hAnsi="Times New Roman"/>
                <w:color w:val="191919"/>
                <w:sz w:val="16"/>
              </w:rPr>
              <w:t>Middle</w:t>
            </w:r>
          </w:p>
        </w:tc>
        <w:tc>
          <w:tcPr>
            <w:tcW w:type="dxa" w:w="2470"/>
            <w:vAlign w:val="center"/>
            <w:tcMar>
              <w:top w:w="90" w:type="dxa"/>
              <w:start w:w="90" w:type="dxa"/>
              <w:bottom w:w="90" w:type="dxa"/>
              <w:end w:w="90" w:type="dxa"/>
            </w:tcMar>
            <w:shd w:fill="F4F7F9"/>
          </w:tcPr>
          <w:p>
            <w:pPr>
              <w:jc w:val="center"/>
            </w:pPr>
            <w:r>
              <w:rPr>
                <w:rFonts w:ascii="Times New Roman" w:hAnsi="Times New Roman"/>
                <w:color w:val="191919"/>
                <w:sz w:val="16"/>
              </w:rPr>
              <w:t>6,616</w:t>
            </w:r>
          </w:p>
        </w:tc>
        <w:tc>
          <w:tcPr>
            <w:tcW w:type="dxa" w:w="2470"/>
            <w:vAlign w:val="center"/>
            <w:tcMar>
              <w:top w:w="90" w:type="dxa"/>
              <w:start w:w="90" w:type="dxa"/>
              <w:bottom w:w="90" w:type="dxa"/>
              <w:end w:w="90" w:type="dxa"/>
            </w:tcMar>
            <w:shd w:fill="F4F7F9"/>
          </w:tcPr>
          <w:p>
            <w:pPr>
              <w:jc w:val="center"/>
            </w:pPr>
            <w:r>
              <w:rPr>
                <w:rFonts w:ascii="Times New Roman" w:hAnsi="Times New Roman"/>
                <w:color w:val="191919"/>
                <w:sz w:val="16"/>
              </w:rPr>
              <w:t>6,438</w:t>
            </w:r>
          </w:p>
        </w:tc>
        <w:tc>
          <w:tcPr>
            <w:tcW w:type="dxa" w:w="2470"/>
            <w:vAlign w:val="center"/>
            <w:tcMar>
              <w:top w:w="90" w:type="dxa"/>
              <w:start w:w="90" w:type="dxa"/>
              <w:bottom w:w="90" w:type="dxa"/>
              <w:end w:w="90" w:type="dxa"/>
            </w:tcMar>
            <w:shd w:fill="F4F7F9"/>
          </w:tcPr>
          <w:p>
            <w:pPr>
              <w:jc w:val="center"/>
            </w:pPr>
            <w:r>
              <w:rPr>
                <w:rFonts w:ascii="Times New Roman" w:hAnsi="Times New Roman"/>
                <w:color w:val="191919"/>
                <w:sz w:val="16"/>
              </w:rPr>
              <w:t>446</w:t>
            </w:r>
          </w:p>
        </w:tc>
      </w:tr>
      <w:tr>
        <w:tc>
          <w:tcPr>
            <w:tcW w:type="dxa" w:w="2470"/>
            <w:vAlign w:val="center"/>
            <w:tcMar>
              <w:top w:w="90" w:type="dxa"/>
              <w:start w:w="90" w:type="dxa"/>
              <w:bottom w:w="90" w:type="dxa"/>
              <w:end w:w="90" w:type="dxa"/>
            </w:tcMar>
          </w:tcPr>
          <w:p>
            <w:pPr>
              <w:jc w:val="left"/>
            </w:pPr>
            <w:r>
              <w:rPr>
                <w:rFonts w:ascii="Times New Roman" w:hAnsi="Times New Roman"/>
                <w:color w:val="191919"/>
                <w:sz w:val="16"/>
              </w:rPr>
              <w:t>Higher</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42,409</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39,834</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475</w:t>
            </w:r>
          </w:p>
        </w:tc>
      </w:tr>
    </w:tbl>
    <w:p>
      <w:pPr>
        <w:spacing w:after="0"/>
      </w:pPr>
    </w:p>
    <w:p>
      <w:r>
        <w:t>Large airports dominate aggregate passenger error even when proportional error is moderate. Median absolute error for Random Forest is 3,265, which is far below its MAE because a small number of high-volume observations carry large absolute residuals.</w:t>
      </w:r>
    </w:p>
    <w:p>
      <w:pPr>
        <w:pStyle w:val="Heading1"/>
      </w:pPr>
      <w:r>
        <w:t>12. Classification methodology</w:t>
      </w:r>
    </w:p>
    <w:p>
      <w:r>
        <w:t>Class 1 is assigned only when the actual target-month value is at least 1.10 times the actual same month one year earlier and that denominator is positive. Predictors remain pre-target. Logistic Regression, Decision Tree Classifier, and Random Forest Classifier are compared with a majority-class dummy. Selection maximises mean validation balanced accuracy at decision threshold 0.50.</w:t>
      </w:r>
    </w:p>
    <w:p>
      <w:r>
        <w:t>The positive class is at least 10% growth. Precision measures the share of predicted growth cases that truly meet the threshold; recall measures the share of true growth cases detected; F1 balances both. True negatives and true positives are correct predictions, while false positives and false negatives are the corresponding error types.</w:t>
      </w:r>
    </w:p>
    <w:p>
      <w:pPr>
        <w:pStyle w:val="Heading1"/>
      </w:pPr>
      <w:r>
        <w:t>13. Classification results</w:t>
      </w:r>
    </w:p>
    <w:p>
      <w:pPr>
        <w:keepNext/>
        <w:jc w:val="center"/>
      </w:pPr>
      <w:r>
        <w:drawing>
          <wp:inline xmlns:a="http://schemas.openxmlformats.org/drawingml/2006/main" xmlns:pic="http://schemas.openxmlformats.org/drawingml/2006/picture">
            <wp:extent cx="5806440" cy="4778882"/>
            <wp:docPr id="4" name="Picture 4"/>
            <wp:cNvGraphicFramePr>
              <a:graphicFrameLocks noChangeAspect="1"/>
            </wp:cNvGraphicFramePr>
            <a:graphic>
              <a:graphicData uri="http://schemas.openxmlformats.org/drawingml/2006/picture">
                <pic:pic>
                  <pic:nvPicPr>
                    <pic:cNvPr id="0" name="classification_confusion_matrix.png"/>
                    <pic:cNvPicPr/>
                  </pic:nvPicPr>
                  <pic:blipFill>
                    <a:blip r:embed="rId14"/>
                    <a:stretch>
                      <a:fillRect/>
                    </a:stretch>
                  </pic:blipFill>
                  <pic:spPr>
                    <a:xfrm>
                      <a:off x="0" y="0"/>
                      <a:ext cx="5806440" cy="4778882"/>
                    </a:xfrm>
                    <a:prstGeom prst="rect"/>
                  </pic:spPr>
                </pic:pic>
              </a:graphicData>
            </a:graphic>
          </wp:inline>
        </w:drawing>
      </w:r>
    </w:p>
    <w:p>
      <w:pPr>
        <w:jc w:val="center"/>
      </w:pPr>
      <w:r>
        <w:rPr>
          <w:i/>
          <w:color w:val="4A5863"/>
          <w:sz w:val="18"/>
        </w:rPr>
        <w:t>Figure 5. Logistic Regression confusion matrix on 1,357 untouched 2025 observations.</w:t>
      </w:r>
    </w:p>
    <w:tbl>
      <w:tblPr>
        <w:tblStyle w:val="TableGrid"/>
        <w:tblW w:type="auto" w:w="0"/>
        <w:jc w:val="center"/>
        <w:tblLook w:firstColumn="1" w:firstRow="1" w:lastColumn="0" w:lastRow="0" w:noHBand="0" w:noVBand="1" w:val="04A0"/>
      </w:tblPr>
      <w:tblGrid>
        <w:gridCol w:w="1235"/>
        <w:gridCol w:w="1235"/>
        <w:gridCol w:w="1235"/>
        <w:gridCol w:w="1235"/>
        <w:gridCol w:w="1235"/>
        <w:gridCol w:w="1235"/>
        <w:gridCol w:w="1235"/>
        <w:gridCol w:w="1235"/>
      </w:tblGrid>
      <w:tr>
        <w:tc>
          <w:tcPr>
            <w:tcW w:type="dxa" w:w="1235"/>
            <w:vAlign w:val="center"/>
            <w:tcMar>
              <w:top w:w="90" w:type="dxa"/>
              <w:start w:w="90" w:type="dxa"/>
              <w:bottom w:w="90" w:type="dxa"/>
              <w:end w:w="90" w:type="dxa"/>
            </w:tcMar>
            <w:shd w:fill="173B58"/>
          </w:tcPr>
          <w:p>
            <w:pPr>
              <w:jc w:val="left"/>
            </w:pPr>
            <w:r>
              <w:rPr>
                <w:rFonts w:ascii="Times New Roman" w:hAnsi="Times New Roman"/>
                <w:b/>
                <w:color w:val="FFFFFF"/>
                <w:sz w:val="16"/>
              </w:rPr>
              <w:t>Model</w:t>
            </w:r>
          </w:p>
        </w:tc>
        <w:tc>
          <w:tcPr>
            <w:tcW w:type="dxa" w:w="1235"/>
            <w:vAlign w:val="center"/>
            <w:tcMar>
              <w:top w:w="90" w:type="dxa"/>
              <w:start w:w="90" w:type="dxa"/>
              <w:bottom w:w="90" w:type="dxa"/>
              <w:end w:w="90" w:type="dxa"/>
            </w:tcMar>
            <w:shd w:fill="173B58"/>
          </w:tcPr>
          <w:p>
            <w:pPr>
              <w:jc w:val="center"/>
            </w:pPr>
            <w:r>
              <w:rPr>
                <w:rFonts w:ascii="Times New Roman" w:hAnsi="Times New Roman"/>
                <w:b/>
                <w:color w:val="FFFFFF"/>
                <w:sz w:val="16"/>
              </w:rPr>
              <w:t>Accuracy</w:t>
            </w:r>
          </w:p>
        </w:tc>
        <w:tc>
          <w:tcPr>
            <w:tcW w:type="dxa" w:w="1235"/>
            <w:vAlign w:val="center"/>
            <w:tcMar>
              <w:top w:w="90" w:type="dxa"/>
              <w:start w:w="90" w:type="dxa"/>
              <w:bottom w:w="90" w:type="dxa"/>
              <w:end w:w="90" w:type="dxa"/>
            </w:tcMar>
            <w:shd w:fill="173B58"/>
          </w:tcPr>
          <w:p>
            <w:pPr>
              <w:jc w:val="center"/>
            </w:pPr>
            <w:r>
              <w:rPr>
                <w:rFonts w:ascii="Times New Roman" w:hAnsi="Times New Roman"/>
                <w:b/>
                <w:color w:val="FFFFFF"/>
                <w:sz w:val="16"/>
              </w:rPr>
              <w:t>Balanced accuracy</w:t>
            </w:r>
          </w:p>
        </w:tc>
        <w:tc>
          <w:tcPr>
            <w:tcW w:type="dxa" w:w="1235"/>
            <w:vAlign w:val="center"/>
            <w:tcMar>
              <w:top w:w="90" w:type="dxa"/>
              <w:start w:w="90" w:type="dxa"/>
              <w:bottom w:w="90" w:type="dxa"/>
              <w:end w:w="90" w:type="dxa"/>
            </w:tcMar>
            <w:shd w:fill="173B58"/>
          </w:tcPr>
          <w:p>
            <w:pPr>
              <w:jc w:val="center"/>
            </w:pPr>
            <w:r>
              <w:rPr>
                <w:rFonts w:ascii="Times New Roman" w:hAnsi="Times New Roman"/>
                <w:b/>
                <w:color w:val="FFFFFF"/>
                <w:sz w:val="16"/>
              </w:rPr>
              <w:t>Precision</w:t>
            </w:r>
          </w:p>
        </w:tc>
        <w:tc>
          <w:tcPr>
            <w:tcW w:type="dxa" w:w="1235"/>
            <w:vAlign w:val="center"/>
            <w:tcMar>
              <w:top w:w="90" w:type="dxa"/>
              <w:start w:w="90" w:type="dxa"/>
              <w:bottom w:w="90" w:type="dxa"/>
              <w:end w:w="90" w:type="dxa"/>
            </w:tcMar>
            <w:shd w:fill="173B58"/>
          </w:tcPr>
          <w:p>
            <w:pPr>
              <w:jc w:val="center"/>
            </w:pPr>
            <w:r>
              <w:rPr>
                <w:rFonts w:ascii="Times New Roman" w:hAnsi="Times New Roman"/>
                <w:b/>
                <w:color w:val="FFFFFF"/>
                <w:sz w:val="16"/>
              </w:rPr>
              <w:t>Recall</w:t>
            </w:r>
          </w:p>
        </w:tc>
        <w:tc>
          <w:tcPr>
            <w:tcW w:type="dxa" w:w="1235"/>
            <w:vAlign w:val="center"/>
            <w:tcMar>
              <w:top w:w="90" w:type="dxa"/>
              <w:start w:w="90" w:type="dxa"/>
              <w:bottom w:w="90" w:type="dxa"/>
              <w:end w:w="90" w:type="dxa"/>
            </w:tcMar>
            <w:shd w:fill="173B58"/>
          </w:tcPr>
          <w:p>
            <w:pPr>
              <w:jc w:val="center"/>
            </w:pPr>
            <w:r>
              <w:rPr>
                <w:rFonts w:ascii="Times New Roman" w:hAnsi="Times New Roman"/>
                <w:b/>
                <w:color w:val="FFFFFF"/>
                <w:sz w:val="16"/>
              </w:rPr>
              <w:t>F1</w:t>
            </w:r>
          </w:p>
        </w:tc>
        <w:tc>
          <w:tcPr>
            <w:tcW w:type="dxa" w:w="1235"/>
            <w:vAlign w:val="center"/>
            <w:tcMar>
              <w:top w:w="90" w:type="dxa"/>
              <w:start w:w="90" w:type="dxa"/>
              <w:bottom w:w="90" w:type="dxa"/>
              <w:end w:w="90" w:type="dxa"/>
            </w:tcMar>
            <w:shd w:fill="173B58"/>
          </w:tcPr>
          <w:p>
            <w:pPr>
              <w:jc w:val="center"/>
            </w:pPr>
            <w:r>
              <w:rPr>
                <w:rFonts w:ascii="Times New Roman" w:hAnsi="Times New Roman"/>
                <w:b/>
                <w:color w:val="FFFFFF"/>
                <w:sz w:val="16"/>
              </w:rPr>
              <w:t>ROC-AUC</w:t>
            </w:r>
          </w:p>
        </w:tc>
        <w:tc>
          <w:tcPr>
            <w:tcW w:type="dxa" w:w="1235"/>
            <w:vAlign w:val="center"/>
            <w:tcMar>
              <w:top w:w="90" w:type="dxa"/>
              <w:start w:w="90" w:type="dxa"/>
              <w:bottom w:w="90" w:type="dxa"/>
              <w:end w:w="90" w:type="dxa"/>
            </w:tcMar>
            <w:shd w:fill="173B58"/>
          </w:tcPr>
          <w:p>
            <w:pPr>
              <w:jc w:val="center"/>
            </w:pPr>
            <w:r>
              <w:rPr>
                <w:rFonts w:ascii="Times New Roman" w:hAnsi="Times New Roman"/>
                <w:b/>
                <w:color w:val="FFFFFF"/>
                <w:sz w:val="16"/>
              </w:rPr>
              <w:t>Average precision</w:t>
            </w:r>
          </w:p>
        </w:tc>
      </w:tr>
      <w:tr>
        <w:tc>
          <w:tcPr>
            <w:tcW w:type="dxa" w:w="1235"/>
            <w:vAlign w:val="center"/>
            <w:tcMar>
              <w:top w:w="90" w:type="dxa"/>
              <w:start w:w="90" w:type="dxa"/>
              <w:bottom w:w="90" w:type="dxa"/>
              <w:end w:w="90" w:type="dxa"/>
            </w:tcMar>
          </w:tcPr>
          <w:p>
            <w:pPr>
              <w:jc w:val="left"/>
            </w:pPr>
            <w:r>
              <w:rPr>
                <w:rFonts w:ascii="Times New Roman" w:hAnsi="Times New Roman"/>
                <w:color w:val="191919"/>
                <w:sz w:val="16"/>
              </w:rPr>
              <w:t>Logistic Regression</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0.7959</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0.7807</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0.8288</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0.6667</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0.7389</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0.8862</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0.8445</w:t>
            </w:r>
          </w:p>
        </w:tc>
      </w:tr>
      <w:tr>
        <w:tc>
          <w:tcPr>
            <w:tcW w:type="dxa" w:w="1235"/>
            <w:vAlign w:val="center"/>
            <w:tcMar>
              <w:top w:w="90" w:type="dxa"/>
              <w:start w:w="90" w:type="dxa"/>
              <w:bottom w:w="90" w:type="dxa"/>
              <w:end w:w="90" w:type="dxa"/>
            </w:tcMar>
            <w:shd w:fill="F4F7F9"/>
          </w:tcPr>
          <w:p>
            <w:pPr>
              <w:jc w:val="left"/>
            </w:pPr>
            <w:r>
              <w:rPr>
                <w:rFonts w:ascii="Times New Roman" w:hAnsi="Times New Roman"/>
                <w:color w:val="191919"/>
                <w:sz w:val="16"/>
              </w:rPr>
              <w:t>Decision Tree</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0.8040</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0.7920</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0.8194</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0.7024</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0.7564</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0.8780</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0.8190</w:t>
            </w:r>
          </w:p>
        </w:tc>
      </w:tr>
      <w:tr>
        <w:tc>
          <w:tcPr>
            <w:tcW w:type="dxa" w:w="1235"/>
            <w:vAlign w:val="center"/>
            <w:tcMar>
              <w:top w:w="90" w:type="dxa"/>
              <w:start w:w="90" w:type="dxa"/>
              <w:bottom w:w="90" w:type="dxa"/>
              <w:end w:w="90" w:type="dxa"/>
            </w:tcMar>
          </w:tcPr>
          <w:p>
            <w:pPr>
              <w:jc w:val="left"/>
            </w:pPr>
            <w:r>
              <w:rPr>
                <w:rFonts w:ascii="Times New Roman" w:hAnsi="Times New Roman"/>
                <w:color w:val="191919"/>
                <w:sz w:val="16"/>
              </w:rPr>
              <w:t>Random Forest</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0.8224</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0.8169</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0.8071</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0.7755</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0.7910</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0.9079</w:t>
            </w:r>
          </w:p>
        </w:tc>
        <w:tc>
          <w:tcPr>
            <w:tcW w:type="dxa" w:w="1235"/>
            <w:vAlign w:val="center"/>
            <w:tcMar>
              <w:top w:w="90" w:type="dxa"/>
              <w:start w:w="90" w:type="dxa"/>
              <w:bottom w:w="90" w:type="dxa"/>
              <w:end w:w="90" w:type="dxa"/>
            </w:tcMar>
          </w:tcPr>
          <w:p>
            <w:pPr>
              <w:jc w:val="center"/>
            </w:pPr>
            <w:r>
              <w:rPr>
                <w:rFonts w:ascii="Times New Roman" w:hAnsi="Times New Roman"/>
                <w:color w:val="191919"/>
                <w:sz w:val="16"/>
              </w:rPr>
              <w:t>0.8834</w:t>
            </w:r>
          </w:p>
        </w:tc>
      </w:tr>
      <w:tr>
        <w:tc>
          <w:tcPr>
            <w:tcW w:type="dxa" w:w="1235"/>
            <w:vAlign w:val="center"/>
            <w:tcMar>
              <w:top w:w="90" w:type="dxa"/>
              <w:start w:w="90" w:type="dxa"/>
              <w:bottom w:w="90" w:type="dxa"/>
              <w:end w:w="90" w:type="dxa"/>
            </w:tcMar>
            <w:shd w:fill="F4F7F9"/>
          </w:tcPr>
          <w:p>
            <w:pPr>
              <w:jc w:val="left"/>
            </w:pPr>
            <w:r>
              <w:rPr>
                <w:rFonts w:ascii="Times New Roman" w:hAnsi="Times New Roman"/>
                <w:color w:val="191919"/>
                <w:sz w:val="16"/>
              </w:rPr>
              <w:t>Majority dummy</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0.4333</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0.5000</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0.4333</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1.0000</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0.6046</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w:t>
            </w:r>
          </w:p>
        </w:tc>
        <w:tc>
          <w:tcPr>
            <w:tcW w:type="dxa" w:w="1235"/>
            <w:vAlign w:val="center"/>
            <w:tcMar>
              <w:top w:w="90" w:type="dxa"/>
              <w:start w:w="90" w:type="dxa"/>
              <w:bottom w:w="90" w:type="dxa"/>
              <w:end w:w="90" w:type="dxa"/>
            </w:tcMar>
            <w:shd w:fill="F4F7F9"/>
          </w:tcPr>
          <w:p>
            <w:pPr>
              <w:jc w:val="center"/>
            </w:pPr>
            <w:r>
              <w:rPr>
                <w:rFonts w:ascii="Times New Roman" w:hAnsi="Times New Roman"/>
                <w:color w:val="191919"/>
                <w:sz w:val="16"/>
              </w:rPr>
              <w:t>—</w:t>
            </w:r>
          </w:p>
        </w:tc>
      </w:tr>
    </w:tbl>
    <w:p>
      <w:pPr>
        <w:spacing w:after="0"/>
      </w:pPr>
    </w:p>
    <w:p>
      <w:r>
        <w:t>Validation selected Logistic Regression before the test was opened. Its test confusion counts are TN 688, FP 81, FN 196, and TP 392. Random Forest scores higher on the final test but is reported as a comparison rather than retroactively selected.</w:t>
      </w:r>
    </w:p>
    <w:p>
      <w:pPr>
        <w:pStyle w:val="Heading1"/>
      </w:pPr>
      <w:r>
        <w:t>14. K-Means clustering</w:t>
      </w:r>
    </w:p>
    <w:p>
      <w:pPr>
        <w:keepNext/>
        <w:jc w:val="center"/>
      </w:pPr>
      <w:r>
        <w:drawing>
          <wp:inline xmlns:a="http://schemas.openxmlformats.org/drawingml/2006/main" xmlns:pic="http://schemas.openxmlformats.org/drawingml/2006/picture">
            <wp:extent cx="5806440" cy="3296605"/>
            <wp:docPr id="5" name="Picture 5"/>
            <wp:cNvGraphicFramePr>
              <a:graphicFrameLocks noChangeAspect="1"/>
            </wp:cNvGraphicFramePr>
            <a:graphic>
              <a:graphicData uri="http://schemas.openxmlformats.org/drawingml/2006/picture">
                <pic:pic>
                  <pic:nvPicPr>
                    <pic:cNvPr id="0" name="clustering_selection.png"/>
                    <pic:cNvPicPr/>
                  </pic:nvPicPr>
                  <pic:blipFill>
                    <a:blip r:embed="rId15"/>
                    <a:stretch>
                      <a:fillRect/>
                    </a:stretch>
                  </pic:blipFill>
                  <pic:spPr>
                    <a:xfrm>
                      <a:off x="0" y="0"/>
                      <a:ext cx="5806440" cy="3296605"/>
                    </a:xfrm>
                    <a:prstGeom prst="rect"/>
                  </pic:spPr>
                </pic:pic>
              </a:graphicData>
            </a:graphic>
          </wp:inline>
        </w:drawing>
      </w:r>
    </w:p>
    <w:p>
      <w:pPr>
        <w:jc w:val="center"/>
      </w:pPr>
      <w:r>
        <w:rPr>
          <w:i/>
          <w:color w:val="4A5863"/>
          <w:sz w:val="18"/>
        </w:rPr>
        <w:t>Figure 6. K-Means inertia and Silhouette Score evidence for k = 2–6.</w:t>
      </w:r>
    </w:p>
    <w:p>
      <w:r>
        <w:t>Six 2025 airport features are median-imputed where required and standardised: log domestic traffic, log international traffic, domestic growth, monthly seasonality coefficient of variation, international share, and active months. K values from 2 through 6 are evaluated.</w:t>
      </w:r>
    </w:p>
    <w:tbl>
      <w:tblPr>
        <w:tblStyle w:val="TableGrid"/>
        <w:tblW w:type="auto" w:w="0"/>
        <w:jc w:val="center"/>
        <w:tblLook w:firstColumn="1" w:firstRow="1" w:lastColumn="0" w:lastRow="0" w:noHBand="0" w:noVBand="1" w:val="04A0"/>
      </w:tblPr>
      <w:tblGrid>
        <w:gridCol w:w="2470"/>
        <w:gridCol w:w="2470"/>
        <w:gridCol w:w="2470"/>
        <w:gridCol w:w="2470"/>
      </w:tblGrid>
      <w:tr>
        <w:tc>
          <w:tcPr>
            <w:tcW w:type="dxa" w:w="2470"/>
            <w:vAlign w:val="center"/>
            <w:tcMar>
              <w:top w:w="90" w:type="dxa"/>
              <w:start w:w="90" w:type="dxa"/>
              <w:bottom w:w="90" w:type="dxa"/>
              <w:end w:w="90" w:type="dxa"/>
            </w:tcMar>
            <w:shd w:fill="173B58"/>
          </w:tcPr>
          <w:p>
            <w:pPr>
              <w:jc w:val="left"/>
            </w:pPr>
            <w:r>
              <w:rPr>
                <w:rFonts w:ascii="Times New Roman" w:hAnsi="Times New Roman"/>
                <w:b/>
                <w:color w:val="FFFFFF"/>
                <w:sz w:val="16"/>
              </w:rPr>
              <w:t>k</w:t>
            </w:r>
          </w:p>
        </w:tc>
        <w:tc>
          <w:tcPr>
            <w:tcW w:type="dxa" w:w="2470"/>
            <w:vAlign w:val="center"/>
            <w:tcMar>
              <w:top w:w="90" w:type="dxa"/>
              <w:start w:w="90" w:type="dxa"/>
              <w:bottom w:w="90" w:type="dxa"/>
              <w:end w:w="90" w:type="dxa"/>
            </w:tcMar>
            <w:shd w:fill="173B58"/>
          </w:tcPr>
          <w:p>
            <w:pPr>
              <w:jc w:val="center"/>
            </w:pPr>
            <w:r>
              <w:rPr>
                <w:rFonts w:ascii="Times New Roman" w:hAnsi="Times New Roman"/>
                <w:b/>
                <w:color w:val="FFFFFF"/>
                <w:sz w:val="16"/>
              </w:rPr>
              <w:t>Inertia</w:t>
            </w:r>
          </w:p>
        </w:tc>
        <w:tc>
          <w:tcPr>
            <w:tcW w:type="dxa" w:w="2470"/>
            <w:vAlign w:val="center"/>
            <w:tcMar>
              <w:top w:w="90" w:type="dxa"/>
              <w:start w:w="90" w:type="dxa"/>
              <w:bottom w:w="90" w:type="dxa"/>
              <w:end w:w="90" w:type="dxa"/>
            </w:tcMar>
            <w:shd w:fill="173B58"/>
          </w:tcPr>
          <w:p>
            <w:pPr>
              <w:jc w:val="center"/>
            </w:pPr>
            <w:r>
              <w:rPr>
                <w:rFonts w:ascii="Times New Roman" w:hAnsi="Times New Roman"/>
                <w:b/>
                <w:color w:val="FFFFFF"/>
                <w:sz w:val="16"/>
              </w:rPr>
              <w:t>Silhouette</w:t>
            </w:r>
          </w:p>
        </w:tc>
        <w:tc>
          <w:tcPr>
            <w:tcW w:type="dxa" w:w="2470"/>
            <w:vAlign w:val="center"/>
            <w:tcMar>
              <w:top w:w="90" w:type="dxa"/>
              <w:start w:w="90" w:type="dxa"/>
              <w:bottom w:w="90" w:type="dxa"/>
              <w:end w:w="90" w:type="dxa"/>
            </w:tcMar>
            <w:shd w:fill="173B58"/>
          </w:tcPr>
          <w:p>
            <w:pPr>
              <w:jc w:val="center"/>
            </w:pPr>
            <w:r>
              <w:rPr>
                <w:rFonts w:ascii="Times New Roman" w:hAnsi="Times New Roman"/>
                <w:b/>
                <w:color w:val="FFFFFF"/>
                <w:sz w:val="16"/>
              </w:rPr>
              <w:t>Minimum cluster size</w:t>
            </w:r>
          </w:p>
        </w:tc>
      </w:tr>
      <w:tr>
        <w:tc>
          <w:tcPr>
            <w:tcW w:type="dxa" w:w="2470"/>
            <w:vAlign w:val="center"/>
            <w:tcMar>
              <w:top w:w="90" w:type="dxa"/>
              <w:start w:w="90" w:type="dxa"/>
              <w:bottom w:w="90" w:type="dxa"/>
              <w:end w:w="90" w:type="dxa"/>
            </w:tcMar>
          </w:tcPr>
          <w:p>
            <w:pPr>
              <w:jc w:val="left"/>
            </w:pPr>
            <w:r>
              <w:rPr>
                <w:rFonts w:ascii="Times New Roman" w:hAnsi="Times New Roman"/>
                <w:color w:val="191919"/>
                <w:sz w:val="16"/>
              </w:rPr>
              <w:t>2</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521.42</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0.4284</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31</w:t>
            </w:r>
          </w:p>
        </w:tc>
      </w:tr>
      <w:tr>
        <w:tc>
          <w:tcPr>
            <w:tcW w:type="dxa" w:w="2470"/>
            <w:vAlign w:val="center"/>
            <w:tcMar>
              <w:top w:w="90" w:type="dxa"/>
              <w:start w:w="90" w:type="dxa"/>
              <w:bottom w:w="90" w:type="dxa"/>
              <w:end w:w="90" w:type="dxa"/>
            </w:tcMar>
            <w:shd w:fill="F4F7F9"/>
          </w:tcPr>
          <w:p>
            <w:pPr>
              <w:jc w:val="left"/>
            </w:pPr>
            <w:r>
              <w:rPr>
                <w:rFonts w:ascii="Times New Roman" w:hAnsi="Times New Roman"/>
                <w:color w:val="191919"/>
                <w:sz w:val="16"/>
              </w:rPr>
              <w:t>3</w:t>
            </w:r>
          </w:p>
        </w:tc>
        <w:tc>
          <w:tcPr>
            <w:tcW w:type="dxa" w:w="2470"/>
            <w:vAlign w:val="center"/>
            <w:tcMar>
              <w:top w:w="90" w:type="dxa"/>
              <w:start w:w="90" w:type="dxa"/>
              <w:bottom w:w="90" w:type="dxa"/>
              <w:end w:w="90" w:type="dxa"/>
            </w:tcMar>
            <w:shd w:fill="F4F7F9"/>
          </w:tcPr>
          <w:p>
            <w:pPr>
              <w:jc w:val="center"/>
            </w:pPr>
            <w:r>
              <w:rPr>
                <w:rFonts w:ascii="Times New Roman" w:hAnsi="Times New Roman"/>
                <w:color w:val="191919"/>
                <w:sz w:val="16"/>
              </w:rPr>
              <w:t>367.19</w:t>
            </w:r>
          </w:p>
        </w:tc>
        <w:tc>
          <w:tcPr>
            <w:tcW w:type="dxa" w:w="2470"/>
            <w:vAlign w:val="center"/>
            <w:tcMar>
              <w:top w:w="90" w:type="dxa"/>
              <w:start w:w="90" w:type="dxa"/>
              <w:bottom w:w="90" w:type="dxa"/>
              <w:end w:w="90" w:type="dxa"/>
            </w:tcMar>
            <w:shd w:fill="F4F7F9"/>
          </w:tcPr>
          <w:p>
            <w:pPr>
              <w:jc w:val="center"/>
            </w:pPr>
            <w:r>
              <w:rPr>
                <w:rFonts w:ascii="Times New Roman" w:hAnsi="Times New Roman"/>
                <w:color w:val="191919"/>
                <w:sz w:val="16"/>
              </w:rPr>
              <w:t>0.4640</w:t>
            </w:r>
          </w:p>
        </w:tc>
        <w:tc>
          <w:tcPr>
            <w:tcW w:type="dxa" w:w="2470"/>
            <w:vAlign w:val="center"/>
            <w:tcMar>
              <w:top w:w="90" w:type="dxa"/>
              <w:start w:w="90" w:type="dxa"/>
              <w:bottom w:w="90" w:type="dxa"/>
              <w:end w:w="90" w:type="dxa"/>
            </w:tcMar>
            <w:shd w:fill="F4F7F9"/>
          </w:tcPr>
          <w:p>
            <w:pPr>
              <w:jc w:val="center"/>
            </w:pPr>
            <w:r>
              <w:rPr>
                <w:rFonts w:ascii="Times New Roman" w:hAnsi="Times New Roman"/>
                <w:color w:val="191919"/>
                <w:sz w:val="16"/>
              </w:rPr>
              <w:t>26</w:t>
            </w:r>
          </w:p>
        </w:tc>
      </w:tr>
      <w:tr>
        <w:tc>
          <w:tcPr>
            <w:tcW w:type="dxa" w:w="2470"/>
            <w:vAlign w:val="center"/>
            <w:tcMar>
              <w:top w:w="90" w:type="dxa"/>
              <w:start w:w="90" w:type="dxa"/>
              <w:bottom w:w="90" w:type="dxa"/>
              <w:end w:w="90" w:type="dxa"/>
            </w:tcMar>
          </w:tcPr>
          <w:p>
            <w:pPr>
              <w:jc w:val="left"/>
            </w:pPr>
            <w:r>
              <w:rPr>
                <w:rFonts w:ascii="Times New Roman" w:hAnsi="Times New Roman"/>
                <w:color w:val="191919"/>
                <w:sz w:val="16"/>
              </w:rPr>
              <w:t>4</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274.58</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0.4916</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7</w:t>
            </w:r>
          </w:p>
        </w:tc>
      </w:tr>
      <w:tr>
        <w:tc>
          <w:tcPr>
            <w:tcW w:type="dxa" w:w="2470"/>
            <w:vAlign w:val="center"/>
            <w:tcMar>
              <w:top w:w="90" w:type="dxa"/>
              <w:start w:w="90" w:type="dxa"/>
              <w:bottom w:w="90" w:type="dxa"/>
              <w:end w:w="90" w:type="dxa"/>
            </w:tcMar>
            <w:shd w:fill="F4F7F9"/>
          </w:tcPr>
          <w:p>
            <w:pPr>
              <w:jc w:val="left"/>
            </w:pPr>
            <w:r>
              <w:rPr>
                <w:rFonts w:ascii="Times New Roman" w:hAnsi="Times New Roman"/>
                <w:color w:val="191919"/>
                <w:sz w:val="16"/>
              </w:rPr>
              <w:t>5</w:t>
            </w:r>
          </w:p>
        </w:tc>
        <w:tc>
          <w:tcPr>
            <w:tcW w:type="dxa" w:w="2470"/>
            <w:vAlign w:val="center"/>
            <w:tcMar>
              <w:top w:w="90" w:type="dxa"/>
              <w:start w:w="90" w:type="dxa"/>
              <w:bottom w:w="90" w:type="dxa"/>
              <w:end w:w="90" w:type="dxa"/>
            </w:tcMar>
            <w:shd w:fill="F4F7F9"/>
          </w:tcPr>
          <w:p>
            <w:pPr>
              <w:jc w:val="center"/>
            </w:pPr>
            <w:r>
              <w:rPr>
                <w:rFonts w:ascii="Times New Roman" w:hAnsi="Times New Roman"/>
                <w:color w:val="191919"/>
                <w:sz w:val="16"/>
              </w:rPr>
              <w:t>215.88</w:t>
            </w:r>
          </w:p>
        </w:tc>
        <w:tc>
          <w:tcPr>
            <w:tcW w:type="dxa" w:w="2470"/>
            <w:vAlign w:val="center"/>
            <w:tcMar>
              <w:top w:w="90" w:type="dxa"/>
              <w:start w:w="90" w:type="dxa"/>
              <w:bottom w:w="90" w:type="dxa"/>
              <w:end w:w="90" w:type="dxa"/>
            </w:tcMar>
            <w:shd w:fill="F4F7F9"/>
          </w:tcPr>
          <w:p>
            <w:pPr>
              <w:jc w:val="center"/>
            </w:pPr>
            <w:r>
              <w:rPr>
                <w:rFonts w:ascii="Times New Roman" w:hAnsi="Times New Roman"/>
                <w:color w:val="191919"/>
                <w:sz w:val="16"/>
              </w:rPr>
              <w:t>0.5021</w:t>
            </w:r>
          </w:p>
        </w:tc>
        <w:tc>
          <w:tcPr>
            <w:tcW w:type="dxa" w:w="2470"/>
            <w:vAlign w:val="center"/>
            <w:tcMar>
              <w:top w:w="90" w:type="dxa"/>
              <w:start w:w="90" w:type="dxa"/>
              <w:bottom w:w="90" w:type="dxa"/>
              <w:end w:w="90" w:type="dxa"/>
            </w:tcMar>
            <w:shd w:fill="F4F7F9"/>
          </w:tcPr>
          <w:p>
            <w:pPr>
              <w:jc w:val="center"/>
            </w:pPr>
            <w:r>
              <w:rPr>
                <w:rFonts w:ascii="Times New Roman" w:hAnsi="Times New Roman"/>
                <w:color w:val="191919"/>
                <w:sz w:val="16"/>
              </w:rPr>
              <w:t>4</w:t>
            </w:r>
          </w:p>
        </w:tc>
      </w:tr>
      <w:tr>
        <w:tc>
          <w:tcPr>
            <w:tcW w:type="dxa" w:w="2470"/>
            <w:vAlign w:val="center"/>
            <w:tcMar>
              <w:top w:w="90" w:type="dxa"/>
              <w:start w:w="90" w:type="dxa"/>
              <w:bottom w:w="90" w:type="dxa"/>
              <w:end w:w="90" w:type="dxa"/>
            </w:tcMar>
          </w:tcPr>
          <w:p>
            <w:pPr>
              <w:jc w:val="left"/>
            </w:pPr>
            <w:r>
              <w:rPr>
                <w:rFonts w:ascii="Times New Roman" w:hAnsi="Times New Roman"/>
                <w:color w:val="191919"/>
                <w:sz w:val="16"/>
              </w:rPr>
              <w:t>6</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173.47</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0.4852</w:t>
            </w:r>
          </w:p>
        </w:tc>
        <w:tc>
          <w:tcPr>
            <w:tcW w:type="dxa" w:w="2470"/>
            <w:vAlign w:val="center"/>
            <w:tcMar>
              <w:top w:w="90" w:type="dxa"/>
              <w:start w:w="90" w:type="dxa"/>
              <w:bottom w:w="90" w:type="dxa"/>
              <w:end w:w="90" w:type="dxa"/>
            </w:tcMar>
          </w:tcPr>
          <w:p>
            <w:pPr>
              <w:jc w:val="center"/>
            </w:pPr>
            <w:r>
              <w:rPr>
                <w:rFonts w:ascii="Times New Roman" w:hAnsi="Times New Roman"/>
                <w:color w:val="191919"/>
                <w:sz w:val="16"/>
              </w:rPr>
              <w:t>4</w:t>
            </w:r>
          </w:p>
        </w:tc>
      </w:tr>
    </w:tbl>
    <w:p>
      <w:pPr>
        <w:spacing w:after="0"/>
      </w:pPr>
    </w:p>
    <w:p>
      <w:r>
        <w:t>Although k = 5 has the highest silhouette, its smallest cluster contains only four airports and fails the declared viability rule. Therefore k = 4 is selected.</w:t>
      </w:r>
    </w:p>
    <w:tbl>
      <w:tblPr>
        <w:tblStyle w:val="TableGrid"/>
        <w:tblW w:type="auto" w:w="0"/>
        <w:jc w:val="center"/>
        <w:tblLook w:firstColumn="1" w:firstRow="1" w:lastColumn="0" w:lastRow="0" w:noHBand="0" w:noVBand="1" w:val="04A0"/>
      </w:tblPr>
      <w:tblGrid>
        <w:gridCol w:w="1646"/>
        <w:gridCol w:w="1646"/>
        <w:gridCol w:w="1646"/>
        <w:gridCol w:w="1646"/>
        <w:gridCol w:w="1646"/>
        <w:gridCol w:w="1646"/>
      </w:tblGrid>
      <w:tr>
        <w:tc>
          <w:tcPr>
            <w:tcW w:type="dxa" w:w="1646"/>
            <w:vAlign w:val="center"/>
            <w:tcMar>
              <w:top w:w="90" w:type="dxa"/>
              <w:start w:w="90" w:type="dxa"/>
              <w:bottom w:w="90" w:type="dxa"/>
              <w:end w:w="90" w:type="dxa"/>
            </w:tcMar>
            <w:shd w:fill="173B58"/>
          </w:tcPr>
          <w:p>
            <w:pPr>
              <w:jc w:val="left"/>
            </w:pPr>
            <w:r>
              <w:rPr>
                <w:rFonts w:ascii="Times New Roman" w:hAnsi="Times New Roman"/>
                <w:b/>
                <w:color w:val="FFFFFF"/>
                <w:sz w:val="16"/>
              </w:rPr>
              <w:t>Cluster</w:t>
            </w:r>
          </w:p>
        </w:tc>
        <w:tc>
          <w:tcPr>
            <w:tcW w:type="dxa" w:w="1646"/>
            <w:vAlign w:val="center"/>
            <w:tcMar>
              <w:top w:w="90" w:type="dxa"/>
              <w:start w:w="90" w:type="dxa"/>
              <w:bottom w:w="90" w:type="dxa"/>
              <w:end w:w="90" w:type="dxa"/>
            </w:tcMar>
            <w:shd w:fill="173B58"/>
          </w:tcPr>
          <w:p>
            <w:pPr>
              <w:jc w:val="center"/>
            </w:pPr>
            <w:r>
              <w:rPr>
                <w:rFonts w:ascii="Times New Roman" w:hAnsi="Times New Roman"/>
                <w:b/>
                <w:color w:val="FFFFFF"/>
                <w:sz w:val="16"/>
              </w:rPr>
              <w:t>Airports</w:t>
            </w:r>
          </w:p>
        </w:tc>
        <w:tc>
          <w:tcPr>
            <w:tcW w:type="dxa" w:w="1646"/>
            <w:vAlign w:val="center"/>
            <w:tcMar>
              <w:top w:w="90" w:type="dxa"/>
              <w:start w:w="90" w:type="dxa"/>
              <w:bottom w:w="90" w:type="dxa"/>
              <w:end w:w="90" w:type="dxa"/>
            </w:tcMar>
            <w:shd w:fill="173B58"/>
          </w:tcPr>
          <w:p>
            <w:pPr>
              <w:jc w:val="center"/>
            </w:pPr>
            <w:r>
              <w:rPr>
                <w:rFonts w:ascii="Times New Roman" w:hAnsi="Times New Roman"/>
                <w:b/>
                <w:color w:val="FFFFFF"/>
                <w:sz w:val="16"/>
              </w:rPr>
              <w:t>Median domestic</w:t>
            </w:r>
          </w:p>
        </w:tc>
        <w:tc>
          <w:tcPr>
            <w:tcW w:type="dxa" w:w="1646"/>
            <w:vAlign w:val="center"/>
            <w:tcMar>
              <w:top w:w="90" w:type="dxa"/>
              <w:start w:w="90" w:type="dxa"/>
              <w:bottom w:w="90" w:type="dxa"/>
              <w:end w:w="90" w:type="dxa"/>
            </w:tcMar>
            <w:shd w:fill="173B58"/>
          </w:tcPr>
          <w:p>
            <w:pPr>
              <w:jc w:val="center"/>
            </w:pPr>
            <w:r>
              <w:rPr>
                <w:rFonts w:ascii="Times New Roman" w:hAnsi="Times New Roman"/>
                <w:b/>
                <w:color w:val="FFFFFF"/>
                <w:sz w:val="16"/>
              </w:rPr>
              <w:t>Median international</w:t>
            </w:r>
          </w:p>
        </w:tc>
        <w:tc>
          <w:tcPr>
            <w:tcW w:type="dxa" w:w="1646"/>
            <w:vAlign w:val="center"/>
            <w:tcMar>
              <w:top w:w="90" w:type="dxa"/>
              <w:start w:w="90" w:type="dxa"/>
              <w:bottom w:w="90" w:type="dxa"/>
              <w:end w:w="90" w:type="dxa"/>
            </w:tcMar>
            <w:shd w:fill="173B58"/>
          </w:tcPr>
          <w:p>
            <w:pPr>
              <w:jc w:val="center"/>
            </w:pPr>
            <w:r>
              <w:rPr>
                <w:rFonts w:ascii="Times New Roman" w:hAnsi="Times New Roman"/>
                <w:b/>
                <w:color w:val="FFFFFF"/>
                <w:sz w:val="16"/>
              </w:rPr>
              <w:t>Median annual growth</w:t>
            </w:r>
          </w:p>
        </w:tc>
        <w:tc>
          <w:tcPr>
            <w:tcW w:type="dxa" w:w="1646"/>
            <w:vAlign w:val="center"/>
            <w:tcMar>
              <w:top w:w="90" w:type="dxa"/>
              <w:start w:w="90" w:type="dxa"/>
              <w:bottom w:w="90" w:type="dxa"/>
              <w:end w:w="90" w:type="dxa"/>
            </w:tcMar>
            <w:shd w:fill="173B58"/>
          </w:tcPr>
          <w:p>
            <w:pPr>
              <w:jc w:val="center"/>
            </w:pPr>
            <w:r>
              <w:rPr>
                <w:rFonts w:ascii="Times New Roman" w:hAnsi="Times New Roman"/>
                <w:b/>
                <w:color w:val="FFFFFF"/>
                <w:sz w:val="16"/>
              </w:rPr>
              <w:t>Median seasonality CV</w:t>
            </w:r>
          </w:p>
        </w:tc>
      </w:tr>
      <w:tr>
        <w:tc>
          <w:tcPr>
            <w:tcW w:type="dxa" w:w="1646"/>
            <w:vAlign w:val="center"/>
            <w:tcMar>
              <w:top w:w="90" w:type="dxa"/>
              <w:start w:w="90" w:type="dxa"/>
              <w:bottom w:w="90" w:type="dxa"/>
              <w:end w:w="90" w:type="dxa"/>
            </w:tcMar>
          </w:tcPr>
          <w:p>
            <w:pPr>
              <w:jc w:val="left"/>
            </w:pPr>
            <w:r>
              <w:rPr>
                <w:rFonts w:ascii="Times New Roman" w:hAnsi="Times New Roman"/>
                <w:color w:val="191919"/>
                <w:sz w:val="16"/>
              </w:rPr>
              <w:t>Small airports</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21</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15,702</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0</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-48.60%</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0.6550</w:t>
            </w:r>
          </w:p>
        </w:tc>
      </w:tr>
      <w:tr>
        <w:tc>
          <w:tcPr>
            <w:tcW w:type="dxa" w:w="1646"/>
            <w:vAlign w:val="center"/>
            <w:tcMar>
              <w:top w:w="90" w:type="dxa"/>
              <w:start w:w="90" w:type="dxa"/>
              <w:bottom w:w="90" w:type="dxa"/>
              <w:end w:w="90" w:type="dxa"/>
            </w:tcMar>
            <w:shd w:fill="F4F7F9"/>
          </w:tcPr>
          <w:p>
            <w:pPr>
              <w:jc w:val="left"/>
            </w:pPr>
            <w:r>
              <w:rPr>
                <w:rFonts w:ascii="Times New Roman" w:hAnsi="Times New Roman"/>
                <w:color w:val="191919"/>
                <w:sz w:val="16"/>
              </w:rPr>
              <w:t>Regional airports</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7</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40,966</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0</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375.08%</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0.5998</w:t>
            </w:r>
          </w:p>
        </w:tc>
      </w:tr>
      <w:tr>
        <w:tc>
          <w:tcPr>
            <w:tcW w:type="dxa" w:w="1646"/>
            <w:vAlign w:val="center"/>
            <w:tcMar>
              <w:top w:w="90" w:type="dxa"/>
              <w:start w:w="90" w:type="dxa"/>
              <w:bottom w:w="90" w:type="dxa"/>
              <w:end w:w="90" w:type="dxa"/>
            </w:tcMar>
          </w:tcPr>
          <w:p>
            <w:pPr>
              <w:jc w:val="left"/>
            </w:pPr>
            <w:r>
              <w:rPr>
                <w:rFonts w:ascii="Times New Roman" w:hAnsi="Times New Roman"/>
                <w:color w:val="191919"/>
                <w:sz w:val="16"/>
              </w:rPr>
              <w:t>Large airports</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70</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295,450</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0</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7.44%</w:t>
            </w:r>
          </w:p>
        </w:tc>
        <w:tc>
          <w:tcPr>
            <w:tcW w:type="dxa" w:w="1646"/>
            <w:vAlign w:val="center"/>
            <w:tcMar>
              <w:top w:w="90" w:type="dxa"/>
              <w:start w:w="90" w:type="dxa"/>
              <w:bottom w:w="90" w:type="dxa"/>
              <w:end w:w="90" w:type="dxa"/>
            </w:tcMar>
          </w:tcPr>
          <w:p>
            <w:pPr>
              <w:jc w:val="center"/>
            </w:pPr>
            <w:r>
              <w:rPr>
                <w:rFonts w:ascii="Times New Roman" w:hAnsi="Times New Roman"/>
                <w:color w:val="191919"/>
                <w:sz w:val="16"/>
              </w:rPr>
              <w:t>0.1450</w:t>
            </w:r>
          </w:p>
        </w:tc>
      </w:tr>
      <w:tr>
        <w:tc>
          <w:tcPr>
            <w:tcW w:type="dxa" w:w="1646"/>
            <w:vAlign w:val="center"/>
            <w:tcMar>
              <w:top w:w="90" w:type="dxa"/>
              <w:start w:w="90" w:type="dxa"/>
              <w:bottom w:w="90" w:type="dxa"/>
              <w:end w:w="90" w:type="dxa"/>
            </w:tcMar>
            <w:shd w:fill="F4F7F9"/>
          </w:tcPr>
          <w:p>
            <w:pPr>
              <w:jc w:val="left"/>
            </w:pPr>
            <w:r>
              <w:rPr>
                <w:rFonts w:ascii="Times New Roman" w:hAnsi="Times New Roman"/>
                <w:color w:val="191919"/>
                <w:sz w:val="16"/>
              </w:rPr>
              <w:t>Major gateways</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31</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4,196,156</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555,408</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5.94%</w:t>
            </w:r>
          </w:p>
        </w:tc>
        <w:tc>
          <w:tcPr>
            <w:tcW w:type="dxa" w:w="1646"/>
            <w:vAlign w:val="center"/>
            <w:tcMar>
              <w:top w:w="90" w:type="dxa"/>
              <w:start w:w="90" w:type="dxa"/>
              <w:bottom w:w="90" w:type="dxa"/>
              <w:end w:w="90" w:type="dxa"/>
            </w:tcMar>
            <w:shd w:fill="F4F7F9"/>
          </w:tcPr>
          <w:p>
            <w:pPr>
              <w:jc w:val="center"/>
            </w:pPr>
            <w:r>
              <w:rPr>
                <w:rFonts w:ascii="Times New Roman" w:hAnsi="Times New Roman"/>
                <w:color w:val="191919"/>
                <w:sz w:val="16"/>
              </w:rPr>
              <w:t>0.0804</w:t>
            </w:r>
          </w:p>
        </w:tc>
      </w:tr>
    </w:tbl>
    <w:p>
      <w:pPr>
        <w:spacing w:after="0"/>
      </w:pPr>
    </w:p>
    <w:p>
      <w:r>
        <w:t>Names are post-fit summaries based on medians, not normative labels. The high-growth seven-airport group likely captures rapid ramp-up and should not be interpreted as proof of capacity utilisation.</w:t>
      </w:r>
    </w:p>
    <w:p>
      <w:pPr>
        <w:pStyle w:val="Heading1"/>
      </w:pPr>
      <w:r>
        <w:t>15. Principal component analysis</w:t>
      </w:r>
    </w:p>
    <w:p>
      <w:pPr>
        <w:keepNext/>
        <w:jc w:val="center"/>
      </w:pPr>
      <w:r>
        <w:drawing>
          <wp:inline xmlns:a="http://schemas.openxmlformats.org/drawingml/2006/main" xmlns:pic="http://schemas.openxmlformats.org/drawingml/2006/picture">
            <wp:extent cx="5806440" cy="4120207"/>
            <wp:docPr id="6" name="Picture 6"/>
            <wp:cNvGraphicFramePr>
              <a:graphicFrameLocks noChangeAspect="1"/>
            </wp:cNvGraphicFramePr>
            <a:graphic>
              <a:graphicData uri="http://schemas.openxmlformats.org/drawingml/2006/picture">
                <pic:pic>
                  <pic:nvPicPr>
                    <pic:cNvPr id="0" name="pca_clusters.png"/>
                    <pic:cNvPicPr/>
                  </pic:nvPicPr>
                  <pic:blipFill>
                    <a:blip r:embed="rId16"/>
                    <a:stretch>
                      <a:fillRect/>
                    </a:stretch>
                  </pic:blipFill>
                  <pic:spPr>
                    <a:xfrm>
                      <a:off x="0" y="0"/>
                      <a:ext cx="5806440" cy="4120207"/>
                    </a:xfrm>
                    <a:prstGeom prst="rect"/>
                  </pic:spPr>
                </pic:pic>
              </a:graphicData>
            </a:graphic>
          </wp:inline>
        </w:drawing>
      </w:r>
    </w:p>
    <w:p>
      <w:pPr>
        <w:jc w:val="center"/>
      </w:pPr>
      <w:r>
        <w:rPr>
          <w:i/>
          <w:color w:val="4A5863"/>
          <w:sz w:val="18"/>
        </w:rPr>
        <w:t>Figure 7. PCA projection of the six-feature airport matrix, coloured by K-Means group.</w:t>
      </w:r>
    </w:p>
    <w:p>
      <w:r>
        <w:t>PCA is fitted to the same standardised six-feature matrix. PC1 explains 44.85% and PC2 explains 19.02%, for cumulative explained variance of 63.87%. PC1 loads positively on domestic scale, international scale, and international share, and negatively on seasonality. PC2 loads most positively on international share and seasonality and negatively on active months. PCA visualises a compressed feature space; it does not create the K-Means labels.</w:t>
      </w:r>
    </w:p>
    <w:p>
      <w:pPr>
        <w:pStyle w:val="Heading1"/>
      </w:pPr>
      <w:r>
        <w:t>16. Hyperparameter tuning</w:t>
      </w:r>
    </w:p>
    <w:p>
      <w:r>
        <w:t>The search is bounded and reproducible. Ridge considers three regularisation values. Decision trees consider four depth/leaf combinations. Random Forest considers four configurations for depth, leaf size, and feature sampling with 180 estimators. Histogram Gradient Boosting considers four learning-rate, leaf-node, leaf-size, and L2 configurations. Classification applies similarly small grids. Seed 37 is fixed where supported.</w:t>
      </w:r>
    </w:p>
    <w:p>
      <w:pPr>
        <w:pStyle w:val="Heading1"/>
      </w:pPr>
      <w:r>
        <w:t>17. Model evaluation and selection</w:t>
      </w:r>
    </w:p>
    <w:p>
      <w:r>
        <w:t>Selection and final reporting are separated. The test set is used once after validation choice. The project distinguishes a selected ML model from the strongest overall forecasting method: Random Forest is the trained-model choice, while the previous-month naive method is the overall winner on 2025 MAE.</w:t>
      </w:r>
    </w:p>
    <w:p>
      <w:pPr>
        <w:pStyle w:val="Heading1"/>
      </w:pPr>
      <w:r>
        <w:t>18. Visual analysis</w:t>
      </w:r>
    </w:p>
    <w:p>
      <w:r>
        <w:t>The generated figures include annual traffic, regression model comparison, actual-versus-predicted values, residual scatter and histogram, traffic-size errors, permutation importance, confusion matrix, ROC and precision-recall curves, classifier metrics, K-Means inertia and silhouette, cluster sizes, PCA projection, and explained variance. Website SVG marks provide focusable tooltips, and tables provide numerical alternatives.</w:t>
      </w:r>
    </w:p>
    <w:p>
      <w:pPr>
        <w:pStyle w:val="Heading1"/>
      </w:pPr>
      <w:r>
        <w:t>19. Website implementation</w:t>
      </w:r>
    </w:p>
    <w:p>
      <w:r>
        <w:t>The website retains Overview, Airport Explorer, Machine Learning, and Methodology. Machine Learning uses three sub-tabs instead of expanding the main navigation. Filters support year, cluster, airport search, and CSV export. Custom tooltips work on hover, keyboard focus, and touch and are dismissed with Escape. The interface uses local assets and operates offline.</w:t>
      </w:r>
    </w:p>
    <w:p>
      <w:pPr>
        <w:pStyle w:val="Heading1"/>
      </w:pPr>
      <w:r>
        <w:t>20. Reproducibility and software engineering</w:t>
      </w:r>
    </w:p>
    <w:p>
      <w:r>
        <w:t xml:space="preserve">Responsibilities are separated across source validation, feature construction, modelling, artifact export, charts, documents, and browser presentation. </w:t>
      </w:r>
      <w:r>
        <w:rPr>
          <w:rFonts w:ascii="Consolas" w:hAnsi="Consolas"/>
          <w:sz w:val="18"/>
        </w:rPr>
        <w:t>analysis.json</w:t>
      </w:r>
      <w:r>
        <w:t xml:space="preserve"> is the numerical source of truth. Tests independently recalculate metrics, verify confusion totals, inspect PCA dimensions, and exercise the site. GitHub Actions runs the offline test suite.</w:t>
      </w:r>
    </w:p>
    <w:p>
      <w:pPr>
        <w:pStyle w:val="Heading1"/>
      </w:pPr>
      <w:r>
        <w:t>21. Ablation note</w:t>
      </w:r>
    </w:p>
    <w:p>
      <w:r>
        <w:t>A formal feature ablation study was not performed. Permutation importance was calculated on the held-out test predictions only for explanation, not for feature selection. Therefore the project does not claim causal feature contribution or an ablation result.</w:t>
      </w:r>
    </w:p>
    <w:p>
      <w:pPr>
        <w:pStyle w:val="Heading1"/>
      </w:pPr>
      <w:r>
        <w:t>22. Findings and discussion</w:t>
      </w:r>
    </w:p>
    <w:p>
      <w:r>
        <w:t>Monthly granularity solves much of the original sample-size problem and materially improves trained-model error. It does not guarantee that a complex model will beat a correctly chosen baseline. The selected Random Forest relies overwhelmingly on the immediately preceding month, which is consistent with stable airport traffic series. Classification is more successful relative to its dummy benchmark and provides a legitimate setting for confusion-matrix analysis.</w:t>
      </w:r>
    </w:p>
    <w:p>
      <w:r>
        <w:t>The four clusters reveal scale, international participation, seasonality, and growth differences, while PCA shows that two components retain roughly two-thirds of standardised variance. Neither method establishes causal explanations.</w:t>
      </w:r>
    </w:p>
    <w:p>
      <w:pPr>
        <w:pStyle w:val="Heading1"/>
      </w:pPr>
      <w:r>
        <w:t>23. Limitations</w:t>
      </w:r>
    </w:p>
    <w:p>
      <w:pPr>
        <w:pStyle w:val="ListBullet"/>
      </w:pPr>
      <w:r>
        <w:t>The one-step evaluation uses actual lagged observations and does not test recursive forecasts.</w:t>
      </w:r>
    </w:p>
    <w:p>
      <w:pPr>
        <w:pStyle w:val="ListBullet"/>
      </w:pPr>
      <w:r>
        <w:t>Pandemic disruption affects the historical folds.</w:t>
      </w:r>
    </w:p>
    <w:p>
      <w:pPr>
        <w:pStyle w:val="ListBullet"/>
      </w:pPr>
      <w:r>
        <w:t>Airport openings, closures, and coding changes may cause structural breaks.</w:t>
      </w:r>
    </w:p>
    <w:p>
      <w:pPr>
        <w:pStyle w:val="ListBullet"/>
      </w:pPr>
      <w:r>
        <w:t>Missing rows are not zeros; eligibility can favour airports with more continuous reporting.</w:t>
      </w:r>
    </w:p>
    <w:p>
      <w:pPr>
        <w:pStyle w:val="ListBullet"/>
      </w:pPr>
      <w:r>
        <w:t>Absolute error is dominated by large airports, while proportional metrics can overemphasise small denominators.</w:t>
      </w:r>
    </w:p>
    <w:p>
      <w:pPr>
        <w:pStyle w:val="ListBullet"/>
      </w:pPr>
      <w:r>
        <w:t>The classifier threshold is analytically chosen.</w:t>
      </w:r>
    </w:p>
    <w:p>
      <w:pPr>
        <w:pStyle w:val="ListBullet"/>
      </w:pPr>
      <w:r>
        <w:t>Passenger data alone cannot establish capacity utilisation, service accessibility, or regulation.</w:t>
      </w:r>
    </w:p>
    <w:p>
      <w:pPr>
        <w:pStyle w:val="Heading1"/>
      </w:pPr>
      <w:r>
        <w:t>24. Conclusion</w:t>
      </w:r>
    </w:p>
    <w:p>
      <w:r>
        <w:t>AirConnect India v2.0 provides a technically sound and presentation-ready academic case study without overstating its evidence. Monthly data, exact-calendar features, chronological validation, real classification, defensible clustering, and a canonical result artifact substantially improve the original implementation. The strongest one-step forecast remains a simple previous-month baseline. Reporting that result is central to the project's methodological value.</w:t>
      </w:r>
    </w:p>
    <w:p>
      <w:pPr>
        <w:pStyle w:val="Heading1"/>
      </w:pPr>
      <w:r>
        <w:t>References</w:t>
      </w:r>
    </w:p>
    <w:p>
      <w:r>
        <w:t xml:space="preserve">1. Kubicek, M. (2026). </w:t>
      </w:r>
      <w:r>
        <w:rPr>
          <w:i/>
        </w:rPr>
        <w:t>India Aviation Stats: a cleaned DGCA passenger-traffic dataset</w:t>
      </w:r>
      <w:r>
        <w:t>. GitHub. https://github.com/mkubicek/india-aviation-stats</w:t>
      </w:r>
    </w:p>
    <w:p>
      <w:r>
        <w:t>2. Directorate General of Civil Aviation, Government of India. Public aviation traffic workbooks, as transformed and documented by the source repository.</w:t>
      </w:r>
    </w:p>
    <w:p>
      <w:r>
        <w:t>3. Ministry of Civil Aviation, Government of India. Operational airport listings and aviation expansion releases. https://www.civilaviation.gov.in/</w:t>
      </w:r>
    </w:p>
    <w:p>
      <w:r>
        <w:t xml:space="preserve">4. Pedregosa, F. et al. (2011). Scikit-learn: Machine Learning in Python. </w:t>
      </w:r>
      <w:r>
        <w:rPr>
          <w:i/>
        </w:rPr>
        <w:t>Journal of Machine Learning Research</w:t>
      </w:r>
      <w:r>
        <w:t>, 12, 2825–2830.</w:t>
      </w:r>
    </w:p>
    <w:p>
      <w:r>
        <w:t xml:space="preserve">5. Rousseeuw, P. J. (1987). Silhouettes: a graphical aid to the interpretation and validation of cluster analysis. </w:t>
      </w:r>
      <w:r>
        <w:rPr>
          <w:i/>
        </w:rPr>
        <w:t>Journal of Computational and Applied Mathematics</w:t>
      </w:r>
      <w:r>
        <w:t>, 20, 53–65.</w:t>
      </w:r>
    </w:p>
    <w:sectPr w:rsidR="00FC693F" w:rsidRPr="0006063C" w:rsidSect="00034616">
      <w:headerReference w:type="default" r:id="rId9"/>
      <w:footerReference w:type="default" r:id="rId10"/>
      <w:pgSz w:w="12240" w:h="15840"/>
      <w:pgMar w:top="1037" w:right="1123" w:bottom="1008" w:left="123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5A646C"/>
        <w:sz w:val="16"/>
      </w:rPr>
      <w:t>Vellore Institute of Technology  |  Machine Learning for Data Science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color w:val="5A646C"/>
        <w:sz w:val="16"/>
      </w:rPr>
      <w:t>AirConnect India v2.0  |  MDI4001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4" w:lineRule="auto" w:after="100"/>
    </w:pPr>
    <w:rPr>
      <w:rFonts w:ascii="Times New Roman" w:hAnsi="Times New Roman"/>
      <w:color w:val="19191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Times New Roman" w:hAnsi="Times New Roman"/>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200"/>
      <w:contextualSpacing/>
    </w:pPr>
    <w:rPr>
      <w:rFonts w:asciiTheme="majorHAnsi" w:eastAsiaTheme="majorEastAsia" w:hAnsiTheme="majorHAnsi" w:cstheme="majorBidi" w:ascii="Times New Roman" w:hAnsi="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AirConnect India Machine Learning Project Report</dc:title>
  <dc:subject>MDI4001 Machine Learning for Data Science</dc:subject>
  <dc:creator>AirConnect India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