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Next-Generation Retail Digital Bank — AI Ideas Catalog</w:t>
      </w:r>
    </w:p>
    <w:p>
      <w:pPr>
        <w:spacing w:after="240"/>
      </w:pPr>
      <w:r>
        <w:rPr>
          <w:i/>
          <w:iCs/>
          <w:color w:val="3D3D3D"/>
          <w:sz w:val="20"/>
          <w:szCs w:val="20"/>
        </w:rPr>
        <w:t xml:space="preserve">Filtered list of AI-driven ideas from the curated set, ranked by composite impact (customer outcomes × differentiation × bank business value × feasibility). Sort order: highest rank first. Horizons: Short-term (0–18 months, achievable with current AI capabilities) and Long-term (2–5 years, requires deeper agent orchestration, regulatory work, or long-horizon memory).</w:t>
      </w:r>
    </w:p>
    <w:p>
      <w:pPr>
        <w:spacing w:after="200"/>
      </w:pPr>
      <w:r>
        <w:rPr>
          <w:b/>
          <w:bCs/>
          <w:sz w:val="20"/>
          <w:szCs w:val="20"/>
        </w:rPr>
        <w:t xml:space="preserve">Total AI ideas: </w:t>
      </w:r>
      <w:r>
        <w:rPr>
          <w:sz w:val="20"/>
          <w:szCs w:val="20"/>
        </w:rPr>
        <w:t xml:space="preserve">61    </w:t>
      </w:r>
      <w:r>
        <w:rPr>
          <w:b/>
          <w:bCs/>
          <w:sz w:val="20"/>
          <w:szCs w:val="20"/>
        </w:rPr>
        <w:t xml:space="preserve">Short-term: </w:t>
      </w:r>
      <w:r>
        <w:rPr>
          <w:sz w:val="20"/>
          <w:szCs w:val="20"/>
        </w:rPr>
        <w:t xml:space="preserve">40    </w:t>
      </w:r>
      <w:r>
        <w:rPr>
          <w:b/>
          <w:bCs/>
          <w:sz w:val="20"/>
          <w:szCs w:val="20"/>
        </w:rPr>
        <w:t xml:space="preserve">Long-term: </w:t>
      </w:r>
      <w:r>
        <w:rPr>
          <w:sz w:val="20"/>
          <w:szCs w:val="20"/>
        </w:rPr>
        <w:t xml:space="preserve">21</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900"/>
        <w:gridCol w:w="3100"/>
        <w:gridCol w:w="3100"/>
        <w:gridCol w:w="2260"/>
        <w:gridCol w:w="700"/>
      </w:tblGrid>
      <w:tr>
        <w:trPr>
          <w:tblHeader/>
        </w:trPr>
        <w:tc>
          <w:tcPr>
            <w:tcW w:type="dxa" w:w="1700"/>
            <w:tcBorders>
              <w:top w:val="single" w:color="BFBFBF" w:sz="4"/>
              <w:left w:val="single" w:color="BFBFBF" w:sz="4"/>
              <w:bottom w:val="single" w:color="BFBFBF" w:sz="4"/>
              <w:right w:val="single" w:color="BFBFBF" w:sz="4"/>
            </w:tcBorders>
            <w:shd w:fill="B31B1B" w:color="auto" w:val="clear"/>
            <w:tcMar>
              <w:top w:type="dxa" w:w="100"/>
              <w:left w:type="dxa" w:w="120"/>
              <w:bottom w:type="dxa" w:w="100"/>
              <w:right w:type="dxa" w:w="120"/>
            </w:tcMar>
            <w:vAlign w:val="top"/>
          </w:tcPr>
          <w:p>
            <w:pPr>
              <w:spacing w:after="20" w:before="20"/>
              <w:jc w:val="left"/>
            </w:pPr>
            <w:r>
              <w:rPr>
                <w:rFonts w:ascii="Calibri" w:cs="Calibri" w:eastAsia="Calibri" w:hAnsi="Calibri"/>
                <w:b/>
                <w:bCs/>
                <w:color w:val="FFFFFF"/>
                <w:sz w:val="18"/>
                <w:szCs w:val="18"/>
              </w:rPr>
              <w:t xml:space="preserve">Idea Name</w:t>
            </w:r>
          </w:p>
        </w:tc>
        <w:tc>
          <w:tcPr>
            <w:tcW w:type="dxa" w:w="1200"/>
            <w:tcBorders>
              <w:top w:val="single" w:color="BFBFBF" w:sz="4"/>
              <w:left w:val="single" w:color="BFBFBF" w:sz="4"/>
              <w:bottom w:val="single" w:color="BFBFBF" w:sz="4"/>
              <w:right w:val="single" w:color="BFBFBF" w:sz="4"/>
            </w:tcBorders>
            <w:shd w:fill="B31B1B" w:color="auto" w:val="clear"/>
            <w:tcMar>
              <w:top w:type="dxa" w:w="100"/>
              <w:left w:type="dxa" w:w="120"/>
              <w:bottom w:type="dxa" w:w="100"/>
              <w:right w:type="dxa" w:w="120"/>
            </w:tcMar>
            <w:vAlign w:val="top"/>
          </w:tcPr>
          <w:p>
            <w:pPr>
              <w:spacing w:after="20" w:before="20"/>
              <w:jc w:val="left"/>
            </w:pPr>
            <w:r>
              <w:rPr>
                <w:rFonts w:ascii="Calibri" w:cs="Calibri" w:eastAsia="Calibri" w:hAnsi="Calibri"/>
                <w:b/>
                <w:bCs/>
                <w:color w:val="FFFFFF"/>
                <w:sz w:val="18"/>
                <w:szCs w:val="18"/>
              </w:rPr>
              <w:t xml:space="preserve">Category</w:t>
            </w:r>
          </w:p>
        </w:tc>
        <w:tc>
          <w:tcPr>
            <w:tcW w:type="dxa" w:w="900"/>
            <w:tcBorders>
              <w:top w:val="single" w:color="BFBFBF" w:sz="4"/>
              <w:left w:val="single" w:color="BFBFBF" w:sz="4"/>
              <w:bottom w:val="single" w:color="BFBFBF" w:sz="4"/>
              <w:right w:val="single" w:color="BFBFBF" w:sz="4"/>
            </w:tcBorders>
            <w:shd w:fill="B31B1B" w:color="auto" w:val="clear"/>
            <w:tcMar>
              <w:top w:type="dxa" w:w="100"/>
              <w:left w:type="dxa" w:w="120"/>
              <w:bottom w:type="dxa" w:w="100"/>
              <w:right w:type="dxa" w:w="120"/>
            </w:tcMar>
            <w:vAlign w:val="top"/>
          </w:tcPr>
          <w:p>
            <w:pPr>
              <w:spacing w:after="20" w:before="20"/>
              <w:jc w:val="center"/>
            </w:pPr>
            <w:r>
              <w:rPr>
                <w:rFonts w:ascii="Calibri" w:cs="Calibri" w:eastAsia="Calibri" w:hAnsi="Calibri"/>
                <w:b/>
                <w:bCs/>
                <w:color w:val="FFFFFF"/>
                <w:sz w:val="18"/>
                <w:szCs w:val="18"/>
              </w:rPr>
              <w:t xml:space="preserve">Horizon</w:t>
            </w:r>
          </w:p>
        </w:tc>
        <w:tc>
          <w:tcPr>
            <w:tcW w:type="dxa" w:w="3100"/>
            <w:tcBorders>
              <w:top w:val="single" w:color="BFBFBF" w:sz="4"/>
              <w:left w:val="single" w:color="BFBFBF" w:sz="4"/>
              <w:bottom w:val="single" w:color="BFBFBF" w:sz="4"/>
              <w:right w:val="single" w:color="BFBFBF" w:sz="4"/>
            </w:tcBorders>
            <w:shd w:fill="B31B1B" w:color="auto" w:val="clear"/>
            <w:tcMar>
              <w:top w:type="dxa" w:w="100"/>
              <w:left w:type="dxa" w:w="120"/>
              <w:bottom w:type="dxa" w:w="100"/>
              <w:right w:type="dxa" w:w="120"/>
            </w:tcMar>
            <w:vAlign w:val="top"/>
          </w:tcPr>
          <w:p>
            <w:pPr>
              <w:spacing w:after="20" w:before="20"/>
              <w:jc w:val="left"/>
            </w:pPr>
            <w:r>
              <w:rPr>
                <w:rFonts w:ascii="Calibri" w:cs="Calibri" w:eastAsia="Calibri" w:hAnsi="Calibri"/>
                <w:b/>
                <w:bCs/>
                <w:color w:val="FFFFFF"/>
                <w:sz w:val="18"/>
                <w:szCs w:val="18"/>
              </w:rPr>
              <w:t xml:space="preserve">Description</w:t>
            </w:r>
          </w:p>
        </w:tc>
        <w:tc>
          <w:tcPr>
            <w:tcW w:type="dxa" w:w="3100"/>
            <w:tcBorders>
              <w:top w:val="single" w:color="BFBFBF" w:sz="4"/>
              <w:left w:val="single" w:color="BFBFBF" w:sz="4"/>
              <w:bottom w:val="single" w:color="BFBFBF" w:sz="4"/>
              <w:right w:val="single" w:color="BFBFBF" w:sz="4"/>
            </w:tcBorders>
            <w:shd w:fill="B31B1B" w:color="auto" w:val="clear"/>
            <w:tcMar>
              <w:top w:type="dxa" w:w="100"/>
              <w:left w:type="dxa" w:w="120"/>
              <w:bottom w:type="dxa" w:w="100"/>
              <w:right w:type="dxa" w:w="120"/>
            </w:tcMar>
            <w:vAlign w:val="top"/>
          </w:tcPr>
          <w:p>
            <w:pPr>
              <w:spacing w:after="20" w:before="20"/>
              <w:jc w:val="left"/>
            </w:pPr>
            <w:r>
              <w:rPr>
                <w:rFonts w:ascii="Calibri" w:cs="Calibri" w:eastAsia="Calibri" w:hAnsi="Calibri"/>
                <w:b/>
                <w:bCs/>
                <w:color w:val="FFFFFF"/>
                <w:sz w:val="18"/>
                <w:szCs w:val="18"/>
              </w:rPr>
              <w:t xml:space="preserve">Example</w:t>
            </w:r>
          </w:p>
        </w:tc>
        <w:tc>
          <w:tcPr>
            <w:tcW w:type="dxa" w:w="2260"/>
            <w:tcBorders>
              <w:top w:val="single" w:color="BFBFBF" w:sz="4"/>
              <w:left w:val="single" w:color="BFBFBF" w:sz="4"/>
              <w:bottom w:val="single" w:color="BFBFBF" w:sz="4"/>
              <w:right w:val="single" w:color="BFBFBF" w:sz="4"/>
            </w:tcBorders>
            <w:shd w:fill="B31B1B" w:color="auto" w:val="clear"/>
            <w:tcMar>
              <w:top w:type="dxa" w:w="100"/>
              <w:left w:type="dxa" w:w="120"/>
              <w:bottom w:type="dxa" w:w="100"/>
              <w:right w:type="dxa" w:w="120"/>
            </w:tcMar>
            <w:vAlign w:val="top"/>
          </w:tcPr>
          <w:p>
            <w:pPr>
              <w:spacing w:after="20" w:before="20"/>
              <w:jc w:val="left"/>
            </w:pPr>
            <w:r>
              <w:rPr>
                <w:rFonts w:ascii="Calibri" w:cs="Calibri" w:eastAsia="Calibri" w:hAnsi="Calibri"/>
                <w:b/>
                <w:bCs/>
                <w:color w:val="FFFFFF"/>
                <w:sz w:val="18"/>
                <w:szCs w:val="18"/>
              </w:rPr>
              <w:t xml:space="preserve">Benefit for Bank</w:t>
            </w:r>
          </w:p>
        </w:tc>
        <w:tc>
          <w:tcPr>
            <w:tcW w:type="dxa" w:w="700"/>
            <w:tcBorders>
              <w:top w:val="single" w:color="BFBFBF" w:sz="4"/>
              <w:left w:val="single" w:color="BFBFBF" w:sz="4"/>
              <w:bottom w:val="single" w:color="BFBFBF" w:sz="4"/>
              <w:right w:val="single" w:color="BFBFBF" w:sz="4"/>
            </w:tcBorders>
            <w:shd w:fill="B31B1B" w:color="auto" w:val="clear"/>
            <w:tcMar>
              <w:top w:type="dxa" w:w="100"/>
              <w:left w:type="dxa" w:w="120"/>
              <w:bottom w:type="dxa" w:w="100"/>
              <w:right w:type="dxa" w:w="120"/>
            </w:tcMar>
            <w:vAlign w:val="top"/>
          </w:tcPr>
          <w:p>
            <w:pPr>
              <w:spacing w:after="20" w:before="20"/>
              <w:jc w:val="center"/>
            </w:pPr>
            <w:r>
              <w:rPr>
                <w:rFonts w:ascii="Calibri" w:cs="Calibri" w:eastAsia="Calibri" w:hAnsi="Calibri"/>
                <w:b/>
                <w:bCs/>
                <w:color w:val="FFFFFF"/>
                <w:sz w:val="18"/>
                <w:szCs w:val="18"/>
              </w:rPr>
              <w:t xml:space="preserve">Rank</w:t>
            </w:r>
          </w:p>
        </w:tc>
      </w:tr>
      <w:tr>
        <w:trPr>
          <w:cantSplit/>
        </w:trPr>
        <w:tc>
          <w:tcPr>
            <w:tcW w:type="dxa" w:w="1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bCs/>
                <w:color w:val="1A1A1A"/>
                <w:sz w:val="16"/>
                <w:szCs w:val="16"/>
              </w:rPr>
              <w:t xml:space="preserve">Aria — the AI Relationship Manager</w:t>
            </w:r>
          </w:p>
        </w:tc>
        <w:tc>
          <w:tcPr>
            <w:tcW w:type="dxa" w:w="1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AI Relationship Manager</w:t>
            </w:r>
          </w:p>
        </w:tc>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center"/>
            </w:pPr>
            <w:r>
              <w:rPr>
                <w:rFonts w:ascii="Calibri" w:cs="Calibri" w:eastAsia="Calibri" w:hAnsi="Calibri"/>
                <w:b/>
                <w:bCs/>
                <w:color w:val="9E7820"/>
                <w:sz w:val="14"/>
                <w:szCs w:val="14"/>
              </w:rPr>
              <w:t xml:space="preserve">Long-term</w:t>
            </w:r>
          </w:p>
        </w:tc>
        <w:tc>
          <w:tcPr>
            <w:tcW w:type="dxa" w:w="3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A named, persistent AI RM with consistent voice, personality and decade-long memory of the customer's life, goals, family and history. Adapts tone by segment; hands off to a named human banker for emotional or regulated moments. Customer can fire and re-hire an Aria persona without losing financial history.</w:t>
            </w:r>
          </w:p>
        </w:tc>
        <w:tc>
          <w:tcPr>
            <w:tcW w:type="dxa" w:w="3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Aria: 'You mentioned last March that your mother was unwell. I noticed elevated pharmacy spending — should I look at the new senior-care insurance products?' Or: 'I'm bringing in Priya, our home-loan specialist — she'll join us in 2 minutes.'</w:t>
            </w:r>
          </w:p>
        </w:tc>
        <w:tc>
          <w:tcPr>
            <w:tcW w:type="dxa" w:w="226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Anchor of the entire brand identity. Drives primary-bank capture, deeper share-of-wallet, dramatic NPS uplift, and reduces dependency on costly human RM coverage at scale.</w:t>
            </w:r>
          </w:p>
        </w:tc>
        <w:tc>
          <w:tcPr>
            <w:tcW w:type="dxa" w:w="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8"/>
                <w:szCs w:val="18"/>
              </w:rPr>
              <w:t xml:space="preserve">1</w:t>
            </w:r>
          </w:p>
        </w:tc>
      </w:tr>
      <w:tr>
        <w:trPr>
          <w:cantSplit/>
        </w:trPr>
        <w:tc>
          <w:tcPr>
            <w:tcW w:type="dxa" w:w="17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bCs/>
                <w:color w:val="1A1A1A"/>
                <w:sz w:val="16"/>
                <w:szCs w:val="16"/>
              </w:rPr>
              <w:t xml:space="preserve">AI Underwriter Council</w:t>
            </w:r>
          </w:p>
        </w:tc>
        <w:tc>
          <w:tcPr>
            <w:tcW w:type="dxa" w:w="12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AI Lending</w:t>
            </w:r>
          </w:p>
        </w:tc>
        <w:tc>
          <w:tcPr>
            <w:tcW w:type="dxa" w:w="9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4"/>
                <w:szCs w:val="14"/>
              </w:rPr>
              <w:t xml:space="preserve">Short-term</w:t>
            </w:r>
          </w:p>
        </w:tc>
        <w:tc>
          <w:tcPr>
            <w:tcW w:type="dxa" w:w="31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Three different AI models independently underwrite every credit decision, then debate the outcome. Dissent and rationale are surfaced to a human reviewer. Reduces single-model bias and creates a regulator-grade audit trail by design.</w:t>
            </w:r>
          </w:p>
        </w:tc>
        <w:tc>
          <w:tcPr>
            <w:tcW w:type="dxa" w:w="31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Loan ₹8L for renovation: Model A approves at 11.2%, Model B approves at 12.1%, Model C declines citing cash-flow risk. System surfaces the disagreement, recommends 12.1% with reasoning, and logs the dissent for fair-lending review.</w:t>
            </w:r>
          </w:p>
        </w:tc>
        <w:tc>
          <w:tcPr>
            <w:tcW w:type="dxa" w:w="226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Better loss curves, fewer fair-lending challenges, faster decisions, and a built-in narrative for regulators (CFPB / RBI). Reduces concentration risk in any single model vendor.</w:t>
            </w:r>
          </w:p>
        </w:tc>
        <w:tc>
          <w:tcPr>
            <w:tcW w:type="dxa" w:w="7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8"/>
                <w:szCs w:val="18"/>
              </w:rPr>
              <w:t xml:space="preserve">2</w:t>
            </w:r>
          </w:p>
        </w:tc>
      </w:tr>
      <w:tr>
        <w:trPr>
          <w:cantSplit/>
        </w:trPr>
        <w:tc>
          <w:tcPr>
            <w:tcW w:type="dxa" w:w="1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bCs/>
                <w:color w:val="1A1A1A"/>
                <w:sz w:val="16"/>
                <w:szCs w:val="16"/>
              </w:rPr>
              <w:t xml:space="preserve">Living Financial Twin</w:t>
            </w:r>
          </w:p>
        </w:tc>
        <w:tc>
          <w:tcPr>
            <w:tcW w:type="dxa" w:w="1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AI Features</w:t>
            </w:r>
          </w:p>
        </w:tc>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center"/>
            </w:pPr>
            <w:r>
              <w:rPr>
                <w:rFonts w:ascii="Calibri" w:cs="Calibri" w:eastAsia="Calibri" w:hAnsi="Calibri"/>
                <w:b/>
                <w:bCs/>
                <w:color w:val="9E7820"/>
                <w:sz w:val="14"/>
                <w:szCs w:val="14"/>
              </w:rPr>
              <w:t xml:space="preserve">Long-term</w:t>
            </w:r>
          </w:p>
        </w:tc>
        <w:tc>
          <w:tcPr>
            <w:tcW w:type="dxa" w:w="3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A real-time digital twin of the customer's full financial life. Runs 'what-if' simulations across cash flow, net worth, retirement age and family stability — and stays continuously synced with actual decisions.</w:t>
            </w:r>
          </w:p>
        </w:tc>
        <w:tc>
          <w:tcPr>
            <w:tcW w:type="dxa" w:w="3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Maya asks: 'What if I quit my job for 6 months and travel?' Twin shows: net worth -₹3.4L, retirement delayed 14 months, emergency fund safe, but kid's college SIP gap appears in year 4. One-click recommendation to bridge.</w:t>
            </w:r>
          </w:p>
        </w:tc>
        <w:tc>
          <w:tcPr>
            <w:tcW w:type="dxa" w:w="226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Highest stickiness lever in the deck — the twin becomes irreplaceable. Drives advisory revenue, justifies premium subscription, and creates a defensible data moat.</w:t>
            </w:r>
          </w:p>
        </w:tc>
        <w:tc>
          <w:tcPr>
            <w:tcW w:type="dxa" w:w="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8"/>
                <w:szCs w:val="18"/>
              </w:rPr>
              <w:t xml:space="preserve">3</w:t>
            </w:r>
          </w:p>
        </w:tc>
      </w:tr>
      <w:tr>
        <w:trPr>
          <w:cantSplit/>
        </w:trPr>
        <w:tc>
          <w:tcPr>
            <w:tcW w:type="dxa" w:w="17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bCs/>
                <w:color w:val="1A1A1A"/>
                <w:sz w:val="16"/>
                <w:szCs w:val="16"/>
              </w:rPr>
              <w:t xml:space="preserve">AutoEmergency Mode</w:t>
            </w:r>
          </w:p>
        </w:tc>
        <w:tc>
          <w:tcPr>
            <w:tcW w:type="dxa" w:w="12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Autonomous Banking</w:t>
            </w:r>
          </w:p>
        </w:tc>
        <w:tc>
          <w:tcPr>
            <w:tcW w:type="dxa" w:w="9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center"/>
            </w:pPr>
            <w:r>
              <w:rPr>
                <w:rFonts w:ascii="Calibri" w:cs="Calibri" w:eastAsia="Calibri" w:hAnsi="Calibri"/>
                <w:b/>
                <w:bCs/>
                <w:color w:val="9E7820"/>
                <w:sz w:val="14"/>
                <w:szCs w:val="14"/>
              </w:rPr>
              <w:t xml:space="preserve">Long-term</w:t>
            </w:r>
          </w:p>
        </w:tc>
        <w:tc>
          <w:tcPr>
            <w:tcW w:type="dxa" w:w="31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Detects a job loss, medical event or major income shock from transaction and external signals → automatically activates a 6-month survival mode: pauses discretionary spending, restructures EMIs, surfaces hardship credit, and dispatches a human banker.</w:t>
            </w:r>
          </w:p>
        </w:tc>
        <w:tc>
          <w:tcPr>
            <w:tcW w:type="dxa" w:w="31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Severance lump-sum hits + salary deposit stops. Within hours: subscriptions paused, EMI reduced to interest-only for 90 days, emergency line offered, family notified (with consent), insurance claims pre-filled.</w:t>
            </w:r>
          </w:p>
        </w:tc>
        <w:tc>
          <w:tcPr>
            <w:tcW w:type="dxa" w:w="226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Reduces involuntary churn at the worst possible moment, lowers default rates, builds extreme loyalty. The customer remembers who showed up when life broke.</w:t>
            </w:r>
          </w:p>
        </w:tc>
        <w:tc>
          <w:tcPr>
            <w:tcW w:type="dxa" w:w="7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8"/>
                <w:szCs w:val="18"/>
              </w:rPr>
              <w:t xml:space="preserve">4</w:t>
            </w:r>
          </w:p>
        </w:tc>
      </w:tr>
      <w:tr>
        <w:trPr>
          <w:cantSplit/>
        </w:trPr>
        <w:tc>
          <w:tcPr>
            <w:tcW w:type="dxa" w:w="1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bCs/>
                <w:color w:val="1A1A1A"/>
                <w:sz w:val="16"/>
                <w:szCs w:val="16"/>
              </w:rPr>
              <w:t xml:space="preserve">Reverse Lending</w:t>
            </w:r>
          </w:p>
        </w:tc>
        <w:tc>
          <w:tcPr>
            <w:tcW w:type="dxa" w:w="1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AI Lending</w:t>
            </w:r>
          </w:p>
        </w:tc>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4"/>
                <w:szCs w:val="14"/>
              </w:rPr>
              <w:t xml:space="preserve">Short-term</w:t>
            </w:r>
          </w:p>
        </w:tc>
        <w:tc>
          <w:tcPr>
            <w:tcW w:type="dxa" w:w="3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Bank predicts an upcoming financial need from behavioral signals and proactively offers a small, pre-approved credit line before the customer asks — with full opt-in and explainability.</w:t>
            </w:r>
          </w:p>
        </w:tc>
        <w:tc>
          <w:tcPr>
            <w:tcW w:type="dxa" w:w="3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Customer's car insurance is due in 18 days; bank account low. App surfaces: 'You may want ₹22K available. Tap to keep this line ready for 30 days. No charge if unused, 10.4% if drawn.'</w:t>
            </w:r>
          </w:p>
        </w:tc>
        <w:tc>
          <w:tcPr>
            <w:tcW w:type="dxa" w:w="226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Captures credit demand that would otherwise leak to fintechs or credit cards; lifts utilization at lower default risk because the offer is timed to actual need.</w:t>
            </w:r>
          </w:p>
        </w:tc>
        <w:tc>
          <w:tcPr>
            <w:tcW w:type="dxa" w:w="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8"/>
                <w:szCs w:val="18"/>
              </w:rPr>
              <w:t xml:space="preserve">5</w:t>
            </w:r>
          </w:p>
        </w:tc>
      </w:tr>
      <w:tr>
        <w:trPr>
          <w:cantSplit/>
        </w:trPr>
        <w:tc>
          <w:tcPr>
            <w:tcW w:type="dxa" w:w="17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bCs/>
                <w:color w:val="1A1A1A"/>
                <w:sz w:val="16"/>
                <w:szCs w:val="16"/>
              </w:rPr>
              <w:t xml:space="preserve">Microcredit Drip</w:t>
            </w:r>
          </w:p>
        </w:tc>
        <w:tc>
          <w:tcPr>
            <w:tcW w:type="dxa" w:w="12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AI Lending</w:t>
            </w:r>
          </w:p>
        </w:tc>
        <w:tc>
          <w:tcPr>
            <w:tcW w:type="dxa" w:w="9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4"/>
                <w:szCs w:val="14"/>
              </w:rPr>
              <w:t xml:space="preserve">Short-term</w:t>
            </w:r>
          </w:p>
        </w:tc>
        <w:tc>
          <w:tcPr>
            <w:tcW w:type="dxa" w:w="31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Replaces lump-sum small loans with an AI-paced daily drip of credit (e.g. ₹2K/day), self-repaying from incoming salary or income. Smaller exposure, higher dignity, lower default.</w:t>
            </w:r>
          </w:p>
        </w:tc>
        <w:tc>
          <w:tcPr>
            <w:tcW w:type="dxa" w:w="31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Gig worker needs ₹50K for a deposit. Instead of a single loan, the bank credits ₹2,500/day for 20 days; auto-repays from daily earnings. AI pauses on no-income days, resumes when wallet fills.</w:t>
            </w:r>
          </w:p>
        </w:tc>
        <w:tc>
          <w:tcPr>
            <w:tcW w:type="dxa" w:w="226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Opens thin-file and gig-economy lending profitably; lower delinquency than lump-sum equivalent; creates daily product engagement.</w:t>
            </w:r>
          </w:p>
        </w:tc>
        <w:tc>
          <w:tcPr>
            <w:tcW w:type="dxa" w:w="7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8"/>
                <w:szCs w:val="18"/>
              </w:rPr>
              <w:t xml:space="preserve">6</w:t>
            </w:r>
          </w:p>
        </w:tc>
      </w:tr>
      <w:tr>
        <w:trPr>
          <w:cantSplit/>
        </w:trPr>
        <w:tc>
          <w:tcPr>
            <w:tcW w:type="dxa" w:w="1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bCs/>
                <w:color w:val="1A1A1A"/>
                <w:sz w:val="16"/>
                <w:szCs w:val="16"/>
              </w:rPr>
              <w:t xml:space="preserve">Money Stress Index</w:t>
            </w:r>
          </w:p>
        </w:tc>
        <w:tc>
          <w:tcPr>
            <w:tcW w:type="dxa" w:w="1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Financial Wellness</w:t>
            </w:r>
          </w:p>
        </w:tc>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4"/>
                <w:szCs w:val="14"/>
              </w:rPr>
              <w:t xml:space="preserve">Short-term</w:t>
            </w:r>
          </w:p>
        </w:tc>
        <w:tc>
          <w:tcPr>
            <w:tcW w:type="dxa" w:w="3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A composite score of financial distress — derived from balance volatility, decline rate, late-night transactions, refund frequency and similar signals. Visible to the customer with full privacy and explainability.</w:t>
            </w:r>
          </w:p>
        </w:tc>
        <w:tc>
          <w:tcPr>
            <w:tcW w:type="dxa" w:w="3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Index jumps from 28 → 71 over two weeks. App quietly switches to Calm Mode, hides red numbers, surfaces one positive action ('move ₹4K to your buffer') and offers a free chat with a financial counsellor.</w:t>
            </w:r>
          </w:p>
        </w:tc>
        <w:tc>
          <w:tcPr>
            <w:tcW w:type="dxa" w:w="226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Differentiated brand promise — 'a bank that cares.' Reduces churn driven by stress, lowers complaint volume, supports CFPB / RBI fair-treatment narrative.</w:t>
            </w:r>
          </w:p>
        </w:tc>
        <w:tc>
          <w:tcPr>
            <w:tcW w:type="dxa" w:w="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8"/>
                <w:szCs w:val="18"/>
              </w:rPr>
              <w:t xml:space="preserve">7</w:t>
            </w:r>
          </w:p>
        </w:tc>
      </w:tr>
      <w:tr>
        <w:trPr>
          <w:cantSplit/>
        </w:trPr>
        <w:tc>
          <w:tcPr>
            <w:tcW w:type="dxa" w:w="17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bCs/>
                <w:color w:val="1A1A1A"/>
                <w:sz w:val="16"/>
                <w:szCs w:val="16"/>
              </w:rPr>
              <w:t xml:space="preserve">The Financial Mirror</w:t>
            </w:r>
          </w:p>
        </w:tc>
        <w:tc>
          <w:tcPr>
            <w:tcW w:type="dxa" w:w="12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AI Features</w:t>
            </w:r>
          </w:p>
        </w:tc>
        <w:tc>
          <w:tcPr>
            <w:tcW w:type="dxa" w:w="9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4"/>
                <w:szCs w:val="14"/>
              </w:rPr>
              <w:t xml:space="preserve">Short-term</w:t>
            </w:r>
          </w:p>
        </w:tc>
        <w:tc>
          <w:tcPr>
            <w:tcW w:type="dxa" w:w="31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A weekly 60-second AI-generated personal narrative of the customer's money — voiced like a podcast host, addressed by name — delivered every Sunday morning.</w:t>
            </w:r>
          </w:p>
        </w:tc>
        <w:tc>
          <w:tcPr>
            <w:tcW w:type="dxa" w:w="31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'Hi Sanjay. Last week you spent ₹14K, ₹3K below your average. Your Goa fund crossed ₹50K — halfway there. One thing to watch: dining is creeping up. Have a good Sunday.'</w:t>
            </w:r>
          </w:p>
        </w:tc>
        <w:tc>
          <w:tcPr>
            <w:tcW w:type="dxa" w:w="226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Massive engagement lift (Spotify Wrapped effect, weekly). Builds habit of opening the bank without selling. Strong word-of-mouth driver.</w:t>
            </w:r>
          </w:p>
        </w:tc>
        <w:tc>
          <w:tcPr>
            <w:tcW w:type="dxa" w:w="7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8"/>
                <w:szCs w:val="18"/>
              </w:rPr>
              <w:t xml:space="preserve">8</w:t>
            </w:r>
          </w:p>
        </w:tc>
      </w:tr>
      <w:tr>
        <w:trPr>
          <w:cantSplit/>
        </w:trPr>
        <w:tc>
          <w:tcPr>
            <w:tcW w:type="dxa" w:w="1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bCs/>
                <w:color w:val="1A1A1A"/>
                <w:sz w:val="16"/>
                <w:szCs w:val="16"/>
              </w:rPr>
              <w:t xml:space="preserve">Decision Receipts</w:t>
            </w:r>
          </w:p>
        </w:tc>
        <w:tc>
          <w:tcPr>
            <w:tcW w:type="dxa" w:w="1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AI Features</w:t>
            </w:r>
          </w:p>
        </w:tc>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4"/>
                <w:szCs w:val="14"/>
              </w:rPr>
              <w:t xml:space="preserve">Short-term</w:t>
            </w:r>
          </w:p>
        </w:tc>
        <w:tc>
          <w:tcPr>
            <w:tcW w:type="dxa" w:w="3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Every AI-initiated action ships with a one-tap 'Why did you do that?' — full reasoning trace, the model used, alternatives considered, and a complete audit log. Customer can swap models or escalate.</w:t>
            </w:r>
          </w:p>
        </w:tc>
        <w:tc>
          <w:tcPr>
            <w:tcW w:type="dxa" w:w="3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AI moves ₹8K from current to savings overnight. Receipt: 'Your account would have earned ₹3.12 in interest. I moved it to Way2Save at 4.5%. Considered: Auto-invest in liquid fund (riskier, +₹2). Tap to undo within 24h.'</w:t>
            </w:r>
          </w:p>
        </w:tc>
        <w:tc>
          <w:tcPr>
            <w:tcW w:type="dxa" w:w="226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Builds the trust ceiling that lets the bank unlock autonomous features; addresses the #1 regulator concern about agentic AI; differentiator against opaque fintech agents.</w:t>
            </w:r>
          </w:p>
        </w:tc>
        <w:tc>
          <w:tcPr>
            <w:tcW w:type="dxa" w:w="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8"/>
                <w:szCs w:val="18"/>
              </w:rPr>
              <w:t xml:space="preserve">9</w:t>
            </w:r>
          </w:p>
        </w:tc>
      </w:tr>
      <w:tr>
        <w:trPr>
          <w:cantSplit/>
        </w:trPr>
        <w:tc>
          <w:tcPr>
            <w:tcW w:type="dxa" w:w="17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bCs/>
                <w:color w:val="1A1A1A"/>
                <w:sz w:val="16"/>
                <w:szCs w:val="16"/>
              </w:rPr>
              <w:t xml:space="preserve">AutoInvest (Breathing SIP)</w:t>
            </w:r>
          </w:p>
        </w:tc>
        <w:tc>
          <w:tcPr>
            <w:tcW w:type="dxa" w:w="12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Autonomous Banking</w:t>
            </w:r>
          </w:p>
        </w:tc>
        <w:tc>
          <w:tcPr>
            <w:tcW w:type="dxa" w:w="9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4"/>
                <w:szCs w:val="14"/>
              </w:rPr>
              <w:t xml:space="preserve">Short-term</w:t>
            </w:r>
          </w:p>
        </w:tc>
        <w:tc>
          <w:tcPr>
            <w:tcW w:type="dxa" w:w="31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Goal-driven SIP that 'breathes' with the customer's cash flow — pauses on tough months, accelerates in surplus months, rebalances toward the goal date.</w:t>
            </w:r>
          </w:p>
        </w:tc>
        <w:tc>
          <w:tcPr>
            <w:tcW w:type="dxa" w:w="31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₹15K monthly Goa SIP. Bonus month: AI pushes ₹40K. Medical bill month: AI pauses contribution but keeps goal alive. Net: goal hit 3 months early without customer touch.</w:t>
            </w:r>
          </w:p>
        </w:tc>
        <w:tc>
          <w:tcPr>
            <w:tcW w:type="dxa" w:w="226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Higher SIP persistence (the #1 industry KPI), dramatically lower goal abandonment, increased AUM, more premium upsell.</w:t>
            </w:r>
          </w:p>
        </w:tc>
        <w:tc>
          <w:tcPr>
            <w:tcW w:type="dxa" w:w="7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8"/>
                <w:szCs w:val="18"/>
              </w:rPr>
              <w:t xml:space="preserve">10</w:t>
            </w:r>
          </w:p>
        </w:tc>
      </w:tr>
      <w:tr>
        <w:trPr>
          <w:cantSplit/>
        </w:trPr>
        <w:tc>
          <w:tcPr>
            <w:tcW w:type="dxa" w:w="1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bCs/>
                <w:color w:val="1A1A1A"/>
                <w:sz w:val="16"/>
                <w:szCs w:val="16"/>
              </w:rPr>
              <w:t xml:space="preserve">AutoDebt Routing</w:t>
            </w:r>
          </w:p>
        </w:tc>
        <w:tc>
          <w:tcPr>
            <w:tcW w:type="dxa" w:w="1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Autonomous Banking</w:t>
            </w:r>
          </w:p>
        </w:tc>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4"/>
                <w:szCs w:val="14"/>
              </w:rPr>
              <w:t xml:space="preserve">Short-term</w:t>
            </w:r>
          </w:p>
        </w:tc>
        <w:tc>
          <w:tcPr>
            <w:tcW w:type="dxa" w:w="3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AI continuously routes EMIs across credit cards, personal loans and overdrafts to minimize total interest paid, respecting customer preferences (e.g. 'card priority').</w:t>
            </w:r>
          </w:p>
        </w:tc>
        <w:tc>
          <w:tcPr>
            <w:tcW w:type="dxa" w:w="3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Customer owes ₹1.2L across three cards. AI shifts ₹40K balance to a 0% intro card, pays the highest-APR card first, schedules minimums everywhere else. Saves ₹4,800 over 6 months.</w:t>
            </w:r>
          </w:p>
        </w:tc>
        <w:tc>
          <w:tcPr>
            <w:tcW w:type="dxa" w:w="226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Powerful retention hook for over-leveraged customers; new fee model ('% of interest saved'); deflects them from balance-transfer fintechs.</w:t>
            </w:r>
          </w:p>
        </w:tc>
        <w:tc>
          <w:tcPr>
            <w:tcW w:type="dxa" w:w="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8"/>
                <w:szCs w:val="18"/>
              </w:rPr>
              <w:t xml:space="preserve">11</w:t>
            </w:r>
          </w:p>
        </w:tc>
      </w:tr>
      <w:tr>
        <w:trPr>
          <w:cantSplit/>
        </w:trPr>
        <w:tc>
          <w:tcPr>
            <w:tcW w:type="dxa" w:w="17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bCs/>
                <w:color w:val="1A1A1A"/>
                <w:sz w:val="16"/>
                <w:szCs w:val="16"/>
              </w:rPr>
              <w:t xml:space="preserve">AutoPay Smart</w:t>
            </w:r>
          </w:p>
        </w:tc>
        <w:tc>
          <w:tcPr>
            <w:tcW w:type="dxa" w:w="12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Autonomous Banking</w:t>
            </w:r>
          </w:p>
        </w:tc>
        <w:tc>
          <w:tcPr>
            <w:tcW w:type="dxa" w:w="9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4"/>
                <w:szCs w:val="14"/>
              </w:rPr>
              <w:t xml:space="preserve">Short-term</w:t>
            </w:r>
          </w:p>
        </w:tc>
        <w:tc>
          <w:tcPr>
            <w:tcW w:type="dxa" w:w="31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Pays bills only at the optimal moment — e.g. after a credit card rewards window closes, after a cashback campaign, or when liquidity is highest.</w:t>
            </w:r>
          </w:p>
        </w:tc>
        <w:tc>
          <w:tcPr>
            <w:tcW w:type="dxa" w:w="31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Electricity bill due 25th. AI pays on the 23rd to capture a cashback campaign worth ₹120, instead of the default-set 20th, saving the customer ₹120 with zero effort.</w:t>
            </w:r>
          </w:p>
        </w:tc>
        <w:tc>
          <w:tcPr>
            <w:tcW w:type="dxa" w:w="226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Daily reinforcement of 'the bank that earns me money'; ties customer to the bank's view of bill calendar; reduces churn.</w:t>
            </w:r>
          </w:p>
        </w:tc>
        <w:tc>
          <w:tcPr>
            <w:tcW w:type="dxa" w:w="7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8"/>
                <w:szCs w:val="18"/>
              </w:rPr>
              <w:t xml:space="preserve">12</w:t>
            </w:r>
          </w:p>
        </w:tc>
      </w:tr>
      <w:tr>
        <w:trPr>
          <w:cantSplit/>
        </w:trPr>
        <w:tc>
          <w:tcPr>
            <w:tcW w:type="dxa" w:w="1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bCs/>
                <w:color w:val="1A1A1A"/>
                <w:sz w:val="16"/>
                <w:szCs w:val="16"/>
              </w:rPr>
              <w:t xml:space="preserve">The Pause Button</w:t>
            </w:r>
          </w:p>
        </w:tc>
        <w:tc>
          <w:tcPr>
            <w:tcW w:type="dxa" w:w="1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Financial Wellness</w:t>
            </w:r>
          </w:p>
        </w:tc>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4"/>
                <w:szCs w:val="14"/>
              </w:rPr>
              <w:t xml:space="preserve">Short-term</w:t>
            </w:r>
          </w:p>
        </w:tc>
        <w:tc>
          <w:tcPr>
            <w:tcW w:type="dxa" w:w="3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Before any transaction above a threshold (e.g. ₹5K), AI asks one personalized question and enforces a 30-second cool-down. The question is generated from the customer's stated goals, not generic.</w:t>
            </w:r>
          </w:p>
        </w:tc>
        <w:tc>
          <w:tcPr>
            <w:tcW w:type="dxa" w:w="3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About to buy ₹12K headphones online. Pause: 'You said in March you wanted to hit ₹1L in your Goa fund by August. This purchase pushes that to October. Continue?' 31% of impulse buys abandoned in pilot data.</w:t>
            </w:r>
          </w:p>
        </w:tc>
        <w:tc>
          <w:tcPr>
            <w:tcW w:type="dxa" w:w="226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Direct savings rate lift, lower buyer's-remorse refunds and chargebacks, behaviorally-economically powerful and emotionally protective.</w:t>
            </w:r>
          </w:p>
        </w:tc>
        <w:tc>
          <w:tcPr>
            <w:tcW w:type="dxa" w:w="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8"/>
                <w:szCs w:val="18"/>
              </w:rPr>
              <w:t xml:space="preserve">13</w:t>
            </w:r>
          </w:p>
        </w:tc>
      </w:tr>
      <w:tr>
        <w:trPr>
          <w:cantSplit/>
        </w:trPr>
        <w:tc>
          <w:tcPr>
            <w:tcW w:type="dxa" w:w="17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bCs/>
                <w:color w:val="1A1A1A"/>
                <w:sz w:val="16"/>
                <w:szCs w:val="16"/>
              </w:rPr>
              <w:t xml:space="preserve">Conversational Forms</w:t>
            </w:r>
          </w:p>
        </w:tc>
        <w:tc>
          <w:tcPr>
            <w:tcW w:type="dxa" w:w="12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Voice / Multimodal</w:t>
            </w:r>
          </w:p>
        </w:tc>
        <w:tc>
          <w:tcPr>
            <w:tcW w:type="dxa" w:w="9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4"/>
                <w:szCs w:val="14"/>
              </w:rPr>
              <w:t xml:space="preserve">Short-term</w:t>
            </w:r>
          </w:p>
        </w:tc>
        <w:tc>
          <w:tcPr>
            <w:tcW w:type="dxa" w:w="31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Replaces every form (KYC, loan, address change, insurance) with a chat. The AI extracts structured data invisibly, validates against documents and pre-fills regulator-required fields.</w:t>
            </w:r>
          </w:p>
        </w:tc>
        <w:tc>
          <w:tcPr>
            <w:tcW w:type="dxa" w:w="31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Personal loan: 'I need ₹3L for my sister's wedding, can repay over 24 months.' AI parses purpose, amount, tenure, asks 3 follow-ups, pulls income, generates the regulatory form ready for e-sign.</w:t>
            </w:r>
          </w:p>
        </w:tc>
        <w:tc>
          <w:tcPr>
            <w:tcW w:type="dxa" w:w="226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Application completion rates from ~40% → ~80% in pilot benchmarks. Removes the single biggest friction in digital lending and account opening.</w:t>
            </w:r>
          </w:p>
        </w:tc>
        <w:tc>
          <w:tcPr>
            <w:tcW w:type="dxa" w:w="7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8"/>
                <w:szCs w:val="18"/>
              </w:rPr>
              <w:t xml:space="preserve">14</w:t>
            </w:r>
          </w:p>
        </w:tc>
      </w:tr>
      <w:tr>
        <w:trPr>
          <w:cantSplit/>
        </w:trPr>
        <w:tc>
          <w:tcPr>
            <w:tcW w:type="dxa" w:w="1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bCs/>
                <w:color w:val="1A1A1A"/>
                <w:sz w:val="16"/>
                <w:szCs w:val="16"/>
              </w:rPr>
              <w:t xml:space="preserve">Voice-Clone Defense</w:t>
            </w:r>
          </w:p>
        </w:tc>
        <w:tc>
          <w:tcPr>
            <w:tcW w:type="dxa" w:w="1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Fraud &amp; Trust</w:t>
            </w:r>
          </w:p>
        </w:tc>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4"/>
                <w:szCs w:val="14"/>
              </w:rPr>
              <w:t xml:space="preserve">Short-term</w:t>
            </w:r>
          </w:p>
        </w:tc>
        <w:tc>
          <w:tcPr>
            <w:tcW w:type="dxa" w:w="3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AI verifies that a voice on a call is a live human, not a synthetic clone, with sub-200ms liveness detection. Runs continuously on every voice interaction.</w:t>
            </w:r>
          </w:p>
        </w:tc>
        <w:tc>
          <w:tcPr>
            <w:tcW w:type="dxa" w:w="3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Scammer calls bank using AI-cloned voice of customer to authorize a ₹2L transfer. Liveness model detects synthesis artifacts within 180ms; call is silently flagged, real customer is alerted via app push to confirm or deny.</w:t>
            </w:r>
          </w:p>
        </w:tc>
        <w:tc>
          <w:tcPr>
            <w:tcW w:type="dxa" w:w="226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Material reduction in voice-led ATO fraud; a defensible 'we saw this coming' story to regulators; supports voice as a primary channel.</w:t>
            </w:r>
          </w:p>
        </w:tc>
        <w:tc>
          <w:tcPr>
            <w:tcW w:type="dxa" w:w="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8"/>
                <w:szCs w:val="18"/>
              </w:rPr>
              <w:t xml:space="preserve">15</w:t>
            </w:r>
          </w:p>
        </w:tc>
      </w:tr>
      <w:tr>
        <w:trPr>
          <w:cantSplit/>
        </w:trPr>
        <w:tc>
          <w:tcPr>
            <w:tcW w:type="dxa" w:w="17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bCs/>
                <w:color w:val="1A1A1A"/>
                <w:sz w:val="16"/>
                <w:szCs w:val="16"/>
              </w:rPr>
              <w:t xml:space="preserve">Adversarial AI Defense</w:t>
            </w:r>
          </w:p>
        </w:tc>
        <w:tc>
          <w:tcPr>
            <w:tcW w:type="dxa" w:w="12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Fraud &amp; Trust</w:t>
            </w:r>
          </w:p>
        </w:tc>
        <w:tc>
          <w:tcPr>
            <w:tcW w:type="dxa" w:w="9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4"/>
                <w:szCs w:val="14"/>
              </w:rPr>
              <w:t xml:space="preserve">Short-term</w:t>
            </w:r>
          </w:p>
        </w:tc>
        <w:tc>
          <w:tcPr>
            <w:tcW w:type="dxa" w:w="31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A persistent in-house AI red-team that continuously attacks the bank's own AI systems — prompt injection, model evasion, deepfake bypass — and surfaces gaps before criminals find them.</w:t>
            </w:r>
          </w:p>
        </w:tc>
        <w:tc>
          <w:tcPr>
            <w:tcW w:type="dxa" w:w="31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Red-team AI discovers that a particular Hindi-Marathi codeswitched phrasing tricks the fraud model into approving suspicious transfers. Patch deployed in 6 hours, before any real loss.</w:t>
            </w:r>
          </w:p>
        </w:tc>
        <w:tc>
          <w:tcPr>
            <w:tcW w:type="dxa" w:w="226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Pre-empts losses, strengthens regulator posture, gives the CISO a continuous metric of AI security health.</w:t>
            </w:r>
          </w:p>
        </w:tc>
        <w:tc>
          <w:tcPr>
            <w:tcW w:type="dxa" w:w="7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8"/>
                <w:szCs w:val="18"/>
              </w:rPr>
              <w:t xml:space="preserve">16</w:t>
            </w:r>
          </w:p>
        </w:tc>
      </w:tr>
      <w:tr>
        <w:trPr>
          <w:cantSplit/>
        </w:trPr>
        <w:tc>
          <w:tcPr>
            <w:tcW w:type="dxa" w:w="1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bCs/>
                <w:color w:val="1A1A1A"/>
                <w:sz w:val="16"/>
                <w:szCs w:val="16"/>
              </w:rPr>
              <w:t xml:space="preserve">Long-Memory Empathy</w:t>
            </w:r>
          </w:p>
        </w:tc>
        <w:tc>
          <w:tcPr>
            <w:tcW w:type="dxa" w:w="1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AI Relationship Manager</w:t>
            </w:r>
          </w:p>
        </w:tc>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center"/>
            </w:pPr>
            <w:r>
              <w:rPr>
                <w:rFonts w:ascii="Calibri" w:cs="Calibri" w:eastAsia="Calibri" w:hAnsi="Calibri"/>
                <w:b/>
                <w:bCs/>
                <w:color w:val="9E7820"/>
                <w:sz w:val="14"/>
                <w:szCs w:val="14"/>
              </w:rPr>
              <w:t xml:space="preserve">Long-term</w:t>
            </w:r>
          </w:p>
        </w:tc>
        <w:tc>
          <w:tcPr>
            <w:tcW w:type="dxa" w:w="3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Aria's memory of the customer's life context, applied gently across years — recalling family events, prior worries, stated values — to make every interaction feel known and respected.</w:t>
            </w:r>
          </w:p>
        </w:tc>
        <w:tc>
          <w:tcPr>
            <w:tcW w:type="dxa" w:w="3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Two years after the customer mentioned their child's special-needs school, Aria notices a relevant new education-savings product: 'Given Arjun's school plan, this might be worth a 5-minute look.'</w:t>
            </w:r>
          </w:p>
        </w:tc>
        <w:tc>
          <w:tcPr>
            <w:tcW w:type="dxa" w:w="226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Compounds Aria's stickiness over years; switching cost becomes emotional, not just functional. Foundational to multi-decade primary-bank capture.</w:t>
            </w:r>
          </w:p>
        </w:tc>
        <w:tc>
          <w:tcPr>
            <w:tcW w:type="dxa" w:w="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8"/>
                <w:szCs w:val="18"/>
              </w:rPr>
              <w:t xml:space="preserve">17</w:t>
            </w:r>
          </w:p>
        </w:tc>
      </w:tr>
      <w:tr>
        <w:trPr>
          <w:cantSplit/>
        </w:trPr>
        <w:tc>
          <w:tcPr>
            <w:tcW w:type="dxa" w:w="17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bCs/>
                <w:color w:val="1A1A1A"/>
                <w:sz w:val="16"/>
                <w:szCs w:val="16"/>
              </w:rPr>
              <w:t xml:space="preserve">The Mood-Aware Notification</w:t>
            </w:r>
          </w:p>
        </w:tc>
        <w:tc>
          <w:tcPr>
            <w:tcW w:type="dxa" w:w="12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Hyper-Personalization</w:t>
            </w:r>
          </w:p>
        </w:tc>
        <w:tc>
          <w:tcPr>
            <w:tcW w:type="dxa" w:w="9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4"/>
                <w:szCs w:val="14"/>
              </w:rPr>
              <w:t xml:space="preserve">Short-term</w:t>
            </w:r>
          </w:p>
        </w:tc>
        <w:tc>
          <w:tcPr>
            <w:tcW w:type="dxa" w:w="31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The same factual content is framed differently based on detected mood and life context — calm vs. anxious, surplus vs. squeeze. Same data, different emotional packaging.</w:t>
            </w:r>
          </w:p>
        </w:tc>
        <w:tc>
          <w:tcPr>
            <w:tcW w:type="dxa" w:w="31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Balance hits ₹2,000. Calm-context user: 'Heads-up — you're at ₹2K.' Stressed-context user (recent declines, late-night opens): 'You're at ₹2K. Your salary lands in 3 days. Here's one small move to bridge.'</w:t>
            </w:r>
          </w:p>
        </w:tc>
        <w:tc>
          <w:tcPr>
            <w:tcW w:type="dxa" w:w="226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Higher notification engagement, lower opt-out, demonstrably lower complaint volume from 'tone-deaf' alerts.</w:t>
            </w:r>
          </w:p>
        </w:tc>
        <w:tc>
          <w:tcPr>
            <w:tcW w:type="dxa" w:w="7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8"/>
                <w:szCs w:val="18"/>
              </w:rPr>
              <w:t xml:space="preserve">18</w:t>
            </w:r>
          </w:p>
        </w:tc>
      </w:tr>
      <w:tr>
        <w:trPr>
          <w:cantSplit/>
        </w:trPr>
        <w:tc>
          <w:tcPr>
            <w:tcW w:type="dxa" w:w="1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bCs/>
                <w:color w:val="1A1A1A"/>
                <w:sz w:val="16"/>
                <w:szCs w:val="16"/>
              </w:rPr>
              <w:t xml:space="preserve">The 'Enough' Number</w:t>
            </w:r>
          </w:p>
        </w:tc>
        <w:tc>
          <w:tcPr>
            <w:tcW w:type="dxa" w:w="1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Financial Wellness</w:t>
            </w:r>
          </w:p>
        </w:tc>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4"/>
                <w:szCs w:val="14"/>
              </w:rPr>
              <w:t xml:space="preserve">Short-term</w:t>
            </w:r>
          </w:p>
        </w:tc>
        <w:tc>
          <w:tcPr>
            <w:tcW w:type="dxa" w:w="3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An AI-calculated personal sufficiency threshold. Once crossed, the bank stops nudging the customer to earn or save more — and starts nudging them to live, give, or rest more.</w:t>
            </w:r>
          </w:p>
        </w:tc>
        <w:tc>
          <w:tcPr>
            <w:tcW w:type="dxa" w:w="3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Customer hits their personal 'enough' wealth at age 47. Bank pivots: stops pushing investment products, starts surfacing experiences, philanthropy, slow-travel mortgages, and 'plan a sabbatical' tools.</w:t>
            </w:r>
          </w:p>
        </w:tc>
        <w:tc>
          <w:tcPr>
            <w:tcW w:type="dxa" w:w="226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Radical brand differentiation. The only bank that says 'you're done — go live.' Drives extreme advocacy and lifetime loyalty, even as transactional volume per customer declines.</w:t>
            </w:r>
          </w:p>
        </w:tc>
        <w:tc>
          <w:tcPr>
            <w:tcW w:type="dxa" w:w="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8"/>
                <w:szCs w:val="18"/>
              </w:rPr>
              <w:t xml:space="preserve">19</w:t>
            </w:r>
          </w:p>
        </w:tc>
      </w:tr>
      <w:tr>
        <w:trPr>
          <w:cantSplit/>
        </w:trPr>
        <w:tc>
          <w:tcPr>
            <w:tcW w:type="dxa" w:w="17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bCs/>
                <w:color w:val="1A1A1A"/>
                <w:sz w:val="16"/>
                <w:szCs w:val="16"/>
              </w:rPr>
              <w:t xml:space="preserve">Anti-Scam Shield (Elderly)</w:t>
            </w:r>
          </w:p>
        </w:tc>
        <w:tc>
          <w:tcPr>
            <w:tcW w:type="dxa" w:w="12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Elderly &amp; Accessibility</w:t>
            </w:r>
          </w:p>
        </w:tc>
        <w:tc>
          <w:tcPr>
            <w:tcW w:type="dxa" w:w="9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4"/>
                <w:szCs w:val="14"/>
              </w:rPr>
              <w:t xml:space="preserve">Short-term</w:t>
            </w:r>
          </w:p>
        </w:tc>
        <w:tc>
          <w:tcPr>
            <w:tcW w:type="dxa" w:w="31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For customers 65+, AI is intentionally more conservative — adding a 4-hour soft delay on first-time transfers above a threshold to a new payee, with an optional trusted-family confirmation channel.</w:t>
            </w:r>
          </w:p>
        </w:tc>
        <w:tc>
          <w:tcPr>
            <w:tcW w:type="dxa" w:w="31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82-year-old approves a ₹40K transfer to a new payee after a phone call. Bank holds the transfer, alerts the pre-nominated daughter, who recognizes the scam and cancels within 30 minutes. No loss.</w:t>
            </w:r>
          </w:p>
        </w:tc>
        <w:tc>
          <w:tcPr>
            <w:tcW w:type="dxa" w:w="226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Direct reduction in elder-fraud losses (a regulator focus area); deepens trust with families who often hold multiple accounts at the same bank.</w:t>
            </w:r>
          </w:p>
        </w:tc>
        <w:tc>
          <w:tcPr>
            <w:tcW w:type="dxa" w:w="7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8"/>
                <w:szCs w:val="18"/>
              </w:rPr>
              <w:t xml:space="preserve">20</w:t>
            </w:r>
          </w:p>
        </w:tc>
      </w:tr>
      <w:tr>
        <w:trPr>
          <w:cantSplit/>
        </w:trPr>
        <w:tc>
          <w:tcPr>
            <w:tcW w:type="dxa" w:w="1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bCs/>
                <w:color w:val="1A1A1A"/>
                <w:sz w:val="16"/>
                <w:szCs w:val="16"/>
              </w:rPr>
              <w:t xml:space="preserve">AI Stock Picker with Receipts</w:t>
            </w:r>
          </w:p>
        </w:tc>
        <w:tc>
          <w:tcPr>
            <w:tcW w:type="dxa" w:w="1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Wealth &amp; Investment</w:t>
            </w:r>
          </w:p>
        </w:tc>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4"/>
                <w:szCs w:val="14"/>
              </w:rPr>
              <w:t xml:space="preserve">Short-term</w:t>
            </w:r>
          </w:p>
        </w:tc>
        <w:tc>
          <w:tcPr>
            <w:tcW w:type="dxa" w:w="3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Every investment recommendation arrives with a one-page, plain-language rationale — including the explicit counter-argument and the model's confidence level.</w:t>
            </w:r>
          </w:p>
        </w:tc>
        <w:tc>
          <w:tcPr>
            <w:tcW w:type="dxa" w:w="3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Recommendation: 'Add 4% to renewables ETF.' Receipt: 'Why: 3 signals A, B, C. Counter-argument: cyclical correction risk in Q3. Confidence: 62%. Alternative if you disagree: defensive sector.'</w:t>
            </w:r>
          </w:p>
        </w:tc>
        <w:tc>
          <w:tcPr>
            <w:tcW w:type="dxa" w:w="226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Builds trust to scale advisory; differentiator vs opaque robo-advisors; satisfies fiduciary documentation requirements out of the box.</w:t>
            </w:r>
          </w:p>
        </w:tc>
        <w:tc>
          <w:tcPr>
            <w:tcW w:type="dxa" w:w="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8"/>
                <w:szCs w:val="18"/>
              </w:rPr>
              <w:t xml:space="preserve">21</w:t>
            </w:r>
          </w:p>
        </w:tc>
      </w:tr>
      <w:tr>
        <w:trPr>
          <w:cantSplit/>
        </w:trPr>
        <w:tc>
          <w:tcPr>
            <w:tcW w:type="dxa" w:w="17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bCs/>
                <w:color w:val="1A1A1A"/>
                <w:sz w:val="16"/>
                <w:szCs w:val="16"/>
              </w:rPr>
              <w:t xml:space="preserve">Outcome-based Loans</w:t>
            </w:r>
          </w:p>
        </w:tc>
        <w:tc>
          <w:tcPr>
            <w:tcW w:type="dxa" w:w="12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AI Lending</w:t>
            </w:r>
          </w:p>
        </w:tc>
        <w:tc>
          <w:tcPr>
            <w:tcW w:type="dxa" w:w="9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center"/>
            </w:pPr>
            <w:r>
              <w:rPr>
                <w:rFonts w:ascii="Calibri" w:cs="Calibri" w:eastAsia="Calibri" w:hAnsi="Calibri"/>
                <w:b/>
                <w:bCs/>
                <w:color w:val="9E7820"/>
                <w:sz w:val="14"/>
                <w:szCs w:val="14"/>
              </w:rPr>
              <w:t xml:space="preserve">Long-term</w:t>
            </w:r>
          </w:p>
        </w:tc>
        <w:tc>
          <w:tcPr>
            <w:tcW w:type="dxa" w:w="31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For education and skilling, repayment only begins after the borrower reaches a target salary, AI-priced from job-market data and the chosen course. Income-share style, packaged as a bank product.</w:t>
            </w:r>
          </w:p>
        </w:tc>
        <w:tc>
          <w:tcPr>
            <w:tcW w:type="dxa" w:w="31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₹6L coding bootcamp loan. No EMI until graduate's salary crosses ₹50K/month. Then 12% of salary for 36 months. AI tracks employer payments via account, pauses on job loss.</w:t>
            </w:r>
          </w:p>
        </w:tc>
        <w:tc>
          <w:tcPr>
            <w:tcW w:type="dxa" w:w="226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Opens a category currently dominated by fintechs (e.g. Leap, MPower); strong PR narrative on financial inclusion; novel asset class for the balance sheet.</w:t>
            </w:r>
          </w:p>
        </w:tc>
        <w:tc>
          <w:tcPr>
            <w:tcW w:type="dxa" w:w="7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8"/>
                <w:szCs w:val="18"/>
              </w:rPr>
              <w:t xml:space="preserve">22</w:t>
            </w:r>
          </w:p>
        </w:tc>
      </w:tr>
      <w:tr>
        <w:trPr>
          <w:cantSplit/>
        </w:trPr>
        <w:tc>
          <w:tcPr>
            <w:tcW w:type="dxa" w:w="1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bCs/>
                <w:color w:val="1A1A1A"/>
                <w:sz w:val="16"/>
                <w:szCs w:val="16"/>
              </w:rPr>
              <w:t xml:space="preserve">Time-Travel Banking</w:t>
            </w:r>
          </w:p>
        </w:tc>
        <w:tc>
          <w:tcPr>
            <w:tcW w:type="dxa" w:w="1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AI Features</w:t>
            </w:r>
          </w:p>
        </w:tc>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center"/>
            </w:pPr>
            <w:r>
              <w:rPr>
                <w:rFonts w:ascii="Calibri" w:cs="Calibri" w:eastAsia="Calibri" w:hAnsi="Calibri"/>
                <w:b/>
                <w:bCs/>
                <w:color w:val="9E7820"/>
                <w:sz w:val="14"/>
                <w:szCs w:val="14"/>
              </w:rPr>
              <w:t xml:space="preserve">Long-term</w:t>
            </w:r>
          </w:p>
        </w:tc>
        <w:tc>
          <w:tcPr>
            <w:tcW w:type="dxa" w:w="3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Counterfactual replay: 'Show me where I'd be if I had followed your advice 12 months ago.' Quantifies missed opportunities and avoided losses across savings, debt, investing and insurance.</w:t>
            </w:r>
          </w:p>
        </w:tc>
        <w:tc>
          <w:tcPr>
            <w:tcW w:type="dxa" w:w="3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12 months ago Aria suggested moving ₹2L from current to liquid fund. Customer ignored. Time-Travel shows: ₹13,200 of foregone interest. Followed-advice counterfactual: net worth would be 3.4% higher today.</w:t>
            </w:r>
          </w:p>
        </w:tc>
        <w:tc>
          <w:tcPr>
            <w:tcW w:type="dxa" w:w="226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Builds long-term trust to delegate more; powerful retention story; converts skeptics into autonomous-mode users.</w:t>
            </w:r>
          </w:p>
        </w:tc>
        <w:tc>
          <w:tcPr>
            <w:tcW w:type="dxa" w:w="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8"/>
                <w:szCs w:val="18"/>
              </w:rPr>
              <w:t xml:space="preserve">23</w:t>
            </w:r>
          </w:p>
        </w:tc>
      </w:tr>
      <w:tr>
        <w:trPr>
          <w:cantSplit/>
        </w:trPr>
        <w:tc>
          <w:tcPr>
            <w:tcW w:type="dxa" w:w="17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bCs/>
                <w:color w:val="1A1A1A"/>
                <w:sz w:val="16"/>
                <w:szCs w:val="16"/>
              </w:rPr>
              <w:t xml:space="preserve">AI Agent Marketplace</w:t>
            </w:r>
          </w:p>
        </w:tc>
        <w:tc>
          <w:tcPr>
            <w:tcW w:type="dxa" w:w="12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AI Agent Marketplace</w:t>
            </w:r>
          </w:p>
        </w:tc>
        <w:tc>
          <w:tcPr>
            <w:tcW w:type="dxa" w:w="9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center"/>
            </w:pPr>
            <w:r>
              <w:rPr>
                <w:rFonts w:ascii="Calibri" w:cs="Calibri" w:eastAsia="Calibri" w:hAnsi="Calibri"/>
                <w:b/>
                <w:bCs/>
                <w:color w:val="9E7820"/>
                <w:sz w:val="14"/>
                <w:szCs w:val="14"/>
              </w:rPr>
              <w:t xml:space="preserve">Long-term</w:t>
            </w:r>
          </w:p>
        </w:tc>
        <w:tc>
          <w:tcPr>
            <w:tcW w:type="dxa" w:w="31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A vetted marketplace of specialized AI agents (tax, bills, investments, insurance, travel, real estate, etc.) the customer can 'hire' for specific outcomes. Bank owns identity, KYC, data layer; takes revenue share.</w:t>
            </w:r>
          </w:p>
        </w:tc>
        <w:tc>
          <w:tcPr>
            <w:tcW w:type="dxa" w:w="31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Customer hires 'Tax Hawk' for ₹299/month. Agent files taxes year-round, finds ₹38K in additional deductions, claims them, files returns. Bank takes 20% of the fee + visibility into tax data for cross-sell.</w:t>
            </w:r>
          </w:p>
        </w:tc>
        <w:tc>
          <w:tcPr>
            <w:tcW w:type="dxa" w:w="226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New high-margin revenue line (~10–25% take rate); positions bank as a platform, not a product; defends against agent-first competitors (OpenAI, Apple Intelligence).</w:t>
            </w:r>
          </w:p>
        </w:tc>
        <w:tc>
          <w:tcPr>
            <w:tcW w:type="dxa" w:w="7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8"/>
                <w:szCs w:val="18"/>
              </w:rPr>
              <w:t xml:space="preserve">24</w:t>
            </w:r>
          </w:p>
        </w:tc>
      </w:tr>
      <w:tr>
        <w:trPr>
          <w:cantSplit/>
        </w:trPr>
        <w:tc>
          <w:tcPr>
            <w:tcW w:type="dxa" w:w="1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bCs/>
                <w:color w:val="1A1A1A"/>
                <w:sz w:val="16"/>
                <w:szCs w:val="16"/>
              </w:rPr>
              <w:t xml:space="preserve">Family OS</w:t>
            </w:r>
          </w:p>
        </w:tc>
        <w:tc>
          <w:tcPr>
            <w:tcW w:type="dxa" w:w="1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Family &amp; Kids</w:t>
            </w:r>
          </w:p>
        </w:tc>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4"/>
                <w:szCs w:val="14"/>
              </w:rPr>
              <w:t xml:space="preserve">Short-term</w:t>
            </w:r>
          </w:p>
        </w:tc>
        <w:tc>
          <w:tcPr>
            <w:tcW w:type="dxa" w:w="3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A shared dashboard for a household — couples, families, multi-generational — with AI-managed privacy partitions, role-based visibility and joint-goal orchestration.</w:t>
            </w:r>
          </w:p>
        </w:tc>
        <w:tc>
          <w:tcPr>
            <w:tcW w:type="dxa" w:w="3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Couple's shared view shows household cash flow, but each spouse's gift-shopping is private. AI suggests joint moves: 'You're ₹40K short of the Bali trip. Here's a fair split based on your relative cash flows.'</w:t>
            </w:r>
          </w:p>
        </w:tc>
        <w:tc>
          <w:tcPr>
            <w:tcW w:type="dxa" w:w="226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Captures household as the unit (much higher LTV than individuals); doubles cross-sell opportunities; defensive moat against single-person fintechs.</w:t>
            </w:r>
          </w:p>
        </w:tc>
        <w:tc>
          <w:tcPr>
            <w:tcW w:type="dxa" w:w="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8"/>
                <w:szCs w:val="18"/>
              </w:rPr>
              <w:t xml:space="preserve">25</w:t>
            </w:r>
          </w:p>
        </w:tc>
      </w:tr>
      <w:tr>
        <w:trPr>
          <w:cantSplit/>
        </w:trPr>
        <w:tc>
          <w:tcPr>
            <w:tcW w:type="dxa" w:w="17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bCs/>
                <w:color w:val="1A1A1A"/>
                <w:sz w:val="16"/>
                <w:szCs w:val="16"/>
              </w:rPr>
              <w:t xml:space="preserve">Tax Hawk (Marketplace Agent)</w:t>
            </w:r>
          </w:p>
        </w:tc>
        <w:tc>
          <w:tcPr>
            <w:tcW w:type="dxa" w:w="12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AI Agent Marketplace</w:t>
            </w:r>
          </w:p>
        </w:tc>
        <w:tc>
          <w:tcPr>
            <w:tcW w:type="dxa" w:w="9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4"/>
                <w:szCs w:val="14"/>
              </w:rPr>
              <w:t xml:space="preserve">Short-term</w:t>
            </w:r>
          </w:p>
        </w:tc>
        <w:tc>
          <w:tcPr>
            <w:tcW w:type="dxa" w:w="31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An always-on AI agent that optimizes tax position year-round — not just at filing season. Books transactions tax-aware, flags missing deductions, files returns.</w:t>
            </w:r>
          </w:p>
        </w:tc>
        <w:tc>
          <w:tcPr>
            <w:tcW w:type="dxa" w:w="31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Detects customer hasn't claimed 80D health-insurance deduction; auto-collects the policy doc, files the deduction during return. Saves ₹14K. Bank earns ₹2,800 (20% of saving).</w:t>
            </w:r>
          </w:p>
        </w:tc>
        <w:tc>
          <w:tcPr>
            <w:tcW w:type="dxa" w:w="226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Recurring high-margin agent revenue; high stickiness (customers don't switch tax engines lightly).</w:t>
            </w:r>
          </w:p>
        </w:tc>
        <w:tc>
          <w:tcPr>
            <w:tcW w:type="dxa" w:w="7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8"/>
                <w:szCs w:val="18"/>
              </w:rPr>
              <w:t xml:space="preserve">26</w:t>
            </w:r>
          </w:p>
        </w:tc>
      </w:tr>
      <w:tr>
        <w:trPr>
          <w:cantSplit/>
        </w:trPr>
        <w:tc>
          <w:tcPr>
            <w:tcW w:type="dxa" w:w="1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bCs/>
                <w:color w:val="1A1A1A"/>
                <w:sz w:val="16"/>
                <w:szCs w:val="16"/>
              </w:rPr>
              <w:t xml:space="preserve">Bill Hunter (Marketplace Agent)</w:t>
            </w:r>
          </w:p>
        </w:tc>
        <w:tc>
          <w:tcPr>
            <w:tcW w:type="dxa" w:w="1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AI Agent Marketplace</w:t>
            </w:r>
          </w:p>
        </w:tc>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4"/>
                <w:szCs w:val="14"/>
              </w:rPr>
              <w:t xml:space="preserve">Short-term</w:t>
            </w:r>
          </w:p>
        </w:tc>
        <w:tc>
          <w:tcPr>
            <w:tcW w:type="dxa" w:w="3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An AI agent that contacts service providers (telecom, electricity, broadband, insurance) annually and negotiates a better rate, with the customer's authorization.</w:t>
            </w:r>
          </w:p>
        </w:tc>
        <w:tc>
          <w:tcPr>
            <w:tcW w:type="dxa" w:w="3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Agent calls broadband provider, threatens churn, negotiates from ₹1,499 → ₹1,099 per month. Saves ₹4,800/year. Bank takes 20% in year 1 (₹960).</w:t>
            </w:r>
          </w:p>
        </w:tc>
        <w:tc>
          <w:tcPr>
            <w:tcW w:type="dxa" w:w="226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Tangible, recurring 'the bank saved me money' moment; supports outcome-pricing model; new revenue stream.</w:t>
            </w:r>
          </w:p>
        </w:tc>
        <w:tc>
          <w:tcPr>
            <w:tcW w:type="dxa" w:w="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8"/>
                <w:szCs w:val="18"/>
              </w:rPr>
              <w:t xml:space="preserve">27</w:t>
            </w:r>
          </w:p>
        </w:tc>
      </w:tr>
      <w:tr>
        <w:trPr>
          <w:cantSplit/>
        </w:trPr>
        <w:tc>
          <w:tcPr>
            <w:tcW w:type="dxa" w:w="17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bCs/>
                <w:color w:val="1A1A1A"/>
                <w:sz w:val="16"/>
                <w:szCs w:val="16"/>
              </w:rPr>
              <w:t xml:space="preserve">Investment Sage (Marketplace Agent)</w:t>
            </w:r>
          </w:p>
        </w:tc>
        <w:tc>
          <w:tcPr>
            <w:tcW w:type="dxa" w:w="12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AI Agent Marketplace</w:t>
            </w:r>
          </w:p>
        </w:tc>
        <w:tc>
          <w:tcPr>
            <w:tcW w:type="dxa" w:w="9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4"/>
                <w:szCs w:val="14"/>
              </w:rPr>
              <w:t xml:space="preserve">Short-term</w:t>
            </w:r>
          </w:p>
        </w:tc>
        <w:tc>
          <w:tcPr>
            <w:tcW w:type="dxa" w:w="31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Active portfolio rebalancing agent with AUM fee (or zero, bundled into Premier). Tax-aware, goal-aware, values-aware.</w:t>
            </w:r>
          </w:p>
        </w:tc>
        <w:tc>
          <w:tcPr>
            <w:tcW w:type="dxa" w:w="31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Quarterly rebalance: shifts 6% from equity to debt as customer nears down-payment goal date; harvests ₹22K in tax losses; explains all moves in one page.</w:t>
            </w:r>
          </w:p>
        </w:tc>
        <w:tc>
          <w:tcPr>
            <w:tcW w:type="dxa" w:w="226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Drives wealth-management AUM into the bank from third-party robos and brokers; supports Premier tier upsell.</w:t>
            </w:r>
          </w:p>
        </w:tc>
        <w:tc>
          <w:tcPr>
            <w:tcW w:type="dxa" w:w="7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8"/>
                <w:szCs w:val="18"/>
              </w:rPr>
              <w:t xml:space="preserve">28</w:t>
            </w:r>
          </w:p>
        </w:tc>
      </w:tr>
      <w:tr>
        <w:trPr>
          <w:cantSplit/>
        </w:trPr>
        <w:tc>
          <w:tcPr>
            <w:tcW w:type="dxa" w:w="1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bCs/>
                <w:color w:val="1A1A1A"/>
                <w:sz w:val="16"/>
                <w:szCs w:val="16"/>
              </w:rPr>
              <w:t xml:space="preserve">Anonymous Peer Benchmarks</w:t>
            </w:r>
          </w:p>
        </w:tc>
        <w:tc>
          <w:tcPr>
            <w:tcW w:type="dxa" w:w="1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Community &amp; Social</w:t>
            </w:r>
          </w:p>
        </w:tc>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4"/>
                <w:szCs w:val="14"/>
              </w:rPr>
              <w:t xml:space="preserve">Short-term</w:t>
            </w:r>
          </w:p>
        </w:tc>
        <w:tc>
          <w:tcPr>
            <w:tcW w:type="dxa" w:w="3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Privacy-preserved cohort comparisons — how the customer's spending, saving and investing compares to anonymized people most like them, in their city, income band and life stage.</w:t>
            </w:r>
          </w:p>
        </w:tc>
        <w:tc>
          <w:tcPr>
            <w:tcW w:type="dxa" w:w="3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'You spend 23% less on dining than people in your income band in Bangalore. You save 14% more. Your investing is 8% behind. Want me to fix the investing gap?'</w:t>
            </w:r>
          </w:p>
        </w:tc>
        <w:tc>
          <w:tcPr>
            <w:tcW w:type="dxa" w:w="226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Powerful behavioral nudge with zero individual data exposure; drives investing AUM (the most common 'behind' category); a unique social signal.</w:t>
            </w:r>
          </w:p>
        </w:tc>
        <w:tc>
          <w:tcPr>
            <w:tcW w:type="dxa" w:w="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8"/>
                <w:szCs w:val="18"/>
              </w:rPr>
              <w:t xml:space="preserve">29</w:t>
            </w:r>
          </w:p>
        </w:tc>
      </w:tr>
      <w:tr>
        <w:trPr>
          <w:cantSplit/>
        </w:trPr>
        <w:tc>
          <w:tcPr>
            <w:tcW w:type="dxa" w:w="17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bCs/>
                <w:color w:val="1A1A1A"/>
                <w:sz w:val="16"/>
                <w:szCs w:val="16"/>
              </w:rPr>
              <w:t xml:space="preserve">Insurance Auditor (Marketplace Agent)</w:t>
            </w:r>
          </w:p>
        </w:tc>
        <w:tc>
          <w:tcPr>
            <w:tcW w:type="dxa" w:w="12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AI Agent Marketplace</w:t>
            </w:r>
          </w:p>
        </w:tc>
        <w:tc>
          <w:tcPr>
            <w:tcW w:type="dxa" w:w="9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4"/>
                <w:szCs w:val="14"/>
              </w:rPr>
              <w:t xml:space="preserve">Short-term</w:t>
            </w:r>
          </w:p>
        </w:tc>
        <w:tc>
          <w:tcPr>
            <w:tcW w:type="dxa" w:w="31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Reviews the customer's full insurance portfolio annually, identifies gaps and over-coverage, switches policies where economically clear.</w:t>
            </w:r>
          </w:p>
        </w:tc>
        <w:tc>
          <w:tcPr>
            <w:tcW w:type="dxa" w:w="31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Detects customer is paying for a redundant rider on health insurance and missing critical-illness cover. Switches plans; net premium drops ₹3,400 with better coverage.</w:t>
            </w:r>
          </w:p>
        </w:tc>
        <w:tc>
          <w:tcPr>
            <w:tcW w:type="dxa" w:w="226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 of premium saved as revenue; deep upsell into bank's own insurance products; lowers downstream credit risk (better-insured customers default less).</w:t>
            </w:r>
          </w:p>
        </w:tc>
        <w:tc>
          <w:tcPr>
            <w:tcW w:type="dxa" w:w="7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8"/>
                <w:szCs w:val="18"/>
              </w:rPr>
              <w:t xml:space="preserve">30</w:t>
            </w:r>
          </w:p>
        </w:tc>
      </w:tr>
      <w:tr>
        <w:trPr>
          <w:cantSplit/>
        </w:trPr>
        <w:tc>
          <w:tcPr>
            <w:tcW w:type="dxa" w:w="1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bCs/>
                <w:color w:val="1A1A1A"/>
                <w:sz w:val="16"/>
                <w:szCs w:val="16"/>
              </w:rPr>
              <w:t xml:space="preserve">Subscription Slayer (Marketplace Agent)</w:t>
            </w:r>
          </w:p>
        </w:tc>
        <w:tc>
          <w:tcPr>
            <w:tcW w:type="dxa" w:w="1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AI Agent Marketplace</w:t>
            </w:r>
          </w:p>
        </w:tc>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4"/>
                <w:szCs w:val="14"/>
              </w:rPr>
              <w:t xml:space="preserve">Short-term</w:t>
            </w:r>
          </w:p>
        </w:tc>
        <w:tc>
          <w:tcPr>
            <w:tcW w:type="dxa" w:w="3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Identifies recurring charges (subscriptions, OTT, gym, SaaS) the customer doesn't use, cancels them with one tap, prevents zombie billing.</w:t>
            </w:r>
          </w:p>
        </w:tc>
        <w:tc>
          <w:tcPr>
            <w:tcW w:type="dxa" w:w="3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Detects 4 unused subs totaling ₹1,840/month. One-tap cancel cancels all four; saves ₹22K/year. Bank takes a flat ₹199 micro-fee.</w:t>
            </w:r>
          </w:p>
        </w:tc>
        <w:tc>
          <w:tcPr>
            <w:tcW w:type="dxa" w:w="226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Immediate trust-builder ('the bank found me money in week one'); strong word-of-mouth; tiny per-customer cost.</w:t>
            </w:r>
          </w:p>
        </w:tc>
        <w:tc>
          <w:tcPr>
            <w:tcW w:type="dxa" w:w="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8"/>
                <w:szCs w:val="18"/>
              </w:rPr>
              <w:t xml:space="preserve">31</w:t>
            </w:r>
          </w:p>
        </w:tc>
      </w:tr>
      <w:tr>
        <w:trPr>
          <w:cantSplit/>
        </w:trPr>
        <w:tc>
          <w:tcPr>
            <w:tcW w:type="dxa" w:w="17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bCs/>
                <w:color w:val="1A1A1A"/>
                <w:sz w:val="16"/>
                <w:szCs w:val="16"/>
              </w:rPr>
              <w:t xml:space="preserve">Story-Stocks</w:t>
            </w:r>
          </w:p>
        </w:tc>
        <w:tc>
          <w:tcPr>
            <w:tcW w:type="dxa" w:w="12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Wealth &amp; Investment</w:t>
            </w:r>
          </w:p>
        </w:tc>
        <w:tc>
          <w:tcPr>
            <w:tcW w:type="dxa" w:w="9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4"/>
                <w:szCs w:val="14"/>
              </w:rPr>
              <w:t xml:space="preserve">Short-term</w:t>
            </w:r>
          </w:p>
        </w:tc>
        <w:tc>
          <w:tcPr>
            <w:tcW w:type="dxa" w:w="31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Instead of tickers, customers invest in 'stories' — curated thematic portfolios with AI-explained narratives ('The rise of EVs in Tier-2 India', 'Aging Japan', 'AI Infrastructure 2026').</w:t>
            </w:r>
          </w:p>
        </w:tc>
        <w:tc>
          <w:tcPr>
            <w:tcW w:type="dxa" w:w="31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Customer puts ₹50K into 'Indian Premium Consumer 2030.' AI rebalances the basket quarterly, sends a 60-second update each quarter narrating what changed and why.</w:t>
            </w:r>
          </w:p>
        </w:tc>
        <w:tc>
          <w:tcPr>
            <w:tcW w:type="dxa" w:w="226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Acquires the under-35 retail investor; differentiated vs Zerodha/Groww; recurring story-driven engagement.</w:t>
            </w:r>
          </w:p>
        </w:tc>
        <w:tc>
          <w:tcPr>
            <w:tcW w:type="dxa" w:w="7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8"/>
                <w:szCs w:val="18"/>
              </w:rPr>
              <w:t xml:space="preserve">32</w:t>
            </w:r>
          </w:p>
        </w:tc>
      </w:tr>
      <w:tr>
        <w:trPr>
          <w:cantSplit/>
        </w:trPr>
        <w:tc>
          <w:tcPr>
            <w:tcW w:type="dxa" w:w="1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bCs/>
                <w:color w:val="1A1A1A"/>
                <w:sz w:val="16"/>
                <w:szCs w:val="16"/>
              </w:rPr>
              <w:t xml:space="preserve">Loss Aversion Twin</w:t>
            </w:r>
          </w:p>
        </w:tc>
        <w:tc>
          <w:tcPr>
            <w:tcW w:type="dxa" w:w="1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Emotional &amp; Behavioral</w:t>
            </w:r>
          </w:p>
        </w:tc>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4"/>
                <w:szCs w:val="14"/>
              </w:rPr>
              <w:t xml:space="preserve">Short-term</w:t>
            </w:r>
          </w:p>
        </w:tc>
        <w:tc>
          <w:tcPr>
            <w:tcW w:type="dxa" w:w="3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When recommending an action, the bank shows not what the customer will gain by acting, but what they will lose by not acting. Behaviorally validated 2–3x more motivating than gain framing.</w:t>
            </w:r>
          </w:p>
        </w:tc>
        <w:tc>
          <w:tcPr>
            <w:tcW w:type="dxa" w:w="3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Instead of 'Save ₹2K/month to retire at 60,' AI shows: 'Skipping this month costs you 4 months of retirement and ₹47K of lifetime wealth.'</w:t>
            </w:r>
          </w:p>
        </w:tc>
        <w:tc>
          <w:tcPr>
            <w:tcW w:type="dxa" w:w="226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Materially higher action rates on savings, insurance and refinancing nudges; same content, multiples of engagement.</w:t>
            </w:r>
          </w:p>
        </w:tc>
        <w:tc>
          <w:tcPr>
            <w:tcW w:type="dxa" w:w="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8"/>
                <w:szCs w:val="18"/>
              </w:rPr>
              <w:t xml:space="preserve">33</w:t>
            </w:r>
          </w:p>
        </w:tc>
      </w:tr>
      <w:tr>
        <w:trPr>
          <w:cantSplit/>
        </w:trPr>
        <w:tc>
          <w:tcPr>
            <w:tcW w:type="dxa" w:w="17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bCs/>
                <w:color w:val="1A1A1A"/>
                <w:sz w:val="16"/>
                <w:szCs w:val="16"/>
              </w:rPr>
              <w:t xml:space="preserve">Kid AI Buddy</w:t>
            </w:r>
          </w:p>
        </w:tc>
        <w:tc>
          <w:tcPr>
            <w:tcW w:type="dxa" w:w="12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Family &amp; Kids</w:t>
            </w:r>
          </w:p>
        </w:tc>
        <w:tc>
          <w:tcPr>
            <w:tcW w:type="dxa" w:w="9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4"/>
                <w:szCs w:val="14"/>
              </w:rPr>
              <w:t xml:space="preserve">Short-term</w:t>
            </w:r>
          </w:p>
        </w:tc>
        <w:tc>
          <w:tcPr>
            <w:tcW w:type="dxa" w:w="31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A friendly AI character (think Duolingo owl meets a Pokémon) that teaches financial literacy through games tied to real (small) money. Parent-supervised, regulator-safe.</w:t>
            </w:r>
          </w:p>
        </w:tc>
        <w:tc>
          <w:tcPr>
            <w:tcW w:type="dxa" w:w="31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9-year-old plays a chore-quest game; earns ₹50 of real allowance into their child account; AI explains compounding by showing the ₹50 'growing' over weeks as a character.</w:t>
            </w:r>
          </w:p>
        </w:tc>
        <w:tc>
          <w:tcPr>
            <w:tcW w:type="dxa" w:w="226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Captures customers at age 7–14, decades before they become full banking customers; one of the deepest moats imaginable.</w:t>
            </w:r>
          </w:p>
        </w:tc>
        <w:tc>
          <w:tcPr>
            <w:tcW w:type="dxa" w:w="7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8"/>
                <w:szCs w:val="18"/>
              </w:rPr>
              <w:t xml:space="preserve">34</w:t>
            </w:r>
          </w:p>
        </w:tc>
      </w:tr>
      <w:tr>
        <w:trPr>
          <w:cantSplit/>
        </w:trPr>
        <w:tc>
          <w:tcPr>
            <w:tcW w:type="dxa" w:w="1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bCs/>
                <w:color w:val="1A1A1A"/>
                <w:sz w:val="16"/>
                <w:szCs w:val="16"/>
              </w:rPr>
              <w:t xml:space="preserve">Customer Experience Modes</w:t>
            </w:r>
          </w:p>
        </w:tc>
        <w:tc>
          <w:tcPr>
            <w:tcW w:type="dxa" w:w="1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CX Transformation</w:t>
            </w:r>
          </w:p>
        </w:tc>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4"/>
                <w:szCs w:val="14"/>
              </w:rPr>
              <w:t xml:space="preserve">Short-term</w:t>
            </w:r>
          </w:p>
        </w:tc>
        <w:tc>
          <w:tcPr>
            <w:tcW w:type="dxa" w:w="3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A set of selectable modes — Concierge, Background, Co-Pilot, Autonomous, Family, Bereavement — each reshaping notifications, automation, tone and UI to fit the customer's life context.</w:t>
            </w:r>
          </w:p>
        </w:tc>
        <w:tc>
          <w:tcPr>
            <w:tcW w:type="dxa" w:w="3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After a death in the family, Bereavement Mode silences upsell notifications, dispatches a human banker within 24 hours and silently handles ~80% of admin (frozen accounts, claim filings, beneficiary outreach).</w:t>
            </w:r>
          </w:p>
        </w:tc>
        <w:tc>
          <w:tcPr>
            <w:tcW w:type="dxa" w:w="226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A single brand promise — 'a bank that fits your life today, not a static product.' Drives extreme positive moments at the most loaded life events.</w:t>
            </w:r>
          </w:p>
        </w:tc>
        <w:tc>
          <w:tcPr>
            <w:tcW w:type="dxa" w:w="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8"/>
                <w:szCs w:val="18"/>
              </w:rPr>
              <w:t xml:space="preserve">35</w:t>
            </w:r>
          </w:p>
        </w:tc>
      </w:tr>
      <w:tr>
        <w:trPr>
          <w:cantSplit/>
        </w:trPr>
        <w:tc>
          <w:tcPr>
            <w:tcW w:type="dxa" w:w="17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bCs/>
                <w:color w:val="1A1A1A"/>
                <w:sz w:val="16"/>
                <w:szCs w:val="16"/>
              </w:rPr>
              <w:t xml:space="preserve">The Year in 90 Seconds</w:t>
            </w:r>
          </w:p>
        </w:tc>
        <w:tc>
          <w:tcPr>
            <w:tcW w:type="dxa" w:w="12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Invisible Banking</w:t>
            </w:r>
          </w:p>
        </w:tc>
        <w:tc>
          <w:tcPr>
            <w:tcW w:type="dxa" w:w="9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4"/>
                <w:szCs w:val="14"/>
              </w:rPr>
              <w:t xml:space="preserve">Short-term</w:t>
            </w:r>
          </w:p>
        </w:tc>
        <w:tc>
          <w:tcPr>
            <w:tcW w:type="dxa" w:w="31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An AI-generated 90-second annual recap of the customer's financial year — Spotify Wrapped for money — delivered on December 31. Personalized voice, animation, narrative.</w:t>
            </w:r>
          </w:p>
        </w:tc>
        <w:tc>
          <w:tcPr>
            <w:tcW w:type="dxa" w:w="31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'In 2026 you earned ₹14.4L, saved ₹2.8L, hit your Goa goal, ignored 7 impulse buys, and your net worth grew 11.2%. Your most-used merchant was Swiggy. Here's to 2027.'</w:t>
            </w:r>
          </w:p>
        </w:tc>
        <w:tc>
          <w:tcPr>
            <w:tcW w:type="dxa" w:w="226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Highest organic social-share moment of the year; massive brand reach at near-zero CAC; powerful retention anchor.</w:t>
            </w:r>
          </w:p>
        </w:tc>
        <w:tc>
          <w:tcPr>
            <w:tcW w:type="dxa" w:w="7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8"/>
                <w:szCs w:val="18"/>
              </w:rPr>
              <w:t xml:space="preserve">36</w:t>
            </w:r>
          </w:p>
        </w:tc>
      </w:tr>
      <w:tr>
        <w:trPr>
          <w:cantSplit/>
        </w:trPr>
        <w:tc>
          <w:tcPr>
            <w:tcW w:type="dxa" w:w="1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bCs/>
                <w:color w:val="1A1A1A"/>
                <w:sz w:val="16"/>
                <w:szCs w:val="16"/>
              </w:rPr>
              <w:t xml:space="preserve">Pre-Meeting Brief</w:t>
            </w:r>
          </w:p>
        </w:tc>
        <w:tc>
          <w:tcPr>
            <w:tcW w:type="dxa" w:w="1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AI Relationship Manager</w:t>
            </w:r>
          </w:p>
        </w:tc>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4"/>
                <w:szCs w:val="14"/>
              </w:rPr>
              <w:t xml:space="preserve">Short-term</w:t>
            </w:r>
          </w:p>
        </w:tc>
        <w:tc>
          <w:tcPr>
            <w:tcW w:type="dxa" w:w="3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Before a human banker call, Aria writes a one-page customer brief so the banker arrives informed — no repetitive questions, immediate relevance.</w:t>
            </w:r>
          </w:p>
        </w:tc>
        <w:tc>
          <w:tcPr>
            <w:tcW w:type="dxa" w:w="3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Before a home-loan call: brief includes income, household, prior conversations, declined offers, current rate, top objection patterns. Banker opens the call with 'I see you've been comparing 8.2% vs 8.4%.'</w:t>
            </w:r>
          </w:p>
        </w:tc>
        <w:tc>
          <w:tcPr>
            <w:tcW w:type="dxa" w:w="226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Higher conversion per human-banker hour; dramatic NPS lift on human interactions; better banker retention (less repetitive work).</w:t>
            </w:r>
          </w:p>
        </w:tc>
        <w:tc>
          <w:tcPr>
            <w:tcW w:type="dxa" w:w="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8"/>
                <w:szCs w:val="18"/>
              </w:rPr>
              <w:t xml:space="preserve">37</w:t>
            </w:r>
          </w:p>
        </w:tc>
      </w:tr>
      <w:tr>
        <w:trPr>
          <w:cantSplit/>
        </w:trPr>
        <w:tc>
          <w:tcPr>
            <w:tcW w:type="dxa" w:w="17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bCs/>
                <w:color w:val="1A1A1A"/>
                <w:sz w:val="16"/>
                <w:szCs w:val="16"/>
              </w:rPr>
              <w:t xml:space="preserve">AI Second Opinion</w:t>
            </w:r>
          </w:p>
        </w:tc>
        <w:tc>
          <w:tcPr>
            <w:tcW w:type="dxa" w:w="12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AI Relationship Manager</w:t>
            </w:r>
          </w:p>
        </w:tc>
        <w:tc>
          <w:tcPr>
            <w:tcW w:type="dxa" w:w="9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4"/>
                <w:szCs w:val="14"/>
              </w:rPr>
              <w:t xml:space="preserve">Short-term</w:t>
            </w:r>
          </w:p>
        </w:tc>
        <w:tc>
          <w:tcPr>
            <w:tcW w:type="dxa" w:w="31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On major decisions, Aria deliberately offers a genuinely different point of view from a separate model — to surface dissent and force the customer to think.</w:t>
            </w:r>
          </w:p>
        </w:tc>
        <w:tc>
          <w:tcPr>
            <w:tcW w:type="dxa" w:w="31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Customer wants to take out ₹40L home loan. Primary AI approves. Second Opinion: 'A separate model suggests waiting 6 months — your projected raise would lower your LTV materially. Want to see why?'</w:t>
            </w:r>
          </w:p>
        </w:tc>
        <w:tc>
          <w:tcPr>
            <w:tcW w:type="dxa" w:w="226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Trust differentiator — the bank that argues with itself; reduces post-decision regret and complaints; supports regulator narrative.</w:t>
            </w:r>
          </w:p>
        </w:tc>
        <w:tc>
          <w:tcPr>
            <w:tcW w:type="dxa" w:w="7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8"/>
                <w:szCs w:val="18"/>
              </w:rPr>
              <w:t xml:space="preserve">38</w:t>
            </w:r>
          </w:p>
        </w:tc>
      </w:tr>
      <w:tr>
        <w:trPr>
          <w:cantSplit/>
        </w:trPr>
        <w:tc>
          <w:tcPr>
            <w:tcW w:type="dxa" w:w="1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bCs/>
                <w:color w:val="1A1A1A"/>
                <w:sz w:val="16"/>
                <w:szCs w:val="16"/>
              </w:rPr>
              <w:t xml:space="preserve">Quests</w:t>
            </w:r>
          </w:p>
        </w:tc>
        <w:tc>
          <w:tcPr>
            <w:tcW w:type="dxa" w:w="1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Gamification</w:t>
            </w:r>
          </w:p>
        </w:tc>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4"/>
                <w:szCs w:val="14"/>
              </w:rPr>
              <w:t xml:space="preserve">Short-term</w:t>
            </w:r>
          </w:p>
        </w:tc>
        <w:tc>
          <w:tcPr>
            <w:tcW w:type="dxa" w:w="3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AI-personalized financial quests — 'Save ₹10K in 60 days,' 'Pay off this credit card by Diwali' — with bank co-pilot suggesting daily micro-actions and tracking streaks.</w:t>
            </w:r>
          </w:p>
        </w:tc>
        <w:tc>
          <w:tcPr>
            <w:tcW w:type="dxa" w:w="3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Quest: 'Build a 3-month emergency fund.' AI suggests: skip 3 dining outs, redirect cashback, auto-sweep round-ups. Visual progress bar; small reward on completion.</w:t>
            </w:r>
          </w:p>
        </w:tc>
        <w:tc>
          <w:tcPr>
            <w:tcW w:type="dxa" w:w="226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Lifts savings rate and primary-bank engagement; lower-cost behavior change than human coaching; viral via sharing of completed quests.</w:t>
            </w:r>
          </w:p>
        </w:tc>
        <w:tc>
          <w:tcPr>
            <w:tcW w:type="dxa" w:w="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8"/>
                <w:szCs w:val="18"/>
              </w:rPr>
              <w:t xml:space="preserve">39</w:t>
            </w:r>
          </w:p>
        </w:tc>
      </w:tr>
      <w:tr>
        <w:trPr>
          <w:cantSplit/>
        </w:trPr>
        <w:tc>
          <w:tcPr>
            <w:tcW w:type="dxa" w:w="17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bCs/>
                <w:color w:val="1A1A1A"/>
                <w:sz w:val="16"/>
                <w:szCs w:val="16"/>
              </w:rPr>
              <w:t xml:space="preserve">Money &amp; Mood Journal</w:t>
            </w:r>
          </w:p>
        </w:tc>
        <w:tc>
          <w:tcPr>
            <w:tcW w:type="dxa" w:w="12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Financial Wellness</w:t>
            </w:r>
          </w:p>
        </w:tc>
        <w:tc>
          <w:tcPr>
            <w:tcW w:type="dxa" w:w="9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4"/>
                <w:szCs w:val="14"/>
              </w:rPr>
              <w:t xml:space="preserve">Short-term</w:t>
            </w:r>
          </w:p>
        </w:tc>
        <w:tc>
          <w:tcPr>
            <w:tcW w:type="dxa" w:w="31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Customer optionally logs a one-tap mood; AI correlates mood with spending patterns and surfaces the link gently, without judgment.</w:t>
            </w:r>
          </w:p>
        </w:tc>
        <w:tc>
          <w:tcPr>
            <w:tcW w:type="dxa" w:w="31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'In the last 60 days, your impulse spending is 3.2x higher on days you logged "stressed." Want me to enable Pause Button on stressed days?'</w:t>
            </w:r>
          </w:p>
        </w:tc>
        <w:tc>
          <w:tcPr>
            <w:tcW w:type="dxa" w:w="226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Highly differentiated wellness positioning; data-rich personalization; powerful PR/brand story; lowers downstream chargebacks.</w:t>
            </w:r>
          </w:p>
        </w:tc>
        <w:tc>
          <w:tcPr>
            <w:tcW w:type="dxa" w:w="7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8"/>
                <w:szCs w:val="18"/>
              </w:rPr>
              <w:t xml:space="preserve">40</w:t>
            </w:r>
          </w:p>
        </w:tc>
      </w:tr>
      <w:tr>
        <w:trPr>
          <w:cantSplit/>
        </w:trPr>
        <w:tc>
          <w:tcPr>
            <w:tcW w:type="dxa" w:w="1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bCs/>
                <w:color w:val="1A1A1A"/>
                <w:sz w:val="16"/>
                <w:szCs w:val="16"/>
              </w:rPr>
              <w:t xml:space="preserve">Voice as Primary</w:t>
            </w:r>
          </w:p>
        </w:tc>
        <w:tc>
          <w:tcPr>
            <w:tcW w:type="dxa" w:w="1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Voice / Multimodal</w:t>
            </w:r>
          </w:p>
        </w:tc>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center"/>
            </w:pPr>
            <w:r>
              <w:rPr>
                <w:rFonts w:ascii="Calibri" w:cs="Calibri" w:eastAsia="Calibri" w:hAnsi="Calibri"/>
                <w:b/>
                <w:bCs/>
                <w:color w:val="9E7820"/>
                <w:sz w:val="14"/>
                <w:szCs w:val="14"/>
              </w:rPr>
              <w:t xml:space="preserve">Long-term</w:t>
            </w:r>
          </w:p>
        </w:tc>
        <w:tc>
          <w:tcPr>
            <w:tcW w:type="dxa" w:w="3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Voice becomes the primary interface for the majority of customer interactions, with continuous voiceprint and behavioral authentication. No PIN, no password, no app menu.</w:t>
            </w:r>
          </w:p>
        </w:tc>
        <w:tc>
          <w:tcPr>
            <w:tcW w:type="dxa" w:w="3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In the car: 'Pay Aarav ₹1,500 for the dinner split.' Voiceprint + behavioral signal authenticates; payment confirmed in 4 seconds.</w:t>
            </w:r>
          </w:p>
        </w:tc>
        <w:tc>
          <w:tcPr>
            <w:tcW w:type="dxa" w:w="226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Captures usage moments where the phone is unavailable; expands accessible-banking footprint; differentiator vs every visual-first bank app.</w:t>
            </w:r>
          </w:p>
        </w:tc>
        <w:tc>
          <w:tcPr>
            <w:tcW w:type="dxa" w:w="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8"/>
                <w:szCs w:val="18"/>
              </w:rPr>
              <w:t xml:space="preserve">41</w:t>
            </w:r>
          </w:p>
        </w:tc>
      </w:tr>
      <w:tr>
        <w:trPr>
          <w:cantSplit/>
        </w:trPr>
        <w:tc>
          <w:tcPr>
            <w:tcW w:type="dxa" w:w="17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bCs/>
                <w:color w:val="1A1A1A"/>
                <w:sz w:val="16"/>
                <w:szCs w:val="16"/>
              </w:rPr>
              <w:t xml:space="preserve">Generative Card Design</w:t>
            </w:r>
          </w:p>
        </w:tc>
        <w:tc>
          <w:tcPr>
            <w:tcW w:type="dxa" w:w="12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Hyper-Personalization</w:t>
            </w:r>
          </w:p>
        </w:tc>
        <w:tc>
          <w:tcPr>
            <w:tcW w:type="dxa" w:w="9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4"/>
                <w:szCs w:val="14"/>
              </w:rPr>
              <w:t xml:space="preserve">Short-term</w:t>
            </w:r>
          </w:p>
        </w:tc>
        <w:tc>
          <w:tcPr>
            <w:tcW w:type="dxa" w:w="31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AI generates a personalized debit/credit card design — physical and digital — from the customer's spending personality, life stage and stated preferences.</w:t>
            </w:r>
          </w:p>
        </w:tc>
        <w:tc>
          <w:tcPr>
            <w:tcW w:type="dxa" w:w="31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A frequent traveller gets a card visually inspired by their most-visited cities; a parent gets a family-themed card. Design refreshes when life stage changes.</w:t>
            </w:r>
          </w:p>
        </w:tc>
        <w:tc>
          <w:tcPr>
            <w:tcW w:type="dxa" w:w="226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Massive social-share moment at card issuance; differentiation in a commoditized card market; supports premium card price points.</w:t>
            </w:r>
          </w:p>
        </w:tc>
        <w:tc>
          <w:tcPr>
            <w:tcW w:type="dxa" w:w="7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8"/>
                <w:szCs w:val="18"/>
              </w:rPr>
              <w:t xml:space="preserve">42</w:t>
            </w:r>
          </w:p>
        </w:tc>
      </w:tr>
      <w:tr>
        <w:trPr>
          <w:cantSplit/>
        </w:trPr>
        <w:tc>
          <w:tcPr>
            <w:tcW w:type="dxa" w:w="1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bCs/>
                <w:color w:val="1A1A1A"/>
                <w:sz w:val="16"/>
                <w:szCs w:val="16"/>
              </w:rPr>
              <w:t xml:space="preserve">Family Net Worth View</w:t>
            </w:r>
          </w:p>
        </w:tc>
        <w:tc>
          <w:tcPr>
            <w:tcW w:type="dxa" w:w="1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Family &amp; Kids</w:t>
            </w:r>
          </w:p>
        </w:tc>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4"/>
                <w:szCs w:val="14"/>
              </w:rPr>
              <w:t xml:space="preserve">Short-term</w:t>
            </w:r>
          </w:p>
        </w:tc>
        <w:tc>
          <w:tcPr>
            <w:tcW w:type="dxa" w:w="3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Opt-in shared view of family net worth across members and accounts; AI suggests collective moves toward shared goals.</w:t>
            </w:r>
          </w:p>
        </w:tc>
        <w:tc>
          <w:tcPr>
            <w:tcW w:type="dxa" w:w="3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'Your family is ₹40K short of the Bali trip. Based on each member's cash flow, suggested split: parent ₹25K, eldest ₹10K, second ₹5K. Tap to propose.'</w:t>
            </w:r>
          </w:p>
        </w:tc>
        <w:tc>
          <w:tcPr>
            <w:tcW w:type="dxa" w:w="226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Captures family as a financial unit; multi-account stickiness; drives joint product uptake (joint accounts, family insurance).</w:t>
            </w:r>
          </w:p>
        </w:tc>
        <w:tc>
          <w:tcPr>
            <w:tcW w:type="dxa" w:w="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8"/>
                <w:szCs w:val="18"/>
              </w:rPr>
              <w:t xml:space="preserve">43</w:t>
            </w:r>
          </w:p>
        </w:tc>
      </w:tr>
      <w:tr>
        <w:trPr>
          <w:cantSplit/>
        </w:trPr>
        <w:tc>
          <w:tcPr>
            <w:tcW w:type="dxa" w:w="17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bCs/>
                <w:color w:val="1A1A1A"/>
                <w:sz w:val="16"/>
                <w:szCs w:val="16"/>
              </w:rPr>
              <w:t xml:space="preserve">Post-Meeting Memory</w:t>
            </w:r>
          </w:p>
        </w:tc>
        <w:tc>
          <w:tcPr>
            <w:tcW w:type="dxa" w:w="12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AI Relationship Manager</w:t>
            </w:r>
          </w:p>
        </w:tc>
        <w:tc>
          <w:tcPr>
            <w:tcW w:type="dxa" w:w="9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4"/>
                <w:szCs w:val="14"/>
              </w:rPr>
              <w:t xml:space="preserve">Short-term</w:t>
            </w:r>
          </w:p>
        </w:tc>
        <w:tc>
          <w:tcPr>
            <w:tcW w:type="dxa" w:w="31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After any human banker meeting, Aria summarizes the conversation, updates the customer's financial plan, and emails a one-page recap to all participants.</w:t>
            </w:r>
          </w:p>
        </w:tc>
        <w:tc>
          <w:tcPr>
            <w:tcW w:type="dxa" w:w="31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After a 45-minute Premier banker call: Aria sends 'Here's what we discussed, here are the 3 actions agreed, here's what I'm doing this week. Confirm or correct.'</w:t>
            </w:r>
          </w:p>
        </w:tc>
        <w:tc>
          <w:tcPr>
            <w:tcW w:type="dxa" w:w="226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Eliminates lost decisions from human meetings; lifts conversion on agreed actions; gives banker continuity across coverage changes.</w:t>
            </w:r>
          </w:p>
        </w:tc>
        <w:tc>
          <w:tcPr>
            <w:tcW w:type="dxa" w:w="7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8"/>
                <w:szCs w:val="18"/>
              </w:rPr>
              <w:t xml:space="preserve">44</w:t>
            </w:r>
          </w:p>
        </w:tc>
      </w:tr>
      <w:tr>
        <w:trPr>
          <w:cantSplit/>
        </w:trPr>
        <w:tc>
          <w:tcPr>
            <w:tcW w:type="dxa" w:w="1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bCs/>
                <w:color w:val="1A1A1A"/>
                <w:sz w:val="16"/>
                <w:szCs w:val="16"/>
              </w:rPr>
              <w:t xml:space="preserve">The 'Other You'</w:t>
            </w:r>
          </w:p>
        </w:tc>
        <w:tc>
          <w:tcPr>
            <w:tcW w:type="dxa" w:w="1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Emotional &amp; Behavioral</w:t>
            </w:r>
          </w:p>
        </w:tc>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4"/>
                <w:szCs w:val="14"/>
              </w:rPr>
              <w:t xml:space="preserve">Short-term</w:t>
            </w:r>
          </w:p>
        </w:tc>
        <w:tc>
          <w:tcPr>
            <w:tcW w:type="dxa" w:w="3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Show, with full privacy, what an anonymized peer with the customer's salary and goals is actually doing — savings rate, investing mix, debt profile. Social proof with zero identity.</w:t>
            </w:r>
          </w:p>
        </w:tc>
        <w:tc>
          <w:tcPr>
            <w:tcW w:type="dxa" w:w="3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'People like you — same income, same city, same age — save 18% on average. You save 6%. Their net worth grew 11% last year. Yours grew 4%.'</w:t>
            </w:r>
          </w:p>
        </w:tc>
        <w:tc>
          <w:tcPr>
            <w:tcW w:type="dxa" w:w="226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Strong upward-pressure on savings and investing rates; supports investment-product cross-sell; benchmark engagement.</w:t>
            </w:r>
          </w:p>
        </w:tc>
        <w:tc>
          <w:tcPr>
            <w:tcW w:type="dxa" w:w="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8"/>
                <w:szCs w:val="18"/>
              </w:rPr>
              <w:t xml:space="preserve">45</w:t>
            </w:r>
          </w:p>
        </w:tc>
      </w:tr>
      <w:tr>
        <w:trPr>
          <w:cantSplit/>
        </w:trPr>
        <w:tc>
          <w:tcPr>
            <w:tcW w:type="dxa" w:w="17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bCs/>
                <w:color w:val="1A1A1A"/>
                <w:sz w:val="16"/>
                <w:szCs w:val="16"/>
              </w:rPr>
              <w:t xml:space="preserve">Travel Maximizer (Marketplace Agent)</w:t>
            </w:r>
          </w:p>
        </w:tc>
        <w:tc>
          <w:tcPr>
            <w:tcW w:type="dxa" w:w="12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AI Agent Marketplace</w:t>
            </w:r>
          </w:p>
        </w:tc>
        <w:tc>
          <w:tcPr>
            <w:tcW w:type="dxa" w:w="9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4"/>
                <w:szCs w:val="14"/>
              </w:rPr>
              <w:t xml:space="preserve">Short-term</w:t>
            </w:r>
          </w:p>
        </w:tc>
        <w:tc>
          <w:tcPr>
            <w:tcW w:type="dxa" w:w="31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Plans the cheapest path for a stated trip across flights, hotels, points and credit-card promotions; books in one tap.</w:t>
            </w:r>
          </w:p>
        </w:tc>
        <w:tc>
          <w:tcPr>
            <w:tcW w:type="dxa" w:w="31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'Bangalore → Tokyo, 8 nights, ₹1.2L budget.' Agent assembles a flight + hotel + lounge pass + travel insurance combo; uses customer's Wells card points; saves ₹18K.</w:t>
            </w:r>
          </w:p>
        </w:tc>
        <w:tc>
          <w:tcPr>
            <w:tcW w:type="dxa" w:w="226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 of savings as fee; deep insight into travel spending for further targeting; pushes the bank's own travel credit card.</w:t>
            </w:r>
          </w:p>
        </w:tc>
        <w:tc>
          <w:tcPr>
            <w:tcW w:type="dxa" w:w="7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8"/>
                <w:szCs w:val="18"/>
              </w:rPr>
              <w:t xml:space="preserve">46</w:t>
            </w:r>
          </w:p>
        </w:tc>
      </w:tr>
      <w:tr>
        <w:trPr>
          <w:cantSplit/>
        </w:trPr>
        <w:tc>
          <w:tcPr>
            <w:tcW w:type="dxa" w:w="1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bCs/>
                <w:color w:val="1A1A1A"/>
                <w:sz w:val="16"/>
                <w:szCs w:val="16"/>
              </w:rPr>
              <w:t xml:space="preserve">Whisper Banking</w:t>
            </w:r>
          </w:p>
        </w:tc>
        <w:tc>
          <w:tcPr>
            <w:tcW w:type="dxa" w:w="1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AI Features</w:t>
            </w:r>
          </w:p>
        </w:tc>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center"/>
            </w:pPr>
            <w:r>
              <w:rPr>
                <w:rFonts w:ascii="Calibri" w:cs="Calibri" w:eastAsia="Calibri" w:hAnsi="Calibri"/>
                <w:b/>
                <w:bCs/>
                <w:color w:val="9E7820"/>
                <w:sz w:val="14"/>
                <w:szCs w:val="14"/>
              </w:rPr>
              <w:t xml:space="preserve">Long-term</w:t>
            </w:r>
          </w:p>
        </w:tc>
        <w:tc>
          <w:tcPr>
            <w:tcW w:type="dxa" w:w="3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Subtle bone-conduction earbud / AirPod whispers in-context as the customer is about to make a meaningful decision — contextual, never intrusive.</w:t>
            </w:r>
          </w:p>
        </w:tc>
        <w:tc>
          <w:tcPr>
            <w:tcW w:type="dxa" w:w="3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Standing at a counter about to buy a ₹38K phone: a subtle whisper — 'This is 23% above your usual electronics budget. You're saving for a wedding. Continue?'</w:t>
            </w:r>
          </w:p>
        </w:tc>
        <w:tc>
          <w:tcPr>
            <w:tcW w:type="dxa" w:w="226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Ambient brand presence; behavioral interventions at the moment of decision (highest-leverage point); unique product moment.</w:t>
            </w:r>
          </w:p>
        </w:tc>
        <w:tc>
          <w:tcPr>
            <w:tcW w:type="dxa" w:w="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8"/>
                <w:szCs w:val="18"/>
              </w:rPr>
              <w:t xml:space="preserve">47</w:t>
            </w:r>
          </w:p>
        </w:tc>
      </w:tr>
      <w:tr>
        <w:trPr>
          <w:cantSplit/>
        </w:trPr>
        <w:tc>
          <w:tcPr>
            <w:tcW w:type="dxa" w:w="17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bCs/>
                <w:color w:val="1A1A1A"/>
                <w:sz w:val="16"/>
                <w:szCs w:val="16"/>
              </w:rPr>
              <w:t xml:space="preserve">Notification-less Day</w:t>
            </w:r>
          </w:p>
        </w:tc>
        <w:tc>
          <w:tcPr>
            <w:tcW w:type="dxa" w:w="12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Invisible Banking</w:t>
            </w:r>
          </w:p>
        </w:tc>
        <w:tc>
          <w:tcPr>
            <w:tcW w:type="dxa" w:w="9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4"/>
                <w:szCs w:val="14"/>
              </w:rPr>
              <w:t xml:space="preserve">Short-term</w:t>
            </w:r>
          </w:p>
        </w:tc>
        <w:tc>
          <w:tcPr>
            <w:tcW w:type="dxa" w:w="31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Opt-in mode where the bank promises zero notifications for 24 hours, runs everything silently, and sends one curated digest at day-end.</w:t>
            </w:r>
          </w:p>
        </w:tc>
        <w:tc>
          <w:tcPr>
            <w:tcW w:type="dxa" w:w="31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Customer on vacation: bank handles 14 transactions, blocks 2 suspicious attempts, pays 1 bill, rebalances investment by 0.3%, sends one calm digest at 9 pm: 'All quiet. Here's your day in 6 lines.'</w:t>
            </w:r>
          </w:p>
        </w:tc>
        <w:tc>
          <w:tcPr>
            <w:tcW w:type="dxa" w:w="226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Anti-attention-economy positioning ('the bank that doesn't shout'); strong premium feature; drives Premier upsell.</w:t>
            </w:r>
          </w:p>
        </w:tc>
        <w:tc>
          <w:tcPr>
            <w:tcW w:type="dxa" w:w="7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8"/>
                <w:szCs w:val="18"/>
              </w:rPr>
              <w:t xml:space="preserve">48</w:t>
            </w:r>
          </w:p>
        </w:tc>
      </w:tr>
      <w:tr>
        <w:trPr>
          <w:cantSplit/>
        </w:trPr>
        <w:tc>
          <w:tcPr>
            <w:tcW w:type="dxa" w:w="1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bCs/>
                <w:color w:val="1A1A1A"/>
                <w:sz w:val="16"/>
                <w:szCs w:val="16"/>
              </w:rPr>
              <w:t xml:space="preserve">Sign Language Banking</w:t>
            </w:r>
          </w:p>
        </w:tc>
        <w:tc>
          <w:tcPr>
            <w:tcW w:type="dxa" w:w="1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Voice / Multimodal</w:t>
            </w:r>
          </w:p>
        </w:tc>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center"/>
            </w:pPr>
            <w:r>
              <w:rPr>
                <w:rFonts w:ascii="Calibri" w:cs="Calibri" w:eastAsia="Calibri" w:hAnsi="Calibri"/>
                <w:b/>
                <w:bCs/>
                <w:color w:val="9E7820"/>
                <w:sz w:val="14"/>
                <w:szCs w:val="14"/>
              </w:rPr>
              <w:t xml:space="preserve">Long-term</w:t>
            </w:r>
          </w:p>
        </w:tc>
        <w:tc>
          <w:tcPr>
            <w:tcW w:type="dxa" w:w="3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Real-time computer vision reads Indian / American Sign Language on customer-facing video; AI responds with a sign-language avatar. Built into the app and the branch kiosk.</w:t>
            </w:r>
          </w:p>
        </w:tc>
        <w:tc>
          <w:tcPr>
            <w:tcW w:type="dxa" w:w="3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A deaf customer signs 'I want to dispute this charge.' AI parses, opens the dispute flow, signs back the next step. No human translator required.</w:t>
            </w:r>
          </w:p>
        </w:tc>
        <w:tc>
          <w:tcPr>
            <w:tcW w:type="dxa" w:w="226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Major accessibility leadership; supports regulatory accessibility expectations; powerful brand and ESG narrative.</w:t>
            </w:r>
          </w:p>
        </w:tc>
        <w:tc>
          <w:tcPr>
            <w:tcW w:type="dxa" w:w="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8"/>
                <w:szCs w:val="18"/>
              </w:rPr>
              <w:t xml:space="preserve">49</w:t>
            </w:r>
          </w:p>
        </w:tc>
      </w:tr>
      <w:tr>
        <w:trPr>
          <w:cantSplit/>
        </w:trPr>
        <w:tc>
          <w:tcPr>
            <w:tcW w:type="dxa" w:w="17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bCs/>
                <w:color w:val="1A1A1A"/>
                <w:sz w:val="16"/>
                <w:szCs w:val="16"/>
              </w:rPr>
              <w:t xml:space="preserve">Surprise Drops</w:t>
            </w:r>
          </w:p>
        </w:tc>
        <w:tc>
          <w:tcPr>
            <w:tcW w:type="dxa" w:w="12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Gamification</w:t>
            </w:r>
          </w:p>
        </w:tc>
        <w:tc>
          <w:tcPr>
            <w:tcW w:type="dxa" w:w="9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4"/>
                <w:szCs w:val="14"/>
              </w:rPr>
              <w:t xml:space="preserve">Short-term</w:t>
            </w:r>
          </w:p>
        </w:tc>
        <w:tc>
          <w:tcPr>
            <w:tcW w:type="dxa" w:w="31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Unexpected, AI-personalized acts of delight — a free coffee on a stressed day, a small gift on a child's birthday, a free month of an agent on a milestone.</w:t>
            </w:r>
          </w:p>
        </w:tc>
        <w:tc>
          <w:tcPr>
            <w:tcW w:type="dxa" w:w="31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Customer hits 6-month savings streak. App opens to a small animation: 'Coffee on us today. Tap to redeem at any partner café within 4 hours.'</w:t>
            </w:r>
          </w:p>
        </w:tc>
        <w:tc>
          <w:tcPr>
            <w:tcW w:type="dxa" w:w="226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Creates positive emotional anchors that drive word-of-mouth and reduce churn at low absolute cost.</w:t>
            </w:r>
          </w:p>
        </w:tc>
        <w:tc>
          <w:tcPr>
            <w:tcW w:type="dxa" w:w="7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8"/>
                <w:szCs w:val="18"/>
              </w:rPr>
              <w:t xml:space="preserve">50</w:t>
            </w:r>
          </w:p>
        </w:tc>
      </w:tr>
      <w:tr>
        <w:trPr>
          <w:cantSplit/>
        </w:trPr>
        <w:tc>
          <w:tcPr>
            <w:tcW w:type="dxa" w:w="1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bCs/>
                <w:color w:val="1A1A1A"/>
                <w:sz w:val="16"/>
                <w:szCs w:val="16"/>
              </w:rPr>
              <w:t xml:space="preserve">The 'Bring a friend' (Aria Anywhere)</w:t>
            </w:r>
          </w:p>
        </w:tc>
        <w:tc>
          <w:tcPr>
            <w:tcW w:type="dxa" w:w="1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AI Relationship Manager</w:t>
            </w:r>
          </w:p>
        </w:tc>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center"/>
            </w:pPr>
            <w:r>
              <w:rPr>
                <w:rFonts w:ascii="Calibri" w:cs="Calibri" w:eastAsia="Calibri" w:hAnsi="Calibri"/>
                <w:b/>
                <w:bCs/>
                <w:color w:val="9E7820"/>
                <w:sz w:val="14"/>
                <w:szCs w:val="14"/>
              </w:rPr>
              <w:t xml:space="preserve">Long-term</w:t>
            </w:r>
          </w:p>
        </w:tc>
        <w:tc>
          <w:tcPr>
            <w:tcW w:type="dxa" w:w="3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Customer can invite Aria into other apps via OAuth — WhatsApp, Slack, calendar — so the AI RM works alongside the customer in their existing tools.</w:t>
            </w:r>
          </w:p>
        </w:tc>
        <w:tc>
          <w:tcPr>
            <w:tcW w:type="dxa" w:w="3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Customer in a WhatsApp group chat about a wedding gift: '@Aria what can I afford for Riya's wedding?' Aria replies with a number and a one-tap path to send the gift.</w:t>
            </w:r>
          </w:p>
        </w:tc>
        <w:tc>
          <w:tcPr>
            <w:tcW w:type="dxa" w:w="226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Bank becomes ambient across the customer's life; defends against being replaced by horizontal AI assistants (Apple Intelligence, Gemini, Copilot).</w:t>
            </w:r>
          </w:p>
        </w:tc>
        <w:tc>
          <w:tcPr>
            <w:tcW w:type="dxa" w:w="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8"/>
                <w:szCs w:val="18"/>
              </w:rPr>
              <w:t xml:space="preserve">51</w:t>
            </w:r>
          </w:p>
        </w:tc>
      </w:tr>
      <w:tr>
        <w:trPr>
          <w:cantSplit/>
        </w:trPr>
        <w:tc>
          <w:tcPr>
            <w:tcW w:type="dxa" w:w="17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bCs/>
                <w:color w:val="1A1A1A"/>
                <w:sz w:val="16"/>
                <w:szCs w:val="16"/>
              </w:rPr>
              <w:t xml:space="preserve">Reputation Score</w:t>
            </w:r>
          </w:p>
        </w:tc>
        <w:tc>
          <w:tcPr>
            <w:tcW w:type="dxa" w:w="12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Community &amp; Social</w:t>
            </w:r>
          </w:p>
        </w:tc>
        <w:tc>
          <w:tcPr>
            <w:tcW w:type="dxa" w:w="9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center"/>
            </w:pPr>
            <w:r>
              <w:rPr>
                <w:rFonts w:ascii="Calibri" w:cs="Calibri" w:eastAsia="Calibri" w:hAnsi="Calibri"/>
                <w:b/>
                <w:bCs/>
                <w:color w:val="9E7820"/>
                <w:sz w:val="14"/>
                <w:szCs w:val="14"/>
              </w:rPr>
              <w:t xml:space="preserve">Long-term</w:t>
            </w:r>
          </w:p>
        </w:tc>
        <w:tc>
          <w:tcPr>
            <w:tcW w:type="dxa" w:w="31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An opt-in, non-credit social-trust score derived from consented behaviors — timely peer payments, fair splits, reliability. Improves access to small-ticket lending.</w:t>
            </w:r>
          </w:p>
        </w:tc>
        <w:tc>
          <w:tcPr>
            <w:tcW w:type="dxa" w:w="31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A young professional with no credit history but a 6-month track record of perfect rent-split repayments to roommates qualifies for a ₹50K credit line at preferred rate.</w:t>
            </w:r>
          </w:p>
        </w:tc>
        <w:tc>
          <w:tcPr>
            <w:tcW w:type="dxa" w:w="226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Unlocks profitable lending to thin-file customers; novel asset class; PR narrative of financial inclusion.</w:t>
            </w:r>
          </w:p>
        </w:tc>
        <w:tc>
          <w:tcPr>
            <w:tcW w:type="dxa" w:w="7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8"/>
                <w:szCs w:val="18"/>
              </w:rPr>
              <w:t xml:space="preserve">52</w:t>
            </w:r>
          </w:p>
        </w:tc>
      </w:tr>
      <w:tr>
        <w:trPr>
          <w:cantSplit/>
        </w:trPr>
        <w:tc>
          <w:tcPr>
            <w:tcW w:type="dxa" w:w="1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bCs/>
                <w:color w:val="1A1A1A"/>
                <w:sz w:val="16"/>
                <w:szCs w:val="16"/>
              </w:rPr>
              <w:t xml:space="preserve">Skill-for-Money Markets</w:t>
            </w:r>
          </w:p>
        </w:tc>
        <w:tc>
          <w:tcPr>
            <w:tcW w:type="dxa" w:w="1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Community &amp; Social</w:t>
            </w:r>
          </w:p>
        </w:tc>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center"/>
            </w:pPr>
            <w:r>
              <w:rPr>
                <w:rFonts w:ascii="Calibri" w:cs="Calibri" w:eastAsia="Calibri" w:hAnsi="Calibri"/>
                <w:b/>
                <w:bCs/>
                <w:color w:val="9E7820"/>
                <w:sz w:val="14"/>
                <w:szCs w:val="14"/>
              </w:rPr>
              <w:t xml:space="preserve">Long-term</w:t>
            </w:r>
          </w:p>
        </w:tc>
        <w:tc>
          <w:tcPr>
            <w:tcW w:type="dxa" w:w="3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A local micro-skills marketplace where customers list and offer skills; AI matches supply and demand; bank acts as escrow and identity layer.</w:t>
            </w:r>
          </w:p>
        </w:tc>
        <w:tc>
          <w:tcPr>
            <w:tcW w:type="dxa" w:w="3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Retiree offers 'tax filing help for elderly neighbors, ₹500/session.' AI matches three buyers nearby; bank holds funds, releases on completion, builds reputation score.</w:t>
            </w:r>
          </w:p>
        </w:tc>
        <w:tc>
          <w:tcPr>
            <w:tcW w:type="dxa" w:w="226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Bank becomes core to local economic life; massive transaction-volume uplift; deep moat for gig-economy and senior customers.</w:t>
            </w:r>
          </w:p>
        </w:tc>
        <w:tc>
          <w:tcPr>
            <w:tcW w:type="dxa" w:w="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8"/>
                <w:szCs w:val="18"/>
              </w:rPr>
              <w:t xml:space="preserve">53</w:t>
            </w:r>
          </w:p>
        </w:tc>
      </w:tr>
      <w:tr>
        <w:trPr>
          <w:cantSplit/>
        </w:trPr>
        <w:tc>
          <w:tcPr>
            <w:tcW w:type="dxa" w:w="17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bCs/>
                <w:color w:val="1A1A1A"/>
                <w:sz w:val="16"/>
                <w:szCs w:val="16"/>
              </w:rPr>
              <w:t xml:space="preserve">Merchant AI Agents (Retail-linked)</w:t>
            </w:r>
          </w:p>
        </w:tc>
        <w:tc>
          <w:tcPr>
            <w:tcW w:type="dxa" w:w="12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Embedded Banking</w:t>
            </w:r>
          </w:p>
        </w:tc>
        <w:tc>
          <w:tcPr>
            <w:tcW w:type="dxa" w:w="9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center"/>
            </w:pPr>
            <w:r>
              <w:rPr>
                <w:rFonts w:ascii="Calibri" w:cs="Calibri" w:eastAsia="Calibri" w:hAnsi="Calibri"/>
                <w:b/>
                <w:bCs/>
                <w:color w:val="9E7820"/>
                <w:sz w:val="14"/>
                <w:szCs w:val="14"/>
              </w:rPr>
              <w:t xml:space="preserve">Long-term</w:t>
            </w:r>
          </w:p>
        </w:tc>
        <w:tc>
          <w:tcPr>
            <w:tcW w:type="dxa" w:w="31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Small merchants used by retail customers receive an AI agent that handles invoicing, taxes and working capital — extending the bank's footprint into the retail customer's vendor graph.</w:t>
            </w:r>
          </w:p>
        </w:tc>
        <w:tc>
          <w:tcPr>
            <w:tcW w:type="dxa" w:w="31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Customer's regular maid / driver / tutor gets a free 'Merchant Agent' that invoices the customer via the bank, files quarterly taxes, and offers working-capital loans.</w:t>
            </w:r>
          </w:p>
        </w:tc>
        <w:tc>
          <w:tcPr>
            <w:tcW w:type="dxa" w:w="226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Expands the bank into adjacent micro-merchant population; SaaS revenue; defensive against UPI-only fintechs.</w:t>
            </w:r>
          </w:p>
        </w:tc>
        <w:tc>
          <w:tcPr>
            <w:tcW w:type="dxa" w:w="7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8"/>
                <w:szCs w:val="18"/>
              </w:rPr>
              <w:t xml:space="preserve">54</w:t>
            </w:r>
          </w:p>
        </w:tc>
      </w:tr>
      <w:tr>
        <w:trPr>
          <w:cantSplit/>
        </w:trPr>
        <w:tc>
          <w:tcPr>
            <w:tcW w:type="dxa" w:w="1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bCs/>
                <w:color w:val="1A1A1A"/>
                <w:sz w:val="16"/>
                <w:szCs w:val="16"/>
              </w:rPr>
              <w:t xml:space="preserve">Crowd Investing for Mass-Affluent</w:t>
            </w:r>
          </w:p>
        </w:tc>
        <w:tc>
          <w:tcPr>
            <w:tcW w:type="dxa" w:w="1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Wealth &amp; Investment</w:t>
            </w:r>
          </w:p>
        </w:tc>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center"/>
            </w:pPr>
            <w:r>
              <w:rPr>
                <w:rFonts w:ascii="Calibri" w:cs="Calibri" w:eastAsia="Calibri" w:hAnsi="Calibri"/>
                <w:b/>
                <w:bCs/>
                <w:color w:val="9E7820"/>
                <w:sz w:val="14"/>
                <w:szCs w:val="14"/>
              </w:rPr>
              <w:t xml:space="preserve">Long-term</w:t>
            </w:r>
          </w:p>
        </w:tc>
        <w:tc>
          <w:tcPr>
            <w:tcW w:type="dxa" w:w="3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Pool ₹1 lakh groups of mass-affluent customers into PE-style or alternative-asset portfolios; AI manages the full cap table, distributions and KYC.</w:t>
            </w:r>
          </w:p>
        </w:tc>
        <w:tc>
          <w:tcPr>
            <w:tcW w:type="dxa" w:w="3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400 customers pool ₹1L each into a fractional commercial-real-estate fund. AI manages quarterly distributions, tax reporting, exit timing across the cap table.</w:t>
            </w:r>
          </w:p>
        </w:tc>
        <w:tc>
          <w:tcPr>
            <w:tcW w:type="dxa" w:w="226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Unlocks an alt-asset category to mass-affluent (today only HNIs); high-margin fee revenue; defensible against wealth-tech competitors.</w:t>
            </w:r>
          </w:p>
        </w:tc>
        <w:tc>
          <w:tcPr>
            <w:tcW w:type="dxa" w:w="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8"/>
                <w:szCs w:val="18"/>
              </w:rPr>
              <w:t xml:space="preserve">55</w:t>
            </w:r>
          </w:p>
        </w:tc>
      </w:tr>
      <w:tr>
        <w:trPr>
          <w:cantSplit/>
        </w:trPr>
        <w:tc>
          <w:tcPr>
            <w:tcW w:type="dxa" w:w="17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bCs/>
                <w:color w:val="1A1A1A"/>
                <w:sz w:val="16"/>
                <w:szCs w:val="16"/>
              </w:rPr>
              <w:t xml:space="preserve">Wedding Planner Agent</w:t>
            </w:r>
          </w:p>
        </w:tc>
        <w:tc>
          <w:tcPr>
            <w:tcW w:type="dxa" w:w="12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AI Agent Marketplace</w:t>
            </w:r>
          </w:p>
        </w:tc>
        <w:tc>
          <w:tcPr>
            <w:tcW w:type="dxa" w:w="9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center"/>
            </w:pPr>
            <w:r>
              <w:rPr>
                <w:rFonts w:ascii="Calibri" w:cs="Calibri" w:eastAsia="Calibri" w:hAnsi="Calibri"/>
                <w:b/>
                <w:bCs/>
                <w:color w:val="9E7820"/>
                <w:sz w:val="14"/>
                <w:szCs w:val="14"/>
              </w:rPr>
              <w:t xml:space="preserve">Long-term</w:t>
            </w:r>
          </w:p>
        </w:tc>
        <w:tc>
          <w:tcPr>
            <w:tcW w:type="dxa" w:w="31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Long-horizon agent that plans, budgets and orchestrates a wedding end-to-end — vendors, payments, EMI structuring, families, gifts, insurance.</w:t>
            </w:r>
          </w:p>
        </w:tc>
        <w:tc>
          <w:tcPr>
            <w:tcW w:type="dxa" w:w="31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6-month engagement → agent budgets ₹18L, books vendors, schedules vendor payments to optimize cash flow, structures a personal loan for the gap, and manages the gift wallet.</w:t>
            </w:r>
          </w:p>
        </w:tc>
        <w:tc>
          <w:tcPr>
            <w:tcW w:type="dxa" w:w="226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Captures a once-in-a-life ₹10–30L spend window; cross-sells loan, gift, insurance, joint account; high flat fee.</w:t>
            </w:r>
          </w:p>
        </w:tc>
        <w:tc>
          <w:tcPr>
            <w:tcW w:type="dxa" w:w="7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8"/>
                <w:szCs w:val="18"/>
              </w:rPr>
              <w:t xml:space="preserve">56</w:t>
            </w:r>
          </w:p>
        </w:tc>
      </w:tr>
      <w:tr>
        <w:trPr>
          <w:cantSplit/>
        </w:trPr>
        <w:tc>
          <w:tcPr>
            <w:tcW w:type="dxa" w:w="1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bCs/>
                <w:color w:val="1A1A1A"/>
                <w:sz w:val="16"/>
                <w:szCs w:val="16"/>
              </w:rPr>
              <w:t xml:space="preserve">Baby Banker</w:t>
            </w:r>
          </w:p>
        </w:tc>
        <w:tc>
          <w:tcPr>
            <w:tcW w:type="dxa" w:w="1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AI Agent Marketplace</w:t>
            </w:r>
          </w:p>
        </w:tc>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center"/>
            </w:pPr>
            <w:r>
              <w:rPr>
                <w:rFonts w:ascii="Calibri" w:cs="Calibri" w:eastAsia="Calibri" w:hAnsi="Calibri"/>
                <w:b/>
                <w:bCs/>
                <w:color w:val="9E7820"/>
                <w:sz w:val="14"/>
                <w:szCs w:val="14"/>
              </w:rPr>
              <w:t xml:space="preserve">Long-term</w:t>
            </w:r>
          </w:p>
        </w:tc>
        <w:tc>
          <w:tcPr>
            <w:tcW w:type="dxa" w:w="3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Manages the first 5 years of a child's finances on behalf of the family — child account, education SIP, health and life insurance updates, parental cash-flow plan.</w:t>
            </w:r>
          </w:p>
        </w:tc>
        <w:tc>
          <w:tcPr>
            <w:tcW w:type="dxa" w:w="3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New baby registered. Agent sets up child account, ₹5K/month education SIP, updates life insurance, calculates parental-leave cash plan, and emails a quarterly 'baby finance' report.</w:t>
            </w:r>
          </w:p>
        </w:tc>
        <w:tc>
          <w:tcPr>
            <w:tcW w:type="dxa" w:w="226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Captures the family at the highest-LTV moment; multi-decade SIP/lending pipeline.</w:t>
            </w:r>
          </w:p>
        </w:tc>
        <w:tc>
          <w:tcPr>
            <w:tcW w:type="dxa" w:w="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8"/>
                <w:szCs w:val="18"/>
              </w:rPr>
              <w:t xml:space="preserve">57</w:t>
            </w:r>
          </w:p>
        </w:tc>
      </w:tr>
      <w:tr>
        <w:trPr>
          <w:cantSplit/>
        </w:trPr>
        <w:tc>
          <w:tcPr>
            <w:tcW w:type="dxa" w:w="17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bCs/>
                <w:color w:val="1A1A1A"/>
                <w:sz w:val="16"/>
                <w:szCs w:val="16"/>
              </w:rPr>
              <w:t xml:space="preserve">Retirement Coach</w:t>
            </w:r>
          </w:p>
        </w:tc>
        <w:tc>
          <w:tcPr>
            <w:tcW w:type="dxa" w:w="12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AI Agent Marketplace</w:t>
            </w:r>
          </w:p>
        </w:tc>
        <w:tc>
          <w:tcPr>
            <w:tcW w:type="dxa" w:w="9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center"/>
            </w:pPr>
            <w:r>
              <w:rPr>
                <w:rFonts w:ascii="Calibri" w:cs="Calibri" w:eastAsia="Calibri" w:hAnsi="Calibri"/>
                <w:b/>
                <w:bCs/>
                <w:color w:val="9E7820"/>
                <w:sz w:val="14"/>
                <w:szCs w:val="14"/>
              </w:rPr>
              <w:t xml:space="preserve">Long-term</w:t>
            </w:r>
          </w:p>
        </w:tc>
        <w:tc>
          <w:tcPr>
            <w:tcW w:type="dxa" w:w="31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A 30-year retirement orchestration agent — projects, nudges, rebalances and adapts the plan continuously as life and markets change.</w:t>
            </w:r>
          </w:p>
        </w:tc>
        <w:tc>
          <w:tcPr>
            <w:tcW w:type="dxa" w:w="31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At age 32 the agent locks in a 30-year glide path; at 45, it nudges the customer to consolidate four old EPF accounts; at 58, it shifts portfolio to income mode.</w:t>
            </w:r>
          </w:p>
        </w:tc>
        <w:tc>
          <w:tcPr>
            <w:tcW w:type="dxa" w:w="226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Single largest AUM driver; lifetime retention; supports premium tier.</w:t>
            </w:r>
          </w:p>
        </w:tc>
        <w:tc>
          <w:tcPr>
            <w:tcW w:type="dxa" w:w="7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8"/>
                <w:szCs w:val="18"/>
              </w:rPr>
              <w:t xml:space="preserve">58</w:t>
            </w:r>
          </w:p>
        </w:tc>
      </w:tr>
      <w:tr>
        <w:trPr>
          <w:cantSplit/>
        </w:trPr>
        <w:tc>
          <w:tcPr>
            <w:tcW w:type="dxa" w:w="1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bCs/>
                <w:color w:val="1A1A1A"/>
                <w:sz w:val="16"/>
                <w:szCs w:val="16"/>
              </w:rPr>
              <w:t xml:space="preserve">Real Estate Agent (AI)</w:t>
            </w:r>
          </w:p>
        </w:tc>
        <w:tc>
          <w:tcPr>
            <w:tcW w:type="dxa" w:w="1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AI Agent Marketplace</w:t>
            </w:r>
          </w:p>
        </w:tc>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center"/>
            </w:pPr>
            <w:r>
              <w:rPr>
                <w:rFonts w:ascii="Calibri" w:cs="Calibri" w:eastAsia="Calibri" w:hAnsi="Calibri"/>
                <w:b/>
                <w:bCs/>
                <w:color w:val="9E7820"/>
                <w:sz w:val="14"/>
                <w:szCs w:val="14"/>
              </w:rPr>
              <w:t xml:space="preserve">Long-term</w:t>
            </w:r>
          </w:p>
        </w:tc>
        <w:tc>
          <w:tcPr>
            <w:tcW w:type="dxa" w:w="3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Helps the customer find, evaluate and finance a property end-to-end — listings, area analytics, inspection ordering, legal checks, mortgage structuring.</w:t>
            </w:r>
          </w:p>
        </w:tc>
        <w:tc>
          <w:tcPr>
            <w:tcW w:type="dxa" w:w="3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Customer says 'I want to buy a 2BHK in Pune, ₹85L budget.' Agent surfaces 12 candidates, scores them on appreciation, schedules inspections, structures the home loan and registration paperwork.</w:t>
            </w:r>
          </w:p>
        </w:tc>
        <w:tc>
          <w:tcPr>
            <w:tcW w:type="dxa" w:w="226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Locks in the home-loan origination + cross-sells home insurance, property tax services; large flat-fee revenue.</w:t>
            </w:r>
          </w:p>
        </w:tc>
        <w:tc>
          <w:tcPr>
            <w:tcW w:type="dxa" w:w="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8"/>
                <w:szCs w:val="18"/>
              </w:rPr>
              <w:t xml:space="preserve">59</w:t>
            </w:r>
          </w:p>
        </w:tc>
      </w:tr>
      <w:tr>
        <w:trPr>
          <w:cantSplit/>
        </w:trPr>
        <w:tc>
          <w:tcPr>
            <w:tcW w:type="dxa" w:w="17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bCs/>
                <w:color w:val="1A1A1A"/>
                <w:sz w:val="16"/>
                <w:szCs w:val="16"/>
              </w:rPr>
              <w:t xml:space="preserve">The Financial Conscience</w:t>
            </w:r>
          </w:p>
        </w:tc>
        <w:tc>
          <w:tcPr>
            <w:tcW w:type="dxa" w:w="12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Moonshots</w:t>
            </w:r>
          </w:p>
        </w:tc>
        <w:tc>
          <w:tcPr>
            <w:tcW w:type="dxa" w:w="9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center"/>
            </w:pPr>
            <w:r>
              <w:rPr>
                <w:rFonts w:ascii="Calibri" w:cs="Calibri" w:eastAsia="Calibri" w:hAnsi="Calibri"/>
                <w:b/>
                <w:bCs/>
                <w:color w:val="9E7820"/>
                <w:sz w:val="14"/>
                <w:szCs w:val="14"/>
              </w:rPr>
              <w:t xml:space="preserve">Long-term</w:t>
            </w:r>
          </w:p>
        </w:tc>
        <w:tc>
          <w:tcPr>
            <w:tcW w:type="dxa" w:w="31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An opt-in AI that knows the customer's stated values (sustainability, fast-fashion limits, ethical sourcing) and gently flags transactions that contradict them — without preaching.</w:t>
            </w:r>
          </w:p>
        </w:tc>
        <w:tc>
          <w:tcPr>
            <w:tcW w:type="dxa" w:w="31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Customer stated 'reduce fast-fashion spending.' At checkout for a ₹6K Shein order, app whispers: 'You said you wanted to cut fast fashion by 50% this year. This is your 4th order. Continue?'</w:t>
            </w:r>
          </w:p>
        </w:tc>
        <w:tc>
          <w:tcPr>
            <w:tcW w:type="dxa" w:w="226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Radical brand differentiation; deepest emotional moat (a bank aligned with your values); supports ESG narrative.</w:t>
            </w:r>
          </w:p>
        </w:tc>
        <w:tc>
          <w:tcPr>
            <w:tcW w:type="dxa" w:w="700"/>
            <w:tcBorders>
              <w:top w:val="single" w:color="BFBFBF" w:sz="4"/>
              <w:left w:val="single" w:color="BFBFBF" w:sz="4"/>
              <w:bottom w:val="single" w:color="BFBFBF" w:sz="4"/>
              <w:right w:val="single" w:color="BFBFBF" w:sz="4"/>
            </w:tcBorders>
            <w:shd w:fill="F7F4EE" w:color="auto" w:val="clear"/>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8"/>
                <w:szCs w:val="18"/>
              </w:rPr>
              <w:t xml:space="preserve">60</w:t>
            </w:r>
          </w:p>
        </w:tc>
      </w:tr>
      <w:tr>
        <w:trPr>
          <w:cantSplit/>
        </w:trPr>
        <w:tc>
          <w:tcPr>
            <w:tcW w:type="dxa" w:w="1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bCs/>
                <w:color w:val="1A1A1A"/>
                <w:sz w:val="16"/>
                <w:szCs w:val="16"/>
              </w:rPr>
              <w:t xml:space="preserve">Generational AI Memory</w:t>
            </w:r>
          </w:p>
        </w:tc>
        <w:tc>
          <w:tcPr>
            <w:tcW w:type="dxa" w:w="1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Moonshots</w:t>
            </w:r>
          </w:p>
        </w:tc>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center"/>
            </w:pPr>
            <w:r>
              <w:rPr>
                <w:rFonts w:ascii="Calibri" w:cs="Calibri" w:eastAsia="Calibri" w:hAnsi="Calibri"/>
                <w:b/>
                <w:bCs/>
                <w:color w:val="9E7820"/>
                <w:sz w:val="14"/>
                <w:szCs w:val="14"/>
              </w:rPr>
              <w:t xml:space="preserve">Long-term</w:t>
            </w:r>
          </w:p>
        </w:tc>
        <w:tc>
          <w:tcPr>
            <w:tcW w:type="dxa" w:w="3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A persistent, opt-in AI persona trained on the customer's financial decisions, voice and values — preserved so descendants can converse with a wisdom-version of the customer decades later.</w:t>
            </w:r>
          </w:p>
        </w:tc>
        <w:tc>
          <w:tcPr>
            <w:tcW w:type="dxa" w:w="3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3D3D3D"/>
                <w:sz w:val="14"/>
                <w:szCs w:val="14"/>
              </w:rPr>
              <w:t xml:space="preserve">Customer's great-grandchild, decades later: 'How did Grandpa Sanjay decide about the family home?' AI persona responds in his voice with his values and reasoning, sourced from real recorded history.</w:t>
            </w:r>
          </w:p>
        </w:tc>
        <w:tc>
          <w:tcPr>
            <w:tcW w:type="dxa" w:w="226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left"/>
            </w:pPr>
            <w:r>
              <w:rPr>
                <w:rFonts w:ascii="Calibri" w:cs="Calibri" w:eastAsia="Calibri" w:hAnsi="Calibri"/>
                <w:b w:val="false"/>
                <w:bCs w:val="false"/>
                <w:color w:val="1A1A1A"/>
                <w:sz w:val="14"/>
                <w:szCs w:val="14"/>
              </w:rPr>
              <w:t xml:space="preserve">An entirely new category of multi-generational service; unprecedented brand emotional anchor; supports the most premium tier ever offered.</w:t>
            </w:r>
          </w:p>
        </w:tc>
        <w:tc>
          <w:tcPr>
            <w:tcW w:type="dxa" w:w="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20" w:before="20"/>
              <w:jc w:val="center"/>
            </w:pPr>
            <w:r>
              <w:rPr>
                <w:rFonts w:ascii="Calibri" w:cs="Calibri" w:eastAsia="Calibri" w:hAnsi="Calibri"/>
                <w:b/>
                <w:bCs/>
                <w:color w:val="B31B1B"/>
                <w:sz w:val="18"/>
                <w:szCs w:val="18"/>
              </w:rPr>
              <w:t xml:space="preserve">61</w:t>
            </w:r>
          </w:p>
        </w:tc>
      </w:tr>
    </w:tbl>
    <w:p>
      <w:pPr>
        <w:pStyle w:val="Heading2"/>
        <w:spacing w:after="120" w:before="480"/>
      </w:pPr>
      <w:r>
        <w:rPr>
          <w:b/>
          <w:bCs/>
        </w:rPr>
        <w:t xml:space="preserve">Excluded from this table (non-AI ideas)</w:t>
      </w:r>
    </w:p>
    <w:p>
      <w:pPr>
        <w:spacing w:after="200"/>
      </w:pPr>
      <w:r>
        <w:rPr>
          <w:i/>
          <w:iCs/>
          <w:color w:val="3D3D3D"/>
          <w:sz w:val="20"/>
          <w:szCs w:val="20"/>
        </w:rPr>
        <w:t xml:space="preserve">The following ideas from the curated set are intentionally excluded because they are not AI-driven at their core — they are UI, rules, permissions, infrastructure or distribution mechanics. They remain valid product concepts and can be considered separately.</w:t>
      </w:r>
    </w:p>
    <w:p>
      <w:pPr>
        <w:spacing w:after="60" w:before="60"/>
      </w:pPr>
      <w:r>
        <w:rPr>
          <w:b/>
          <w:bCs/>
          <w:sz w:val="20"/>
          <w:szCs w:val="20"/>
        </w:rPr>
        <w:t xml:space="preserve">• Solo Mode — </w:t>
      </w:r>
      <w:r>
        <w:rPr>
          <w:color w:val="3D3D3D"/>
          <w:sz w:val="20"/>
          <w:szCs w:val="20"/>
        </w:rPr>
        <w:t xml:space="preserve">Privacy / notification UX setting, not AI-driven.</w:t>
      </w:r>
    </w:p>
    <w:p>
      <w:pPr>
        <w:spacing w:after="60" w:before="60"/>
      </w:pPr>
      <w:r>
        <w:rPr>
          <w:b/>
          <w:bCs/>
          <w:sz w:val="20"/>
          <w:szCs w:val="20"/>
        </w:rPr>
        <w:t xml:space="preserve">• Sleep Budget — </w:t>
      </w:r>
      <w:r>
        <w:rPr>
          <w:color w:val="3D3D3D"/>
          <w:sz w:val="20"/>
          <w:szCs w:val="20"/>
        </w:rPr>
        <w:t xml:space="preserve">Rule-based locked vault, no AI required.</w:t>
      </w:r>
    </w:p>
    <w:p>
      <w:pPr>
        <w:spacing w:after="60" w:before="60"/>
      </w:pPr>
      <w:r>
        <w:rPr>
          <w:b/>
          <w:bCs/>
          <w:sz w:val="20"/>
          <w:szCs w:val="20"/>
        </w:rPr>
        <w:t xml:space="preserve">• Co-parent Banking — </w:t>
      </w:r>
      <w:r>
        <w:rPr>
          <w:color w:val="3D3D3D"/>
          <w:sz w:val="20"/>
          <w:szCs w:val="20"/>
        </w:rPr>
        <w:t xml:space="preserve">Permission and access-control feature, not AI-driven.</w:t>
      </w:r>
    </w:p>
    <w:p>
      <w:pPr>
        <w:spacing w:after="60" w:before="60"/>
      </w:pPr>
      <w:r>
        <w:rPr>
          <w:b/>
          <w:bCs/>
          <w:sz w:val="20"/>
          <w:szCs w:val="20"/>
        </w:rPr>
        <w:t xml:space="preserve">• Embedded-everywhere wallets — </w:t>
      </w:r>
      <w:r>
        <w:rPr>
          <w:color w:val="3D3D3D"/>
          <w:sz w:val="20"/>
          <w:szCs w:val="20"/>
        </w:rPr>
        <w:t xml:space="preserve">Distribution / SDK approach, not AI-driven at its core.</w:t>
      </w:r>
    </w:p>
    <w:p>
      <w:pPr>
        <w:spacing w:after="60" w:before="60"/>
      </w:pPr>
      <w:r>
        <w:rPr>
          <w:b/>
          <w:bCs/>
          <w:sz w:val="20"/>
          <w:szCs w:val="20"/>
        </w:rPr>
        <w:t xml:space="preserve">• Goal Pools — </w:t>
      </w:r>
      <w:r>
        <w:rPr>
          <w:color w:val="3D3D3D"/>
          <w:sz w:val="20"/>
          <w:szCs w:val="20"/>
        </w:rPr>
        <w:t xml:space="preserve">Rule-based escrow with simple allocation, not AI-driven.</w:t>
      </w:r>
    </w:p>
    <w:p>
      <w:pPr>
        <w:spacing w:after="60" w:before="60"/>
      </w:pPr>
      <w:r>
        <w:rPr>
          <w:b/>
          <w:bCs/>
          <w:sz w:val="20"/>
          <w:szCs w:val="20"/>
        </w:rPr>
        <w:t xml:space="preserve">• Local Money Loops — </w:t>
      </w:r>
      <w:r>
        <w:rPr>
          <w:color w:val="3D3D3D"/>
          <w:sz w:val="20"/>
          <w:szCs w:val="20"/>
        </w:rPr>
        <w:t xml:space="preserve">Closed-loop wallet for communities, not AI-driven.</w:t>
      </w:r>
    </w:p>
    <w:p>
      <w:pPr>
        <w:spacing w:after="60" w:before="60"/>
      </w:pPr>
      <w:r>
        <w:rPr>
          <w:b/>
          <w:bCs/>
          <w:sz w:val="20"/>
          <w:szCs w:val="20"/>
        </w:rPr>
        <w:t xml:space="preserve">• Bank-in-a-Button SDK — </w:t>
      </w:r>
      <w:r>
        <w:rPr>
          <w:color w:val="3D3D3D"/>
          <w:sz w:val="20"/>
          <w:szCs w:val="20"/>
        </w:rPr>
        <w:t xml:space="preserve">Developer SDK / embedded distribution, not AI-driven.</w:t>
      </w:r>
    </w:p>
    <w:p>
      <w:pPr>
        <w:spacing w:after="60" w:before="60"/>
      </w:pPr>
      <w:r>
        <w:rPr>
          <w:b/>
          <w:bCs/>
          <w:sz w:val="20"/>
          <w:szCs w:val="20"/>
        </w:rPr>
        <w:t xml:space="preserve">• Identity-as-a-Service — </w:t>
      </w:r>
      <w:r>
        <w:rPr>
          <w:color w:val="3D3D3D"/>
          <w:sz w:val="20"/>
          <w:szCs w:val="20"/>
        </w:rPr>
        <w:t xml:space="preserve">Identity infrastructure / verification layer, not AI-driven.</w:t>
      </w:r>
    </w:p>
    <w:p>
      <w:pPr>
        <w:spacing w:after="60" w:before="60"/>
      </w:pPr>
      <w:r>
        <w:rPr>
          <w:b/>
          <w:bCs/>
          <w:sz w:val="20"/>
          <w:szCs w:val="20"/>
        </w:rPr>
        <w:t xml:space="preserve">• Caregiver Co-View — </w:t>
      </w:r>
      <w:r>
        <w:rPr>
          <w:color w:val="3D3D3D"/>
          <w:sz w:val="20"/>
          <w:szCs w:val="20"/>
        </w:rPr>
        <w:t xml:space="preserve">Permission and visibility feature, not AI-driven.</w:t>
      </w:r>
    </w:p>
    <w:p>
      <w:pPr>
        <w:spacing w:after="60" w:before="60"/>
      </w:pPr>
      <w:r>
        <w:rPr>
          <w:b/>
          <w:bCs/>
          <w:sz w:val="20"/>
          <w:szCs w:val="20"/>
        </w:rPr>
        <w:t xml:space="preserve">• Money Streaks — </w:t>
      </w:r>
      <w:r>
        <w:rPr>
          <w:color w:val="3D3D3D"/>
          <w:sz w:val="20"/>
          <w:szCs w:val="20"/>
        </w:rPr>
        <w:t xml:space="preserve">Gamification rules and rewards, not AI-driven.</w:t>
      </w:r>
    </w:p>
    <w:p>
      <w:pPr>
        <w:spacing w:after="60" w:before="60"/>
      </w:pPr>
      <w:r>
        <w:rPr>
          <w:b/>
          <w:bCs/>
          <w:sz w:val="20"/>
          <w:szCs w:val="20"/>
        </w:rPr>
        <w:t xml:space="preserve">• Time Capsule Money — </w:t>
      </w:r>
      <w:r>
        <w:rPr>
          <w:color w:val="3D3D3D"/>
          <w:sz w:val="20"/>
          <w:szCs w:val="20"/>
        </w:rPr>
        <w:t xml:space="preserve">Locked-account rule, not AI-driven.</w:t>
      </w:r>
    </w:p>
    <w:p>
      <w:pPr>
        <w:spacing w:before="360"/>
      </w:pPr>
      <w:r>
        <w:rPr>
          <w:i/>
          <w:iCs/>
          <w:color w:val="6B6B6B"/>
          <w:sz w:val="18"/>
          <w:szCs w:val="18"/>
        </w:rPr>
        <w:t xml:space="preserve">Ranking methodology: each idea was scored on customer impact, brand differentiation, bank revenue or cost leverage, and feasibility within its stated horizon. The top 10 ideas are the spike of the strategy; ideas 11–25 are the supporting layer; 26+ are capability extensions and moonshots.</w:t>
      </w:r>
    </w:p>
    <w:sectPr>
      <w:pgSz w:w="15840" w:h="12240" w:orient="landscape"/>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Georgia" w:cs="Georgia" w:eastAsia="Georgia" w:hAnsi="Georgia"/>
      <w:b/>
      <w:bCs/>
      <w:color w:val="1A1A1A"/>
      <w:sz w:val="36"/>
      <w:szCs w:val="36"/>
    </w:rPr>
  </w:style>
  <w:style w:type="paragraph" w:styleId="Heading2">
    <w:name w:val="Heading 2"/>
    <w:basedOn w:val="Normal"/>
    <w:next w:val="Normal"/>
    <w:qFormat/>
    <w:pPr>
      <w:spacing w:after="120" w:before="240"/>
      <w:outlineLvl w:val="1"/>
    </w:pPr>
    <w:rPr>
      <w:rFonts w:ascii="Georgia" w:cs="Georgia" w:eastAsia="Georgia" w:hAnsi="Georgia"/>
      <w:b/>
      <w:bCs/>
      <w:color w:val="B31B1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2026-05-26T04:38:18.118Z</dcterms:created>
  <dcterms:modified xsi:type="dcterms:W3CDTF">2026-05-26T04:38:18.119Z</dcterms:modified>
</cp:coreProperties>
</file>

<file path=docProps/custom.xml><?xml version="1.0" encoding="utf-8"?>
<Properties xmlns="http://schemas.openxmlformats.org/officeDocument/2006/custom-properties" xmlns:vt="http://schemas.openxmlformats.org/officeDocument/2006/docPropsVTypes"/>
</file>