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before="1600" w:after="0"/>
        <w:rPr/>
      </w:pPr>
      <w:r>
        <w:rPr/>
      </w:r>
    </w:p>
    <w:p>
      <w:pPr>
        <w:pStyle w:val="Normal"/>
        <w:jc w:val="center"/>
        <w:rPr>
          <w:rFonts w:ascii="Calibri" w:hAnsi="Calibri" w:eastAsia="Calibri" w:cs="Calibri"/>
          <w:b/>
          <w:bCs/>
          <w:caps/>
          <w:color w:val="2E75B6"/>
          <w:sz w:val="22"/>
          <w:szCs w:val="22"/>
        </w:rPr>
      </w:pPr>
      <w:r>
        <w:rPr>
          <w:rFonts w:eastAsia="Calibri" w:cs="Calibri"/>
          <w:b/>
          <w:bCs/>
          <w:caps/>
          <w:color w:val="2E75B6"/>
          <w:sz w:val="22"/>
          <w:szCs w:val="22"/>
        </w:rPr>
        <w:t>PROOF OF CONCEPT — EVALUATION DOCUMENT</w:t>
      </w:r>
    </w:p>
    <w:p>
      <w:pPr>
        <w:pStyle w:val="Normal"/>
        <w:spacing w:before="200" w:after="120"/>
        <w:jc w:val="center"/>
        <w:rPr>
          <w:rFonts w:ascii="Calibri" w:hAnsi="Calibri" w:eastAsia="Calibri" w:cs="Calibri"/>
          <w:b/>
          <w:bCs/>
          <w:color w:val="1F3864"/>
          <w:sz w:val="64"/>
          <w:szCs w:val="64"/>
        </w:rPr>
      </w:pPr>
      <w:r>
        <w:rPr>
          <w:rFonts w:eastAsia="Calibri" w:cs="Calibri"/>
          <w:b/>
          <w:bCs/>
          <w:color w:val="1F3864"/>
          <w:sz w:val="64"/>
          <w:szCs w:val="64"/>
        </w:rPr>
        <w:t>TicketDesk</w:t>
      </w:r>
    </w:p>
    <w:p>
      <w:pPr>
        <w:pStyle w:val="Normal"/>
        <w:spacing w:before="0" w:after="900"/>
        <w:jc w:val="center"/>
        <w:rPr>
          <w:rFonts w:ascii="Calibri" w:hAnsi="Calibri" w:eastAsia="Calibri" w:cs="Calibri"/>
          <w:i/>
          <w:i/>
          <w:iCs/>
          <w:color w:val="595959"/>
          <w:sz w:val="26"/>
          <w:szCs w:val="26"/>
        </w:rPr>
      </w:pPr>
      <w:r>
        <w:rPr>
          <w:rFonts w:eastAsia="Calibri" w:cs="Calibri"/>
          <w:i/>
          <w:iCs/>
          <w:color w:val="595959"/>
          <w:sz w:val="26"/>
          <w:szCs w:val="26"/>
        </w:rPr>
        <w:t>Cloud-Native IT Support &amp; Incident Management Platform</w:t>
      </w:r>
    </w:p>
    <w:tbl>
      <w:tblPr>
        <w:tblW w:w="4000" w:type="pct"/>
        <w:jc w:val="center"/>
        <w:tblInd w:w="0" w:type="dxa"/>
        <w:tblLayout w:type="fixed"/>
        <w:tblCellMar>
          <w:top w:w="100" w:type="dxa"/>
          <w:start w:w="120" w:type="dxa"/>
          <w:bottom w:w="100" w:type="dxa"/>
          <w:end w:w="120" w:type="dxa"/>
        </w:tblCellMar>
      </w:tblPr>
      <w:tblGrid>
        <w:gridCol w:w="2484"/>
        <w:gridCol w:w="5280"/>
      </w:tblGrid>
      <w:tr>
        <w:trPr/>
        <w:tc>
          <w:tcPr>
            <w:tcW w:w="2484" w:type="dxa"/>
            <w:tcBorders>
              <w:top w:val="single" w:sz="2" w:space="0" w:color="C0C0C0"/>
              <w:start w:val="single" w:sz="2" w:space="0" w:color="C0C0C0"/>
              <w:bottom w:val="single" w:sz="2" w:space="0" w:color="C0C0C0"/>
              <w:end w:val="single" w:sz="2" w:space="0" w:color="C0C0C0"/>
            </w:tcBorders>
            <w:shd w:fill="EEF3FA" w:val="clear"/>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AWS Account ID</w:t>
            </w:r>
          </w:p>
        </w:tc>
        <w:tc>
          <w:tcPr>
            <w:tcW w:w="528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559971704569</w:t>
            </w:r>
          </w:p>
        </w:tc>
      </w:tr>
      <w:tr>
        <w:trPr/>
        <w:tc>
          <w:tcPr>
            <w:tcW w:w="2484" w:type="dxa"/>
            <w:tcBorders>
              <w:top w:val="single" w:sz="2" w:space="0" w:color="C0C0C0"/>
              <w:start w:val="single" w:sz="2" w:space="0" w:color="C0C0C0"/>
              <w:bottom w:val="single" w:sz="2" w:space="0" w:color="C0C0C0"/>
              <w:end w:val="single" w:sz="2" w:space="0" w:color="C0C0C0"/>
            </w:tcBorders>
            <w:shd w:fill="EEF3FA" w:val="clear"/>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AWS Region</w:t>
            </w:r>
          </w:p>
        </w:tc>
        <w:tc>
          <w:tcPr>
            <w:tcW w:w="528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us-east-1 (N. Virginia)</w:t>
            </w:r>
          </w:p>
        </w:tc>
      </w:tr>
      <w:tr>
        <w:trPr/>
        <w:tc>
          <w:tcPr>
            <w:tcW w:w="2484" w:type="dxa"/>
            <w:tcBorders>
              <w:top w:val="single" w:sz="2" w:space="0" w:color="C0C0C0"/>
              <w:start w:val="single" w:sz="2" w:space="0" w:color="C0C0C0"/>
              <w:bottom w:val="single" w:sz="2" w:space="0" w:color="C0C0C0"/>
              <w:end w:val="single" w:sz="2" w:space="0" w:color="C0C0C0"/>
            </w:tcBorders>
            <w:shd w:fill="EEF3FA" w:val="clear"/>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Date</w:t>
            </w:r>
          </w:p>
        </w:tc>
        <w:tc>
          <w:tcPr>
            <w:tcW w:w="528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August 2026</w:t>
            </w:r>
          </w:p>
        </w:tc>
      </w:tr>
      <w:tr>
        <w:trPr/>
        <w:tc>
          <w:tcPr>
            <w:tcW w:w="2484" w:type="dxa"/>
            <w:tcBorders>
              <w:top w:val="single" w:sz="2" w:space="0" w:color="C0C0C0"/>
              <w:start w:val="single" w:sz="2" w:space="0" w:color="C0C0C0"/>
              <w:bottom w:val="single" w:sz="2" w:space="0" w:color="C0C0C0"/>
              <w:end w:val="single" w:sz="2" w:space="0" w:color="C0C0C0"/>
            </w:tcBorders>
            <w:shd w:fill="EEF3FA" w:val="clear"/>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Team Members</w:t>
            </w:r>
          </w:p>
        </w:tc>
        <w:tc>
          <w:tcPr>
            <w:tcW w:w="528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pPr>
            <w:r>
              <w:rPr>
                <w:rFonts w:eastAsia="Calibri" w:cs="Calibri"/>
                <w:b w:val="false"/>
                <w:bCs w:val="false"/>
                <w:color w:val="1E1E1E"/>
                <w:sz w:val="20"/>
                <w:szCs w:val="20"/>
              </w:rPr>
              <w:t xml:space="preserve">Kasi — Cloud Architect  |  </w:t>
            </w:r>
            <w:r>
              <w:rPr>
                <w:rFonts w:cs="Calibri"/>
                <w:b w:val="false"/>
                <w:bCs w:val="false"/>
                <w:color w:val="1E1E1E"/>
                <w:sz w:val="20"/>
                <w:szCs w:val="20"/>
                <w:lang w:val="en-US"/>
              </w:rPr>
              <w:t>Bhanu</w:t>
            </w:r>
            <w:r>
              <w:rPr>
                <w:rFonts w:eastAsia="Calibri" w:cs="Calibri"/>
                <w:b w:val="false"/>
                <w:bCs w:val="false"/>
                <w:color w:val="1E1E1E"/>
                <w:sz w:val="20"/>
                <w:szCs w:val="20"/>
              </w:rPr>
              <w:t xml:space="preserve"> — Cloud Security Engineer  |  </w:t>
            </w:r>
            <w:r>
              <w:rPr>
                <w:rFonts w:cs="Calibri"/>
                <w:b w:val="false"/>
                <w:bCs w:val="false"/>
                <w:color w:val="1E1E1E"/>
                <w:sz w:val="20"/>
                <w:szCs w:val="20"/>
                <w:lang w:val="en-US"/>
              </w:rPr>
              <w:t>Koushik</w:t>
            </w:r>
            <w:r>
              <w:rPr>
                <w:rFonts w:eastAsia="Calibri" w:cs="Calibri"/>
                <w:b w:val="false"/>
                <w:bCs w:val="false"/>
                <w:color w:val="1E1E1E"/>
                <w:sz w:val="20"/>
                <w:szCs w:val="20"/>
              </w:rPr>
              <w:t xml:space="preserve"> — Storage Engineer  |  Kavya — Cloud Application Engineer  |  Shashank — Cloud CI/CD &amp; Automation Engineer</w:t>
            </w:r>
          </w:p>
        </w:tc>
      </w:tr>
      <w:tr>
        <w:trPr/>
        <w:tc>
          <w:tcPr>
            <w:tcW w:w="2484" w:type="dxa"/>
            <w:tcBorders>
              <w:top w:val="single" w:sz="2" w:space="0" w:color="C0C0C0"/>
              <w:start w:val="single" w:sz="2" w:space="0" w:color="C0C0C0"/>
              <w:bottom w:val="single" w:sz="2" w:space="0" w:color="C0C0C0"/>
              <w:end w:val="single" w:sz="2" w:space="0" w:color="C0C0C0"/>
            </w:tcBorders>
            <w:shd w:fill="EEF3FA" w:val="clear"/>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Evaluator / Director</w:t>
            </w:r>
          </w:p>
        </w:tc>
        <w:tc>
          <w:tcPr>
            <w:tcW w:w="528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Ramya U</w:t>
            </w:r>
          </w:p>
        </w:tc>
      </w:tr>
    </w:tbl>
    <w:p>
      <w:pPr>
        <w:pStyle w:val="Normal"/>
        <w:rPr>
          <w:rFonts w:ascii="Calibri" w:hAnsi="Calibri" w:eastAsia="Calibri" w:cs="Calibri"/>
          <w:b/>
          <w:bCs/>
          <w:color w:val="1F3864"/>
          <w:sz w:val="28"/>
          <w:szCs w:val="28"/>
        </w:rPr>
      </w:pPr>
      <w:r>
        <w:br w:type="page"/>
      </w:r>
      <w:r>
        <w:rPr>
          <w:rFonts w:eastAsia="Calibri" w:cs="Calibri"/>
          <w:b/>
          <w:bCs/>
          <w:color w:val="1F3864"/>
          <w:sz w:val="28"/>
          <w:szCs w:val="28"/>
        </w:rPr>
        <w:t>Table of Contents</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  Project Overview</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2.  Architecture Overview</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3.  AWS Services Used</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4.  Application Flow</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5.  Network Architecture</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6.  Terraform Structure</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7.  Docker &amp; Container Approach</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8.  Database Configuration</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9.  Secrets Management</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10.  Frontend Deployment</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11.  AWS S3 Pre-Signed Upload Flow</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12.  CI/CD Architecture</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13.  CloudWatch &amp; Monitoring</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14.  Security Implementation</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15.  AWS Monthly Cost Estimate</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16.  Testing Results</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17.  Step-by-Step Deployment</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18.  Terraform Destroy Evidence</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19.  Problems Encountered &amp; Root-Cause Solutions</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20.  Individual Contribution Mapping</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Appendix A.  Technology Stack Summary</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Appendix B.  Glossary of Terms</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Appendix C.  Recommendations for Production Readiness</w:t>
      </w:r>
      <w:r>
        <w:br w:type="page"/>
      </w:r>
    </w:p>
    <w:p>
      <w:pPr>
        <w:pStyle w:val="Normal"/>
        <w:rPr>
          <w:rFonts w:ascii="Calibri" w:hAnsi="Calibri" w:eastAsia="Calibri" w:cs="Calibri"/>
          <w:b/>
          <w:bCs/>
          <w:color w:val="1F3864"/>
          <w:sz w:val="28"/>
          <w:szCs w:val="28"/>
        </w:rPr>
      </w:pPr>
      <w:r>
        <w:rPr>
          <w:rFonts w:eastAsia="Calibri" w:cs="Calibri"/>
          <w:b/>
          <w:bCs/>
          <w:color w:val="1F3864"/>
          <w:sz w:val="28"/>
          <w:szCs w:val="28"/>
        </w:rPr>
        <w:t>1. Project Overview</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TicketDesk is a cloud-native, enterprise-grade IT Support &amp; Incident Management platform designed to streamline IT support requests, automate SLA compliance tracking, and eliminate server overhead through direct Amazon S3 pre-signed file uploads.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platform was built as a proof of concept to demonstrate that a small team can design, provision, and operate a production-style, multi-tier AWS deployment end to end — from infrastructure-as-code and container orchestration through to a polished, role-aware frontend — while keeping the running cost and operational footprint minimal. The sections that follow document the architecture, the AWS services used, the application and network design, the CI/CD and deployment process, the security model, and the issues the team encountered and resolved along the way.</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Core Capabilities</w:t>
      </w:r>
    </w:p>
    <w:p>
      <w:pPr>
        <w:pStyle w:val="ListParagraph"/>
        <w:numPr>
          <w:ilvl w:val="0"/>
          <w:numId w:val="5"/>
        </w:numPr>
        <w:spacing w:lineRule="auto" w:line="276" w:before="0" w:after="80"/>
        <w:rPr/>
      </w:pPr>
      <w:r>
        <w:rPr>
          <w:rFonts w:eastAsia="Calibri" w:cs="Calibri"/>
          <w:b/>
          <w:bCs/>
          <w:color w:val="1F3864"/>
          <w:sz w:val="21"/>
          <w:szCs w:val="21"/>
        </w:rPr>
        <w:t xml:space="preserve">Role-Isolated Security — </w:t>
      </w:r>
      <w:r>
        <w:rPr>
          <w:rFonts w:eastAsia="Calibri" w:cs="Calibri"/>
          <w:color w:val="1E1E1E"/>
          <w:sz w:val="21"/>
          <w:szCs w:val="21"/>
        </w:rPr>
        <w:t>granular boundaries between System Administrators (ROLE_ADMIN), IT Support Engineers (ROLE_SUPPORT_ENGINEER), and Employees (ROLE_EMPLOYEE). Employees are strictly isolated to viewing tickets they personally created.</w:t>
      </w:r>
    </w:p>
    <w:p>
      <w:pPr>
        <w:pStyle w:val="ListParagraph"/>
        <w:numPr>
          <w:ilvl w:val="0"/>
          <w:numId w:val="3"/>
        </w:numPr>
        <w:spacing w:lineRule="auto" w:line="276" w:before="0" w:after="80"/>
        <w:rPr/>
      </w:pPr>
      <w:r>
        <w:rPr>
          <w:rFonts w:eastAsia="Calibri" w:cs="Calibri"/>
          <w:b/>
          <w:bCs/>
          <w:color w:val="1F3864"/>
          <w:sz w:val="21"/>
          <w:szCs w:val="21"/>
        </w:rPr>
        <w:t xml:space="preserve">Direct AWS S3 Attachment Pipeline — </w:t>
      </w:r>
      <w:r>
        <w:rPr>
          <w:rFonts w:eastAsia="Calibri" w:cs="Calibri"/>
          <w:color w:val="1E1E1E"/>
          <w:sz w:val="21"/>
          <w:szCs w:val="21"/>
        </w:rPr>
        <w:t>bypasses backend server memory/CPU by issuing secure, 15-minute time-limited AWS SDK v2 pre-signed URLs directly to client browsers.</w:t>
      </w:r>
    </w:p>
    <w:p>
      <w:pPr>
        <w:pStyle w:val="ListParagraph"/>
        <w:numPr>
          <w:ilvl w:val="0"/>
          <w:numId w:val="3"/>
        </w:numPr>
        <w:spacing w:lineRule="auto" w:line="276" w:before="0" w:after="80"/>
        <w:rPr/>
      </w:pPr>
      <w:r>
        <w:rPr>
          <w:rFonts w:eastAsia="Calibri" w:cs="Calibri"/>
          <w:b/>
          <w:bCs/>
          <w:color w:val="1F3864"/>
          <w:sz w:val="21"/>
          <w:szCs w:val="21"/>
        </w:rPr>
        <w:t xml:space="preserve">Real-Time Analytics &amp; SLA Engine — </w:t>
      </w:r>
      <w:r>
        <w:rPr>
          <w:rFonts w:eastAsia="Calibri" w:cs="Calibri"/>
          <w:color w:val="1E1E1E"/>
          <w:sz w:val="21"/>
          <w:szCs w:val="21"/>
        </w:rPr>
        <w:t>automated SLA target tracking (Urgent: 2h, High: 8h, Medium: 24h, Low: 72h) with interactive visualizations.</w:t>
      </w:r>
    </w:p>
    <w:p>
      <w:pPr>
        <w:pStyle w:val="ListParagraph"/>
        <w:numPr>
          <w:ilvl w:val="0"/>
          <w:numId w:val="3"/>
        </w:numPr>
        <w:spacing w:lineRule="auto" w:line="276" w:before="0" w:after="80"/>
        <w:rPr/>
      </w:pPr>
      <w:r>
        <w:rPr>
          <w:rFonts w:eastAsia="Calibri" w:cs="Calibri"/>
          <w:b/>
          <w:bCs/>
          <w:color w:val="1F3864"/>
          <w:sz w:val="21"/>
          <w:szCs w:val="21"/>
        </w:rPr>
        <w:t xml:space="preserve">Zero-Downtime CI/CD — </w:t>
      </w:r>
      <w:r>
        <w:rPr>
          <w:rFonts w:eastAsia="Calibri" w:cs="Calibri"/>
          <w:color w:val="1E1E1E"/>
          <w:sz w:val="21"/>
          <w:szCs w:val="21"/>
        </w:rPr>
        <w:t>automated GitHub Actions pipeline validating Terraform IaC formatting, executing JUnit 5 test suites, syncing production React bundles to S3, and deploying container revisions to AWS ECS Fargate.</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Objectives of the Proof of Concept</w:t>
      </w:r>
    </w:p>
    <w:p>
      <w:pPr>
        <w:pStyle w:val="ListParagraph"/>
        <w:numPr>
          <w:ilvl w:val="0"/>
          <w:numId w:val="3"/>
        </w:numPr>
        <w:spacing w:lineRule="auto" w:line="276" w:before="0" w:after="80"/>
        <w:rPr/>
      </w:pPr>
      <w:r>
        <w:rPr>
          <w:rFonts w:eastAsia="Calibri" w:cs="Calibri"/>
          <w:color w:val="1E1E1E"/>
          <w:sz w:val="21"/>
          <w:szCs w:val="21"/>
        </w:rPr>
        <w:t>Validate that a role-based ticketing workflow can be delivered on a serverless/managed AWS stack without a dedicated operations team.</w:t>
      </w:r>
    </w:p>
    <w:p>
      <w:pPr>
        <w:pStyle w:val="ListParagraph"/>
        <w:numPr>
          <w:ilvl w:val="0"/>
          <w:numId w:val="3"/>
        </w:numPr>
        <w:spacing w:lineRule="auto" w:line="276" w:before="0" w:after="80"/>
        <w:rPr/>
      </w:pPr>
      <w:r>
        <w:rPr>
          <w:rFonts w:eastAsia="Calibri" w:cs="Calibri"/>
          <w:color w:val="1E1E1E"/>
          <w:sz w:val="21"/>
          <w:szCs w:val="21"/>
        </w:rPr>
        <w:t>Demonstrate infrastructure reproducibility: the entire environment can be created and torn down on demand using Terraform, keeping idle cost close to zero.</w:t>
      </w:r>
    </w:p>
    <w:p>
      <w:pPr>
        <w:pStyle w:val="ListParagraph"/>
        <w:numPr>
          <w:ilvl w:val="0"/>
          <w:numId w:val="3"/>
        </w:numPr>
        <w:spacing w:lineRule="auto" w:line="276" w:before="0" w:after="80"/>
        <w:rPr/>
      </w:pPr>
      <w:r>
        <w:rPr>
          <w:rFonts w:eastAsia="Calibri" w:cs="Calibri"/>
          <w:color w:val="1E1E1E"/>
          <w:sz w:val="21"/>
          <w:szCs w:val="21"/>
        </w:rPr>
        <w:t>Prove that file attachments can bypass the application server entirely, reducing backend compute and memory pressure under load.</w:t>
      </w:r>
    </w:p>
    <w:p>
      <w:pPr>
        <w:pStyle w:val="ListParagraph"/>
        <w:numPr>
          <w:ilvl w:val="0"/>
          <w:numId w:val="3"/>
        </w:numPr>
        <w:spacing w:lineRule="auto" w:line="276" w:before="0" w:after="80"/>
        <w:rPr/>
      </w:pPr>
      <w:r>
        <w:rPr>
          <w:rFonts w:eastAsia="Calibri" w:cs="Calibri"/>
          <w:color w:val="1E1E1E"/>
          <w:sz w:val="21"/>
          <w:szCs w:val="21"/>
        </w:rPr>
        <w:t>Establish a repeatable CI/CD pipeline so that future feature work ships through an automated, tested path rather than manual deployment.</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Intended Audience</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This document is written for the evaluation panel reviewing the proof of concept, as well as for engineers who may extend or operate the platform afterward. It is organized to move from the high-level project summary and architecture down to specific configuration, deployment steps, and individual contribution mapping, so that a reader can either skim the overview sections or drill into implementation detail as needed.</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2. Architecture Overview</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TicketDesk architecture is deployed across a Multi-AZ Virtual Private Cloud (VPC) in AWS us-east-1, comprising public, private, and database subnet tiers.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design follows a conventional three-tier separation of concerns: a public-facing edge (static website hosting and load balancer), a private application tier that is never directly reachable from the internet, and an isolated data tier that only the application tier can reach. This layered approach limits the blast radius of any single compromised component and keeps the database completely unreachable from outside the VPC.</w:t>
      </w:r>
    </w:p>
    <w:p>
      <w:pPr>
        <w:pStyle w:val="Normal"/>
        <w:spacing w:before="80" w:after="160"/>
        <w:jc w:val="center"/>
        <w:rPr/>
      </w:pPr>
      <w:r>
        <w:rPr/>
        <w:drawing>
          <wp:inline distT="0" distB="0" distL="0" distR="0">
            <wp:extent cx="5905500" cy="417131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rcRect l="-3" t="-5" r="-3" b="-5"/>
                    <a:stretch>
                      <a:fillRect/>
                    </a:stretch>
                  </pic:blipFill>
                  <pic:spPr bwMode="auto">
                    <a:xfrm>
                      <a:off x="0" y="0"/>
                      <a:ext cx="5905500" cy="4171315"/>
                    </a:xfrm>
                    <a:prstGeom prst="rect">
                      <a:avLst/>
                    </a:prstGeom>
                  </pic:spPr>
                </pic:pic>
              </a:graphicData>
            </a:graphic>
          </wp:inline>
        </w:drawing>
      </w:r>
    </w:p>
    <w:p>
      <w:pPr>
        <w:pStyle w:val="Normal"/>
        <w:spacing w:before="0" w:after="220"/>
        <w:jc w:val="center"/>
        <w:rPr>
          <w:rFonts w:ascii="Calibri" w:hAnsi="Calibri" w:eastAsia="Calibri" w:cs="Calibri"/>
          <w:i/>
          <w:i/>
          <w:iCs/>
          <w:color w:val="595959"/>
          <w:sz w:val="18"/>
          <w:szCs w:val="18"/>
        </w:rPr>
      </w:pPr>
      <w:r>
        <w:rPr>
          <w:rFonts w:eastAsia="Calibri" w:cs="Calibri"/>
          <w:i/>
          <w:iCs/>
          <w:color w:val="595959"/>
          <w:sz w:val="18"/>
          <w:szCs w:val="18"/>
        </w:rPr>
        <w:t>Figure 1 — TicketDesk AWS architecture, showing subnet tiers, traffic flow, and supporting services.</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Tier Summary</w:t>
      </w:r>
    </w:p>
    <w:tbl>
      <w:tblPr>
        <w:tblW w:w="5000" w:type="pct"/>
        <w:jc w:val="start"/>
        <w:tblInd w:w="0" w:type="dxa"/>
        <w:tblLayout w:type="fixed"/>
        <w:tblCellMar>
          <w:top w:w="100" w:type="dxa"/>
          <w:start w:w="120" w:type="dxa"/>
          <w:bottom w:w="100" w:type="dxa"/>
          <w:end w:w="120" w:type="dxa"/>
        </w:tblCellMar>
      </w:tblPr>
      <w:tblGrid>
        <w:gridCol w:w="2523"/>
        <w:gridCol w:w="3882"/>
        <w:gridCol w:w="3301"/>
      </w:tblGrid>
      <w:tr>
        <w:trPr>
          <w:tblHeader w:val="true"/>
        </w:trPr>
        <w:tc>
          <w:tcPr>
            <w:tcW w:w="2523"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Tier</w:t>
            </w:r>
          </w:p>
        </w:tc>
        <w:tc>
          <w:tcPr>
            <w:tcW w:w="3882"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Component</w:t>
            </w:r>
          </w:p>
        </w:tc>
        <w:tc>
          <w:tcPr>
            <w:tcW w:w="3301"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Description</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Frontend</w:t>
            </w:r>
          </w:p>
        </w:tc>
        <w:tc>
          <w:tcPr>
            <w:tcW w:w="388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tkt-kc-dev-web-6953e5ec</w:t>
            </w:r>
          </w:p>
        </w:tc>
        <w:tc>
          <w:tcPr>
            <w:tcW w:w="330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S3 static website hosting</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Entry &amp; Routing</w:t>
            </w:r>
          </w:p>
        </w:tc>
        <w:tc>
          <w:tcPr>
            <w:tcW w:w="388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tkt-kc-dev-alb</w:t>
            </w:r>
          </w:p>
        </w:tc>
        <w:tc>
          <w:tcPr>
            <w:tcW w:w="330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Application Load Balancer, listening on port 80</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Application</w:t>
            </w:r>
          </w:p>
        </w:tc>
        <w:tc>
          <w:tcPr>
            <w:tcW w:w="388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ECS Fargate task</w:t>
            </w:r>
          </w:p>
        </w:tc>
        <w:tc>
          <w:tcPr>
            <w:tcW w:w="330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Spring Boot 3 REST API running in private subnets</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Database</w:t>
            </w:r>
          </w:p>
        </w:tc>
        <w:tc>
          <w:tcPr>
            <w:tcW w:w="388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tkt-kc-dev-mysql</w:t>
            </w:r>
          </w:p>
        </w:tc>
        <w:tc>
          <w:tcPr>
            <w:tcW w:w="330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RDS MySQL 8.0, Multi-AZ, in private database subnets</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Storage</w:t>
            </w:r>
          </w:p>
        </w:tc>
        <w:tc>
          <w:tcPr>
            <w:tcW w:w="388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tkt-kc-dev-attachments-6953e5ec</w:t>
            </w:r>
          </w:p>
        </w:tc>
        <w:tc>
          <w:tcPr>
            <w:tcW w:w="330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S3 bucket accepting direct pre-signed client uploads</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Secrets &amp; Security</w:t>
            </w:r>
          </w:p>
        </w:tc>
        <w:tc>
          <w:tcPr>
            <w:tcW w:w="388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Secrets Manager</w:t>
            </w:r>
          </w:p>
        </w:tc>
        <w:tc>
          <w:tcPr>
            <w:tcW w:w="330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Stores database credentials and JWT HMAC signing keys</w:t>
            </w:r>
          </w:p>
        </w:tc>
      </w:tr>
    </w:tbl>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3. AWS Services Used</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Every managed service in the stack was chosen to minimize operational burden: there are no self-managed servers to patch, and each service scales or fails over automatically within the limits of its configured tier. The table below lists each AWS service, the specific resource created for TicketDesk, and the role it plays in the platform.</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tbl>
      <w:tblPr>
        <w:tblW w:w="5000" w:type="pct"/>
        <w:jc w:val="start"/>
        <w:tblInd w:w="0" w:type="dxa"/>
        <w:tblLayout w:type="fixed"/>
        <w:tblCellMar>
          <w:top w:w="100" w:type="dxa"/>
          <w:start w:w="120" w:type="dxa"/>
          <w:bottom w:w="100" w:type="dxa"/>
          <w:end w:w="120" w:type="dxa"/>
        </w:tblCellMar>
      </w:tblPr>
      <w:tblGrid>
        <w:gridCol w:w="2911"/>
        <w:gridCol w:w="3300"/>
        <w:gridCol w:w="3495"/>
      </w:tblGrid>
      <w:tr>
        <w:trPr>
          <w:tblHeader w:val="true"/>
        </w:trPr>
        <w:tc>
          <w:tcPr>
            <w:tcW w:w="2911"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Service</w:t>
            </w:r>
          </w:p>
        </w:tc>
        <w:tc>
          <w:tcPr>
            <w:tcW w:w="3300"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Resource</w:t>
            </w:r>
          </w:p>
        </w:tc>
        <w:tc>
          <w:tcPr>
            <w:tcW w:w="3495"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Purpose</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VPC</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tkt-kc-dev-vpc</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Multi-AZ network isolation across 6 subnets</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ECS Fargate</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tkt-kc-dev-cluster</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Serverless container execution for the Spring Boot REST backend (0.5 vCPU, 1 GB RAM)</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Application Load Balancer</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tkt-kc-dev-alb</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High-availability HTTP entry point distributing traffic to private ECS Fargate tasks</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S3 — Static Website</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tkt-kc-dev-web-6953e5ec</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Static hosting for the compiled React 18 production frontend</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S3 — Attachments</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tkt-kc-dev-attachments-6953e5ec</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Direct pre-signed bucket for logs, screenshots, and PDFs</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RDS MySQL 8.0</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tkt-kc-dev-mysql</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Managed relational database storing users, roles, tickets, attachments, and comments</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Secrets Manager</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tkt-kc-dev-db-credentials</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Secure storage and injection of database passwords and JWT signing keys</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ECR</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...ecr.us-east-1.amazonaws.com/tkt-ks-backend</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Docker container registry storing versioned backend images</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CloudWatch Logs</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/ecs/tkt-kc-dev-backend</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Centralized container log aggregation and operational diagnostics</w:t>
            </w:r>
          </w:p>
        </w:tc>
      </w:tr>
    </w:tbl>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Why This Service Mix</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stack deliberately favors managed and serverless services over self-hosted alternatives. ECS Fargate removes the need to patch or size EC2 instances for the backend; RDS Multi-AZ removes the need to manage database replication and failover manually; and S3 static website hosting removes the need for a dedicated web server for the frontend entirely. This keeps the number of components the team is responsible for operating to a minimum, which matters for a small team running a proof of concept alongside other responsibilities.</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4. Application Flow</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sequence below traces a typical user session from authentication through ticket creation and file attachment, illustrating how responsibility is split between the frontend, the backend, and AWS-managed storage.</w:t>
      </w:r>
    </w:p>
    <w:p>
      <w:pPr>
        <w:pStyle w:val="ListParagraph"/>
        <w:numPr>
          <w:ilvl w:val="0"/>
          <w:numId w:val="6"/>
        </w:numPr>
        <w:spacing w:lineRule="auto" w:line="276" w:before="0" w:after="80"/>
        <w:rPr/>
      </w:pPr>
      <w:r>
        <w:rPr>
          <w:rFonts w:eastAsia="Calibri" w:cs="Calibri"/>
          <w:color w:val="1E1E1E"/>
          <w:sz w:val="21"/>
          <w:szCs w:val="21"/>
        </w:rPr>
        <w:t>User logs in via the React frontend and receives a stateless JWT token.</w:t>
      </w:r>
    </w:p>
    <w:p>
      <w:pPr>
        <w:pStyle w:val="ListParagraph"/>
        <w:numPr>
          <w:ilvl w:val="0"/>
          <w:numId w:val="4"/>
        </w:numPr>
        <w:spacing w:lineRule="auto" w:line="276" w:before="0" w:after="80"/>
        <w:rPr/>
      </w:pPr>
      <w:r>
        <w:rPr>
          <w:rFonts w:eastAsia="Calibri" w:cs="Calibri"/>
          <w:color w:val="1E1E1E"/>
          <w:sz w:val="21"/>
          <w:szCs w:val="21"/>
        </w:rPr>
        <w:t>User creates a ticket; the React frontend calls POST /api/tickets via the ALB to ECS Fargate.</w:t>
      </w:r>
    </w:p>
    <w:p>
      <w:pPr>
        <w:pStyle w:val="ListParagraph"/>
        <w:numPr>
          <w:ilvl w:val="0"/>
          <w:numId w:val="4"/>
        </w:numPr>
        <w:spacing w:lineRule="auto" w:line="276" w:before="0" w:after="80"/>
        <w:rPr/>
      </w:pPr>
      <w:r>
        <w:rPr>
          <w:rFonts w:eastAsia="Calibri" w:cs="Calibri"/>
          <w:color w:val="1E1E1E"/>
          <w:sz w:val="21"/>
          <w:szCs w:val="21"/>
        </w:rPr>
        <w:t>Spring Boot validates the JWT, persists the ticket into RDS MySQL, and returns the created DTO.</w:t>
      </w:r>
    </w:p>
    <w:p>
      <w:pPr>
        <w:pStyle w:val="ListParagraph"/>
        <w:numPr>
          <w:ilvl w:val="0"/>
          <w:numId w:val="4"/>
        </w:numPr>
        <w:spacing w:lineRule="auto" w:line="276" w:before="0" w:after="80"/>
        <w:rPr/>
      </w:pPr>
      <w:r>
        <w:rPr>
          <w:rFonts w:eastAsia="Calibri" w:cs="Calibri"/>
          <w:color w:val="1E1E1E"/>
          <w:sz w:val="21"/>
          <w:szCs w:val="21"/>
        </w:rPr>
        <w:t>User attaches a diagnostic screenshot; the frontend requests a pre-signed URL via POST /api/tickets/{id}/attachments/upload-url.</w:t>
      </w:r>
    </w:p>
    <w:p>
      <w:pPr>
        <w:pStyle w:val="ListParagraph"/>
        <w:numPr>
          <w:ilvl w:val="0"/>
          <w:numId w:val="4"/>
        </w:numPr>
        <w:spacing w:lineRule="auto" w:line="276" w:before="0" w:after="80"/>
        <w:rPr/>
      </w:pPr>
      <w:r>
        <w:rPr>
          <w:rFonts w:eastAsia="Calibri" w:cs="Calibri"/>
          <w:color w:val="1E1E1E"/>
          <w:sz w:val="21"/>
          <w:szCs w:val="21"/>
        </w:rPr>
        <w:t>Spring Boot issues a 15-minute S3 pre-signed PUT URL using AWS SDK v2 S3Presigner.</w:t>
      </w:r>
    </w:p>
    <w:p>
      <w:pPr>
        <w:pStyle w:val="ListParagraph"/>
        <w:numPr>
          <w:ilvl w:val="0"/>
          <w:numId w:val="4"/>
        </w:numPr>
        <w:spacing w:lineRule="auto" w:line="276" w:before="0" w:after="80"/>
        <w:rPr/>
      </w:pPr>
      <w:r>
        <w:rPr>
          <w:rFonts w:eastAsia="Calibri" w:cs="Calibri"/>
          <w:color w:val="1E1E1E"/>
          <w:sz w:val="21"/>
          <w:szCs w:val="21"/>
        </w:rPr>
        <w:t>The browser streams the file payload directly to the Amazon S3 attachments bucket.</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Design Rationale</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Two design choices shape this flow. First, authentication is stateless: the backend never stores session state, so any ECS task can serve any request, which keeps horizontal scaling simple and removes the need for sticky sessions at the load balancer. Second, file upload traffic never touches the application tier — the backend only issues a short-lived, single-use URL, and the actual bytes travel straight from the browser to S3. This keeps large attachments (screenshots, logs, PDFs) from consuming ECS task memory or CPU, so the same 0.5 vCPU / 1 GB task can comfortably serve API traffic regardless of how many attachments are being uploaded concurrently.</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5. Network Architecture</w:t>
      </w:r>
    </w:p>
    <w:p>
      <w:pPr>
        <w:pStyle w:val="Normal"/>
        <w:spacing w:lineRule="auto" w:line="288" w:before="0" w:after="140"/>
        <w:rPr/>
      </w:pPr>
      <w:r>
        <w:rPr>
          <w:rFonts w:eastAsia="Calibri" w:cs="Calibri"/>
          <w:color w:val="1E1E1E"/>
          <w:sz w:val="21"/>
          <w:szCs w:val="21"/>
        </w:rPr>
        <w:t xml:space="preserve">VPC CIDR block: </w:t>
      </w:r>
      <w:r>
        <w:rPr>
          <w:rFonts w:eastAsia="Consolas" w:cs="Consolas" w:ascii="Consolas" w:hAnsi="Consolas"/>
          <w:color w:val="9A3412"/>
          <w:sz w:val="21"/>
          <w:szCs w:val="21"/>
        </w:rPr>
        <w:t>10.0.0.0/16</w:t>
      </w:r>
      <w:r>
        <w:rPr>
          <w:rFonts w:eastAsia="Calibri" w:cs="Calibri"/>
          <w:color w:val="1E1E1E"/>
          <w:sz w:val="21"/>
          <w:szCs w:val="21"/>
        </w:rPr>
        <w:t xml:space="preserve"> across us-east-1a and us-east-1b.</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VPC is split into six subnets across two Availability Zones, giving every tier a Multi-AZ footprint even though the current task counts are modest. This means the network topology already supports scaling ECS tasks or failing over RDS across zones without any re-architecture — only the resource counts would need to change.</w:t>
      </w:r>
    </w:p>
    <w:tbl>
      <w:tblPr>
        <w:tblW w:w="5000" w:type="pct"/>
        <w:jc w:val="start"/>
        <w:tblInd w:w="0" w:type="dxa"/>
        <w:tblLayout w:type="fixed"/>
        <w:tblCellMar>
          <w:top w:w="100" w:type="dxa"/>
          <w:start w:w="120" w:type="dxa"/>
          <w:bottom w:w="100" w:type="dxa"/>
          <w:end w:w="120" w:type="dxa"/>
        </w:tblCellMar>
      </w:tblPr>
      <w:tblGrid>
        <w:gridCol w:w="2717"/>
        <w:gridCol w:w="3106"/>
        <w:gridCol w:w="3883"/>
      </w:tblGrid>
      <w:tr>
        <w:trPr>
          <w:tblHeader w:val="true"/>
        </w:trPr>
        <w:tc>
          <w:tcPr>
            <w:tcW w:w="2717"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Subnet Tier</w:t>
            </w:r>
          </w:p>
        </w:tc>
        <w:tc>
          <w:tcPr>
            <w:tcW w:w="3106"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CIDR Blocks</w:t>
            </w:r>
          </w:p>
        </w:tc>
        <w:tc>
          <w:tcPr>
            <w:tcW w:w="3883"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Hosts</w:t>
            </w:r>
          </w:p>
        </w:tc>
      </w:tr>
      <w:tr>
        <w:trPr/>
        <w:tc>
          <w:tcPr>
            <w:tcW w:w="2717"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Public</w:t>
            </w:r>
          </w:p>
        </w:tc>
        <w:tc>
          <w:tcPr>
            <w:tcW w:w="310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10.0.1.0/24, 10.0.2.0/24</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Internet Gateway &amp; ALB</w:t>
            </w:r>
          </w:p>
        </w:tc>
      </w:tr>
      <w:tr>
        <w:trPr/>
        <w:tc>
          <w:tcPr>
            <w:tcW w:w="2717"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Private</w:t>
            </w:r>
          </w:p>
        </w:tc>
        <w:tc>
          <w:tcPr>
            <w:tcW w:w="310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10.0.11.0/24, 10.0.12.0/24</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ECS Fargate containers</w:t>
            </w:r>
          </w:p>
        </w:tc>
      </w:tr>
      <w:tr>
        <w:trPr/>
        <w:tc>
          <w:tcPr>
            <w:tcW w:w="2717"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Database</w:t>
            </w:r>
          </w:p>
        </w:tc>
        <w:tc>
          <w:tcPr>
            <w:tcW w:w="310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10.0.21.0/24, 10.0.22.0/24</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Multi-AZ RDS MySQL</w:t>
            </w:r>
          </w:p>
        </w:tc>
      </w:tr>
    </w:tbl>
    <w:p>
      <w:pPr>
        <w:pStyle w:val="Normal"/>
        <w:spacing w:before="160" w:after="80"/>
        <w:rPr>
          <w:rFonts w:ascii="Calibri" w:hAnsi="Calibri" w:eastAsia="Calibri" w:cs="Calibri"/>
          <w:b/>
          <w:bCs/>
          <w:color w:val="1F3864"/>
          <w:sz w:val="21"/>
          <w:szCs w:val="21"/>
        </w:rPr>
      </w:pPr>
      <w:r>
        <w:rPr>
          <w:rFonts w:eastAsia="Calibri" w:cs="Calibri"/>
          <w:b/>
          <w:bCs/>
          <w:color w:val="1F3864"/>
          <w:sz w:val="21"/>
          <w:szCs w:val="21"/>
        </w:rPr>
        <w:t>Security groups enforce strict ingress rules:</w:t>
      </w:r>
    </w:p>
    <w:p>
      <w:pPr>
        <w:pStyle w:val="ListParagraph"/>
        <w:numPr>
          <w:ilvl w:val="0"/>
          <w:numId w:val="3"/>
        </w:numPr>
        <w:spacing w:lineRule="auto" w:line="276" w:before="0" w:after="80"/>
        <w:rPr/>
      </w:pPr>
      <w:r>
        <w:rPr>
          <w:rFonts w:eastAsia="Calibri" w:cs="Calibri"/>
          <w:color w:val="1E1E1E"/>
          <w:sz w:val="21"/>
          <w:szCs w:val="21"/>
        </w:rPr>
        <w:t>ALB accepts traffic on port 80</w:t>
      </w:r>
    </w:p>
    <w:p>
      <w:pPr>
        <w:pStyle w:val="ListParagraph"/>
        <w:numPr>
          <w:ilvl w:val="0"/>
          <w:numId w:val="3"/>
        </w:numPr>
        <w:spacing w:lineRule="auto" w:line="276" w:before="0" w:after="80"/>
        <w:rPr/>
      </w:pPr>
      <w:r>
        <w:rPr>
          <w:rFonts w:eastAsia="Calibri" w:cs="Calibri"/>
          <w:color w:val="1E1E1E"/>
          <w:sz w:val="21"/>
          <w:szCs w:val="21"/>
        </w:rPr>
        <w:t>ECS accepts port 8080 only from the ALB</w:t>
      </w:r>
    </w:p>
    <w:p>
      <w:pPr>
        <w:pStyle w:val="ListParagraph"/>
        <w:numPr>
          <w:ilvl w:val="0"/>
          <w:numId w:val="3"/>
        </w:numPr>
        <w:spacing w:lineRule="auto" w:line="276" w:before="0" w:after="80"/>
        <w:rPr/>
      </w:pPr>
      <w:r>
        <w:rPr>
          <w:rFonts w:eastAsia="Calibri" w:cs="Calibri"/>
          <w:color w:val="1E1E1E"/>
          <w:sz w:val="21"/>
          <w:szCs w:val="21"/>
        </w:rPr>
        <w:t>RDS accepts port 3306 only from ECS</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Defense in Depth</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Each security group is scoped to the minimum source it needs to function, rather than to a broad CIDR range. Because the ECS security group only accepts port 8080 from the ALB's security group (not from any IP in the private subnet), a compromised host elsewhere in the private tier still could not reach the backend directly. The same principle applies to RDS: only the ECS security group is permitted on port 3306, so the database is unreachable even from other resources inside the VPC unless they are explicitly granted access.</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6. Terraform Structure</w:t>
      </w:r>
    </w:p>
    <w:p>
      <w:pPr>
        <w:pStyle w:val="Normal"/>
        <w:spacing w:lineRule="auto" w:line="288" w:before="0" w:after="140"/>
        <w:rPr/>
      </w:pPr>
      <w:r>
        <w:rPr>
          <w:rFonts w:eastAsia="Calibri" w:cs="Calibri"/>
          <w:color w:val="1E1E1E"/>
          <w:sz w:val="21"/>
          <w:szCs w:val="21"/>
        </w:rPr>
        <w:t xml:space="preserve">Modularized HCL architecture in </w:t>
      </w:r>
      <w:r>
        <w:rPr>
          <w:rFonts w:eastAsia="Consolas" w:cs="Consolas" w:ascii="Consolas" w:hAnsi="Consolas"/>
          <w:color w:val="9A3412"/>
          <w:sz w:val="21"/>
          <w:szCs w:val="21"/>
        </w:rPr>
        <w:t>infrastructure/terraform/</w:t>
      </w:r>
      <w:r>
        <w:rPr>
          <w:rFonts w:eastAsia="Calibri" w:cs="Calibri"/>
          <w:color w:val="1E1E1E"/>
          <w:sz w:val="21"/>
          <w:szCs w:val="21"/>
        </w:rPr>
        <w:t>:</w:t>
      </w:r>
    </w:p>
    <w:p>
      <w:pPr>
        <w:pStyle w:val="ListParagraph"/>
        <w:numPr>
          <w:ilvl w:val="0"/>
          <w:numId w:val="3"/>
        </w:numPr>
        <w:spacing w:lineRule="auto" w:line="276" w:before="0" w:after="80"/>
        <w:rPr/>
      </w:pPr>
      <w:r>
        <w:rPr>
          <w:rFonts w:eastAsia="Calibri" w:cs="Calibri"/>
          <w:b/>
          <w:bCs/>
          <w:color w:val="1F3864"/>
          <w:sz w:val="21"/>
          <w:szCs w:val="21"/>
        </w:rPr>
        <w:t xml:space="preserve">modules/vpc — </w:t>
      </w:r>
      <w:r>
        <w:rPr>
          <w:rFonts w:eastAsia="Calibri" w:cs="Calibri"/>
          <w:color w:val="1E1E1E"/>
          <w:sz w:val="21"/>
          <w:szCs w:val="21"/>
        </w:rPr>
        <w:t>subnets, route tables, Internet Gateway, NAT Gateways</w:t>
      </w:r>
    </w:p>
    <w:p>
      <w:pPr>
        <w:pStyle w:val="ListParagraph"/>
        <w:numPr>
          <w:ilvl w:val="0"/>
          <w:numId w:val="3"/>
        </w:numPr>
        <w:spacing w:lineRule="auto" w:line="276" w:before="0" w:after="80"/>
        <w:rPr/>
      </w:pPr>
      <w:r>
        <w:rPr>
          <w:rFonts w:eastAsia="Calibri" w:cs="Calibri"/>
          <w:b/>
          <w:bCs/>
          <w:color w:val="1F3864"/>
          <w:sz w:val="21"/>
          <w:szCs w:val="21"/>
        </w:rPr>
        <w:t xml:space="preserve">modules/security_groups — </w:t>
      </w:r>
      <w:r>
        <w:rPr>
          <w:rFonts w:eastAsia="Calibri" w:cs="Calibri"/>
          <w:color w:val="1E1E1E"/>
          <w:sz w:val="21"/>
          <w:szCs w:val="21"/>
        </w:rPr>
        <w:t>ingress/egress rules for ALB, ECS, and RDS</w:t>
      </w:r>
    </w:p>
    <w:p>
      <w:pPr>
        <w:pStyle w:val="ListParagraph"/>
        <w:numPr>
          <w:ilvl w:val="0"/>
          <w:numId w:val="3"/>
        </w:numPr>
        <w:spacing w:lineRule="auto" w:line="276" w:before="0" w:after="80"/>
        <w:rPr/>
      </w:pPr>
      <w:r>
        <w:rPr>
          <w:rFonts w:eastAsia="Calibri" w:cs="Calibri"/>
          <w:b/>
          <w:bCs/>
          <w:color w:val="1F3864"/>
          <w:sz w:val="21"/>
          <w:szCs w:val="21"/>
        </w:rPr>
        <w:t xml:space="preserve">modules/rds — </w:t>
      </w:r>
      <w:r>
        <w:rPr>
          <w:rFonts w:eastAsia="Calibri" w:cs="Calibri"/>
          <w:color w:val="1E1E1E"/>
          <w:sz w:val="21"/>
          <w:szCs w:val="21"/>
        </w:rPr>
        <w:t>Multi-AZ MySQL 8.0 instance and subnet groups</w:t>
      </w:r>
    </w:p>
    <w:p>
      <w:pPr>
        <w:pStyle w:val="ListParagraph"/>
        <w:numPr>
          <w:ilvl w:val="0"/>
          <w:numId w:val="3"/>
        </w:numPr>
        <w:spacing w:lineRule="auto" w:line="276" w:before="0" w:after="80"/>
        <w:rPr/>
      </w:pPr>
      <w:r>
        <w:rPr>
          <w:rFonts w:eastAsia="Calibri" w:cs="Calibri"/>
          <w:b/>
          <w:bCs/>
          <w:color w:val="1F3864"/>
          <w:sz w:val="21"/>
          <w:szCs w:val="21"/>
        </w:rPr>
        <w:t xml:space="preserve">modules/ecs — </w:t>
      </w:r>
      <w:r>
        <w:rPr>
          <w:rFonts w:eastAsia="Calibri" w:cs="Calibri"/>
          <w:color w:val="1E1E1E"/>
          <w:sz w:val="21"/>
          <w:szCs w:val="21"/>
        </w:rPr>
        <w:t>ECS cluster, task definition, Fargate service, ECR repository</w:t>
      </w:r>
    </w:p>
    <w:p>
      <w:pPr>
        <w:pStyle w:val="ListParagraph"/>
        <w:numPr>
          <w:ilvl w:val="0"/>
          <w:numId w:val="3"/>
        </w:numPr>
        <w:spacing w:lineRule="auto" w:line="276" w:before="0" w:after="80"/>
        <w:rPr/>
      </w:pPr>
      <w:r>
        <w:rPr>
          <w:rFonts w:eastAsia="Calibri" w:cs="Calibri"/>
          <w:b/>
          <w:bCs/>
          <w:color w:val="1F3864"/>
          <w:sz w:val="21"/>
          <w:szCs w:val="21"/>
        </w:rPr>
        <w:t xml:space="preserve">modules/s3 — </w:t>
      </w:r>
      <w:r>
        <w:rPr>
          <w:rFonts w:eastAsia="Calibri" w:cs="Calibri"/>
          <w:color w:val="1E1E1E"/>
          <w:sz w:val="21"/>
          <w:szCs w:val="21"/>
        </w:rPr>
        <w:t>S3 static website and S3 attachment bucket with CORS and public policies</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Why Modularize</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Splitting the infrastructure into discrete modules keeps each AWS concern independently testable and reviewable: a change to the S3 CORS policy, for example, touches only modules/s3 and does not risk an unrelated diff in the ECS task definition. It also means the same modules could, in principle, be re-parameterized to stand up a second environment (staging, or a second region) without duplicating the underlying logic. Terraform state is tracked centrally so that `terraform plan` shows a complete, accurate diff of any change before it is applied, and `terraform destroy` can tear down the entire environment cleanly, which the team relied on for cost control between test runs (see Section 18).</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7. Docker &amp; Container Approach</w:t>
      </w:r>
    </w:p>
    <w:p>
      <w:pPr>
        <w:pStyle w:val="Normal"/>
        <w:spacing w:lineRule="auto" w:line="288" w:before="0" w:after="140"/>
        <w:rPr/>
      </w:pPr>
      <w:r>
        <w:rPr>
          <w:rFonts w:eastAsia="Calibri" w:cs="Calibri"/>
          <w:color w:val="1E1E1E"/>
          <w:sz w:val="21"/>
          <w:szCs w:val="21"/>
        </w:rPr>
        <w:t xml:space="preserve">Multi-stage Dockerfile using </w:t>
      </w:r>
      <w:r>
        <w:rPr>
          <w:rFonts w:eastAsia="Consolas" w:cs="Consolas" w:ascii="Consolas" w:hAnsi="Consolas"/>
          <w:color w:val="9A3412"/>
          <w:sz w:val="21"/>
          <w:szCs w:val="21"/>
        </w:rPr>
        <w:t>eclipse-temurin:21-jre-alpine</w:t>
      </w:r>
      <w:r>
        <w:rPr>
          <w:rFonts w:eastAsia="Calibri" w:cs="Calibri"/>
          <w:color w:val="1E1E1E"/>
          <w:sz w:val="21"/>
          <w:szCs w:val="21"/>
        </w:rPr>
        <w:t xml:space="preserve">. The Spring Boot Actuator endpoint </w:t>
      </w:r>
      <w:r>
        <w:rPr>
          <w:rFonts w:eastAsia="Consolas" w:cs="Consolas" w:ascii="Consolas" w:hAnsi="Consolas"/>
          <w:color w:val="9A3412"/>
          <w:sz w:val="21"/>
          <w:szCs w:val="21"/>
        </w:rPr>
        <w:t>/api/actuator/health</w:t>
      </w:r>
      <w:r>
        <w:rPr>
          <w:rFonts w:eastAsia="Calibri" w:cs="Calibri"/>
          <w:color w:val="1E1E1E"/>
          <w:sz w:val="21"/>
          <w:szCs w:val="21"/>
        </w:rPr>
        <w:t xml:space="preserve"> is configured for container health checks.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multi-stage build compiles the Spring Boot application in a build-only stage and copies just the resulting JAR into a minimal Alpine-based JRE runtime image. This keeps the final image small, reduces the attack surface by excluding build tooling from the runtime image, and speeds up both the ECR push and the ECS task startup time. ECS uses the Actuator health endpoint as its container health check, so a task that fails to start correctly is automatically detected and replaced rather than silently serving traffic in a broken state.</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8. Database Configuration</w:t>
      </w:r>
    </w:p>
    <w:p>
      <w:pPr>
        <w:pStyle w:val="Normal"/>
        <w:spacing w:lineRule="auto" w:line="288" w:before="0" w:after="140"/>
        <w:rPr/>
      </w:pPr>
      <w:r>
        <w:rPr>
          <w:rFonts w:eastAsia="Calibri" w:cs="Calibri"/>
          <w:color w:val="1E1E1E"/>
          <w:sz w:val="21"/>
          <w:szCs w:val="21"/>
        </w:rPr>
        <w:t>AWS RDS MySQL 8.0.35 (db.t3.micro). Managed Flyway database migrations (</w:t>
      </w:r>
      <w:r>
        <w:rPr>
          <w:rFonts w:eastAsia="Consolas" w:cs="Consolas" w:ascii="Consolas" w:hAnsi="Consolas"/>
          <w:color w:val="9A3412"/>
          <w:sz w:val="21"/>
          <w:szCs w:val="21"/>
        </w:rPr>
        <w:t>V1__init_schema.sql</w:t>
      </w:r>
      <w:r>
        <w:rPr>
          <w:rFonts w:eastAsia="Calibri" w:cs="Calibri"/>
          <w:color w:val="1E1E1E"/>
          <w:sz w:val="21"/>
          <w:szCs w:val="21"/>
        </w:rPr>
        <w:t xml:space="preserve">, </w:t>
      </w:r>
      <w:r>
        <w:rPr>
          <w:rFonts w:eastAsia="Consolas" w:cs="Consolas" w:ascii="Consolas" w:hAnsi="Consolas"/>
          <w:color w:val="9A3412"/>
          <w:sz w:val="21"/>
          <w:szCs w:val="21"/>
        </w:rPr>
        <w:t>V2__seed_data.sql</w:t>
      </w:r>
      <w:r>
        <w:rPr>
          <w:rFonts w:eastAsia="Calibri" w:cs="Calibri"/>
          <w:color w:val="1E1E1E"/>
          <w:sz w:val="21"/>
          <w:szCs w:val="21"/>
        </w:rPr>
        <w:t>) auto-apply schema and seed data.</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Flyway runs automatically at application startup, comparing the migration history table against the SQL scripts on the classpath and applying any that have not yet run. This means the schema is always version-controlled alongside the application code rather than managed by hand against the live database — a fresh environment reaches the same schema state as production simply by starting the application, with no manual SQL required. The Multi-AZ configuration means RDS maintains a synchronously replicated standby in the second Availability Zone, so a zone-level failure triggers an automatic failover rather than a data-loss event.</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9. Secrets Management</w:t>
      </w:r>
    </w:p>
    <w:p>
      <w:pPr>
        <w:pStyle w:val="Normal"/>
        <w:spacing w:lineRule="auto" w:line="288" w:before="0" w:after="140"/>
        <w:rPr/>
      </w:pPr>
      <w:r>
        <w:rPr>
          <w:rFonts w:eastAsia="Calibri" w:cs="Calibri"/>
          <w:color w:val="1E1E1E"/>
          <w:sz w:val="21"/>
          <w:szCs w:val="21"/>
        </w:rPr>
        <w:t>AWS Secrets Manager (</w:t>
      </w:r>
      <w:r>
        <w:rPr>
          <w:rFonts w:eastAsia="Consolas" w:cs="Consolas" w:ascii="Consolas" w:hAnsi="Consolas"/>
          <w:color w:val="9A3412"/>
          <w:sz w:val="21"/>
          <w:szCs w:val="21"/>
        </w:rPr>
        <w:t>tkt-kc-dev-secrets</w:t>
      </w:r>
      <w:r>
        <w:rPr>
          <w:rFonts w:eastAsia="Calibri" w:cs="Calibri"/>
          <w:color w:val="1E1E1E"/>
          <w:sz w:val="21"/>
          <w:szCs w:val="21"/>
        </w:rPr>
        <w:t>) securely holds DB credentials and JWT signing keys. The ECS Task Execution Role injects these secrets directly as environment variables at task initialization.</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No credential is ever written into the Terraform state in plain text, committed to the Git repository, or baked into the container image. The ECS task definition references the Secrets Manager ARN, and IAM permissions on the Task Execution Role scope access to only that secret — the application code itself never calls the Secrets Manager API directly, which keeps secret retrieval entirely outside the application's own code path and reduces the chance of accidental logging or leakage.</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10. Frontend Deployment</w:t>
      </w:r>
    </w:p>
    <w:p>
      <w:pPr>
        <w:pStyle w:val="Normal"/>
        <w:spacing w:lineRule="auto" w:line="288" w:before="0" w:after="140"/>
        <w:rPr/>
      </w:pPr>
      <w:r>
        <w:rPr>
          <w:rFonts w:eastAsia="Calibri" w:cs="Calibri"/>
          <w:color w:val="1E1E1E"/>
          <w:sz w:val="21"/>
          <w:szCs w:val="21"/>
        </w:rPr>
        <w:t>React 18 single-page application, compiled with Vite, hosted on Amazon S3 static website hosting (</w:t>
      </w:r>
      <w:r>
        <w:rPr>
          <w:rFonts w:eastAsia="Consolas" w:cs="Consolas" w:ascii="Consolas" w:hAnsi="Consolas"/>
          <w:color w:val="9A3412"/>
          <w:sz w:val="21"/>
          <w:szCs w:val="21"/>
        </w:rPr>
        <w:t>tkt-kc-dev-web-6953e5ec</w:t>
      </w:r>
      <w:r>
        <w:rPr>
          <w:rFonts w:eastAsia="Calibri" w:cs="Calibri"/>
          <w:color w:val="1E1E1E"/>
          <w:sz w:val="21"/>
          <w:szCs w:val="21"/>
        </w:rPr>
        <w:t>). Bucket policies are configured for public read access.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Vite produces a fully static bundle of HTML, JavaScript, and CSS, which is well suited to S3 static website hosting: there is no server-side rendering step, so the frontend has no compute cost and scales automatically with S3's own request throughput. The GitHub Actions pipeline (Section 12) rebuilds and syncs this bundle on every push to the main branch, so the deployed frontend always reflects the latest merged code.</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11. AWS S3 Pre-Signed Upload Flow</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AWS SDK v2 S3Presigner generates 15-minute PUT URLs. S3 bucket CORS rules permit PUT, GET, and HEAD requests from browser origins.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A pre-signed URL is a normal S3 URL with a cryptographic signature and expiry embedded in its query string, generated server-side using credentials the browser never sees. Because the signature is scoped to a single object key and a short time window, an intercepted or reused URL has limited value to an attacker — it cannot be used to write to any other object, and it stops working after 15 minutes regardless of whether it was used. The CORS configuration on the attachments bucket is scoped specifically to allow the browser's PUT, GET, and HEAD verbs from the application's own origin, rather than a wildcard, so the bucket cannot be written to from an arbitrary third-party site.</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12. CI/CD Architecture</w:t>
      </w:r>
    </w:p>
    <w:p>
      <w:pPr>
        <w:pStyle w:val="Normal"/>
        <w:spacing w:lineRule="auto" w:line="288" w:before="0" w:after="140"/>
        <w:rPr/>
      </w:pPr>
      <w:r>
        <w:rPr>
          <w:rFonts w:eastAsia="Calibri" w:cs="Calibri"/>
          <w:color w:val="1E1E1E"/>
          <w:sz w:val="21"/>
          <w:szCs w:val="21"/>
        </w:rPr>
        <w:t>GitHub Actions pipeline (</w:t>
      </w:r>
      <w:r>
        <w:rPr>
          <w:rFonts w:eastAsia="Consolas" w:cs="Consolas" w:ascii="Consolas" w:hAnsi="Consolas"/>
          <w:color w:val="9A3412"/>
          <w:sz w:val="21"/>
          <w:szCs w:val="21"/>
        </w:rPr>
        <w:t>.github/workflows/deploy.yml</w:t>
      </w:r>
      <w:r>
        <w:rPr>
          <w:rFonts w:eastAsia="Calibri" w:cs="Calibri"/>
          <w:color w:val="1E1E1E"/>
          <w:sz w:val="21"/>
          <w:szCs w:val="21"/>
        </w:rPr>
        <w:t xml:space="preserve">) validates HCL formatting, runs JUnit 5 test suites, builds and syncs the frontend to S3, and builds/pushes Docker containers tagged </w:t>
      </w:r>
      <w:r>
        <w:rPr>
          <w:rFonts w:eastAsia="Consolas" w:cs="Consolas" w:ascii="Consolas" w:hAnsi="Consolas"/>
          <w:color w:val="9A3412"/>
          <w:sz w:val="21"/>
          <w:szCs w:val="21"/>
        </w:rPr>
        <w:t>:v1</w:t>
      </w:r>
      <w:r>
        <w:rPr>
          <w:rFonts w:eastAsia="Calibri" w:cs="Calibri"/>
          <w:color w:val="1E1E1E"/>
          <w:sz w:val="21"/>
          <w:szCs w:val="21"/>
        </w:rPr>
        <w:t xml:space="preserve"> and </w:t>
      </w:r>
      <w:r>
        <w:rPr>
          <w:rFonts w:eastAsia="Consolas" w:cs="Consolas" w:ascii="Consolas" w:hAnsi="Consolas"/>
          <w:color w:val="9A3412"/>
          <w:sz w:val="21"/>
          <w:szCs w:val="21"/>
        </w:rPr>
        <w:t>:latest</w:t>
      </w:r>
      <w:r>
        <w:rPr>
          <w:rFonts w:eastAsia="Calibri" w:cs="Calibri"/>
          <w:color w:val="1E1E1E"/>
          <w:sz w:val="21"/>
          <w:szCs w:val="21"/>
        </w:rPr>
        <w:t xml:space="preserve"> to ECR before triggering </w:t>
      </w:r>
      <w:r>
        <w:rPr>
          <w:rFonts w:eastAsia="Consolas" w:cs="Consolas" w:ascii="Consolas" w:hAnsi="Consolas"/>
          <w:color w:val="9A3412"/>
          <w:sz w:val="21"/>
          <w:szCs w:val="21"/>
        </w:rPr>
        <w:t>ecs update-service</w:t>
      </w:r>
      <w:r>
        <w:rPr>
          <w:rFonts w:eastAsia="Calibri" w:cs="Calibri"/>
          <w:color w:val="1E1E1E"/>
          <w:sz w:val="21"/>
          <w:szCs w:val="21"/>
        </w:rPr>
        <w:t>.</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pipeline is organized as a sequence of gates: Terraform formatting validation runs first and fails fast on malformed infrastructure code, followed by the JUnit 5 backend test suite, which must pass before any artifact is built. Only after both checks succeed does the pipeline build the frontend bundle, sync it to S3, build and tag the Docker image, push it to ECR, and finally call the ECS update-service API to roll the new revision out. Because ECS performs a rolling deployment against the existing task, and the Actuator health check gates traffic to the new task, this deployment path is designed to avoid downtime — the old task keeps serving requests until the new one reports healthy.</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13. CloudWatch &amp; Monitoring</w:t>
      </w:r>
    </w:p>
    <w:p>
      <w:pPr>
        <w:pStyle w:val="Normal"/>
        <w:spacing w:lineRule="auto" w:line="288" w:before="0" w:after="140"/>
        <w:rPr/>
      </w:pPr>
      <w:r>
        <w:rPr>
          <w:rFonts w:eastAsia="Calibri" w:cs="Calibri"/>
          <w:color w:val="1E1E1E"/>
          <w:sz w:val="21"/>
          <w:szCs w:val="21"/>
        </w:rPr>
        <w:t xml:space="preserve">Container stdout/stderr logs are aggregated under the CloudWatch log group </w:t>
      </w:r>
      <w:r>
        <w:rPr>
          <w:rFonts w:eastAsia="Consolas" w:cs="Consolas" w:ascii="Consolas" w:hAnsi="Consolas"/>
          <w:color w:val="9A3412"/>
          <w:sz w:val="21"/>
          <w:szCs w:val="21"/>
        </w:rPr>
        <w:t>/ecs/tkt-kc-dev-backend</w:t>
      </w:r>
      <w:r>
        <w:rPr>
          <w:rFonts w:eastAsia="Calibri" w:cs="Calibri"/>
          <w:color w:val="1E1E1E"/>
          <w:sz w:val="21"/>
          <w:szCs w:val="21"/>
        </w:rPr>
        <w:t>. Spring Boot Actuator endpoints monitor database health and memory pool state.</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Every ECS task writes its application logs to the same CloudWatch log group, giving a single, chronologically ordered view across task restarts and deployments rather than logs scattered per-instance. The Actuator endpoints expose structured health and metrics data (database connectivity, JVM memory pools, disk space) that can be polled by ECS for container health checks today, and are structured to be wired into CloudWatch Alarms or a dashboard in a future iteration without any code change.</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14. Security Implementation</w:t>
      </w:r>
    </w:p>
    <w:p>
      <w:pPr>
        <w:pStyle w:val="ListParagraph"/>
        <w:numPr>
          <w:ilvl w:val="0"/>
          <w:numId w:val="3"/>
        </w:numPr>
        <w:spacing w:lineRule="auto" w:line="276" w:before="0" w:after="80"/>
        <w:rPr/>
      </w:pPr>
      <w:r>
        <w:rPr>
          <w:rFonts w:eastAsia="Calibri" w:cs="Calibri"/>
          <w:color w:val="1E1E1E"/>
          <w:sz w:val="21"/>
          <w:szCs w:val="21"/>
        </w:rPr>
        <w:t>Stateless JWT authentication (HMAC-SHA256)</w:t>
      </w:r>
    </w:p>
    <w:p>
      <w:pPr>
        <w:pStyle w:val="ListParagraph"/>
        <w:numPr>
          <w:ilvl w:val="0"/>
          <w:numId w:val="3"/>
        </w:numPr>
        <w:spacing w:lineRule="auto" w:line="276" w:before="0" w:after="80"/>
        <w:rPr/>
      </w:pPr>
      <w:r>
        <w:rPr>
          <w:rFonts w:eastAsia="Calibri" w:cs="Calibri"/>
          <w:color w:val="1E1E1E"/>
          <w:sz w:val="21"/>
          <w:szCs w:val="21"/>
        </w:rPr>
        <w:t>BCrypt password hashing (strength 10)</w:t>
      </w:r>
    </w:p>
    <w:p>
      <w:pPr>
        <w:pStyle w:val="ListParagraph"/>
        <w:numPr>
          <w:ilvl w:val="0"/>
          <w:numId w:val="3"/>
        </w:numPr>
        <w:spacing w:lineRule="auto" w:line="276" w:before="0" w:after="80"/>
        <w:rPr/>
      </w:pPr>
      <w:r>
        <w:rPr>
          <w:rFonts w:eastAsia="Calibri" w:cs="Calibri"/>
          <w:color w:val="1E1E1E"/>
          <w:sz w:val="21"/>
          <w:szCs w:val="21"/>
        </w:rPr>
        <w:t>Spring Security 6 role-based access control</w:t>
      </w:r>
    </w:p>
    <w:p>
      <w:pPr>
        <w:pStyle w:val="Normal"/>
        <w:spacing w:lineRule="auto" w:line="288" w:before="0" w:after="140"/>
        <w:rPr/>
      </w:pPr>
      <w:r>
        <w:rPr>
          <w:rFonts w:eastAsia="Calibri" w:cs="Calibri"/>
          <w:color w:val="1E1E1E"/>
          <w:sz w:val="21"/>
          <w:szCs w:val="21"/>
        </w:rPr>
        <w:t xml:space="preserve">User-scoped ticket isolation: </w:t>
      </w:r>
      <w:r>
        <w:rPr>
          <w:rFonts w:eastAsia="Consolas" w:cs="Consolas" w:ascii="Consolas" w:hAnsi="Consolas"/>
          <w:color w:val="9A3412"/>
          <w:sz w:val="21"/>
          <w:szCs w:val="21"/>
        </w:rPr>
        <w:t>createdBy.id == currentUser.id</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Layered Security Model</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Security is enforced at multiple layers rather than relying on any single control. Network-level security groups (Section 5) restrict which components can even reach the backend or database. Application-level Spring Security intercepts every request, validates the JWT signature, and resolves the caller's role before any controller method executes. At the data-access layer, repository queries are explicitly parameterized by the authenticated user's ID for employee-scoped resources, so a role check that is accidentally skipped in a controller still cannot leak another user's tickets, because the query itself is scoped. BCrypt at strength 10 balances hashing cost against login latency, following the widely used default for this workload size.</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15. AWS Monthly Cost Estimate</w:t>
      </w:r>
    </w:p>
    <w:p>
      <w:pPr>
        <w:pStyle w:val="Normal"/>
        <w:spacing w:lineRule="auto" w:line="288" w:before="0" w:after="140"/>
        <w:rPr>
          <w:rFonts w:ascii="Calibri" w:hAnsi="Calibri" w:eastAsia="Calibri" w:cs="Calibri"/>
          <w:i/>
          <w:i/>
          <w:iCs/>
          <w:color w:val="1E1E1E"/>
          <w:sz w:val="21"/>
          <w:szCs w:val="21"/>
        </w:rPr>
      </w:pPr>
      <w:r>
        <w:rPr>
          <w:rFonts w:eastAsia="Calibri" w:cs="Calibri"/>
          <w:i/>
          <w:iCs/>
          <w:color w:val="1E1E1E"/>
          <w:sz w:val="21"/>
          <w:szCs w:val="21"/>
        </w:rPr>
        <w:t>The source figures for this section were not legible in the original document (the currency values were corrupted). Please confirm the actual amounts — placeholders are marked [TBC] below.</w:t>
      </w:r>
    </w:p>
    <w:tbl>
      <w:tblPr>
        <w:tblW w:w="5000" w:type="pct"/>
        <w:jc w:val="start"/>
        <w:tblInd w:w="0" w:type="dxa"/>
        <w:tblLayout w:type="fixed"/>
        <w:tblCellMar>
          <w:top w:w="100" w:type="dxa"/>
          <w:start w:w="120" w:type="dxa"/>
          <w:bottom w:w="100" w:type="dxa"/>
          <w:end w:w="120" w:type="dxa"/>
        </w:tblCellMar>
      </w:tblPr>
      <w:tblGrid>
        <w:gridCol w:w="5338"/>
        <w:gridCol w:w="4368"/>
      </w:tblGrid>
      <w:tr>
        <w:trPr>
          <w:tblHeader w:val="true"/>
        </w:trPr>
        <w:tc>
          <w:tcPr>
            <w:tcW w:w="5338"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Resource</w:t>
            </w:r>
          </w:p>
        </w:tc>
        <w:tc>
          <w:tcPr>
            <w:tcW w:w="4368"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Estimated Monthly Cost (USD)</w:t>
            </w:r>
          </w:p>
        </w:tc>
      </w:tr>
      <w:tr>
        <w:trPr/>
        <w:tc>
          <w:tcPr>
            <w:tcW w:w="533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ECS Fargate task (0.5 vCPU, 1 GB RAM)</w:t>
            </w:r>
          </w:p>
        </w:tc>
        <w:tc>
          <w:tcPr>
            <w:tcW w:w="436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$[TBC].50</w:t>
            </w:r>
          </w:p>
        </w:tc>
      </w:tr>
      <w:tr>
        <w:trPr/>
        <w:tc>
          <w:tcPr>
            <w:tcW w:w="533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Application Load Balancer</w:t>
            </w:r>
          </w:p>
        </w:tc>
        <w:tc>
          <w:tcPr>
            <w:tcW w:w="436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$[TBC].00</w:t>
            </w:r>
          </w:p>
        </w:tc>
      </w:tr>
      <w:tr>
        <w:trPr/>
        <w:tc>
          <w:tcPr>
            <w:tcW w:w="533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RDS MySQL Multi-AZ (db.t3.micro)</w:t>
            </w:r>
          </w:p>
        </w:tc>
        <w:tc>
          <w:tcPr>
            <w:tcW w:w="436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$[TBC].00</w:t>
            </w:r>
          </w:p>
        </w:tc>
      </w:tr>
      <w:tr>
        <w:trPr/>
        <w:tc>
          <w:tcPr>
            <w:tcW w:w="533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S3 buckets &amp; CloudWatch Logs</w:t>
            </w:r>
          </w:p>
        </w:tc>
        <w:tc>
          <w:tcPr>
            <w:tcW w:w="436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$[TBC].10</w:t>
            </w:r>
          </w:p>
        </w:tc>
      </w:tr>
      <w:tr>
        <w:trPr/>
        <w:tc>
          <w:tcPr>
            <w:tcW w:w="5338" w:type="dxa"/>
            <w:tcBorders>
              <w:top w:val="single" w:sz="2" w:space="0" w:color="C0C0C0"/>
              <w:start w:val="single" w:sz="2" w:space="0" w:color="C0C0C0"/>
              <w:bottom w:val="single" w:sz="2" w:space="0" w:color="C0C0C0"/>
              <w:end w:val="single" w:sz="2" w:space="0" w:color="C0C0C0"/>
            </w:tcBorders>
            <w:shd w:fill="EEF3FA" w:val="clear"/>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Total estimated monthly cost</w:t>
            </w:r>
          </w:p>
        </w:tc>
        <w:tc>
          <w:tcPr>
            <w:tcW w:w="4368" w:type="dxa"/>
            <w:tcBorders>
              <w:top w:val="single" w:sz="2" w:space="0" w:color="C0C0C0"/>
              <w:start w:val="single" w:sz="2" w:space="0" w:color="C0C0C0"/>
              <w:bottom w:val="single" w:sz="2" w:space="0" w:color="C0C0C0"/>
              <w:end w:val="single" w:sz="2" w:space="0" w:color="C0C0C0"/>
            </w:tcBorders>
            <w:shd w:fill="EEF3FA" w:val="clear"/>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$[TBC].60</w:t>
            </w:r>
          </w:p>
        </w:tc>
      </w:tr>
    </w:tbl>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Cost Control Approach</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Because the four resources above dominate the monthly bill, the team's cost strategy focused on keeping each right-sized for a proof of concept rather than a production load: the smallest Fargate task size that could run the Spring Boot application comfortably, a single db.t3.micro RDS instance rather than a larger class, and S3/CloudWatch usage that scales with actual traffic rather than a fixed reserved cost. Section 18 describes how the team also avoided any idle billing between test sessions by destroying the environment via Terraform when it was not actively being evaluated.</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16. Testing Results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83 backend classes compiled and verified cleanly via JUnit 5 (BUILD SUCCESS). Role-scoping and S3 pre-signed upload CORS policies were verified.</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JUnit 5 suite runs as a required step in the CI/CD pipeline (Section 12), so no change can reach the frontend sync or Docker build stages while a test is failing. Verification of role-scoping confirmed that an authenticated Employee could not retrieve another user's ticket by ID even when the request was otherwise well-formed, and CORS verification confirmed that pre-signed uploads succeed from the deployed frontend origin while being rejected from an arbitrary third-party origin, matching the bucket's configured CORS policy.</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17. Step-by-Step Deployment</w:t>
      </w:r>
    </w:p>
    <w:p>
      <w:pPr>
        <w:pStyle w:val="ListParagraph"/>
        <w:numPr>
          <w:ilvl w:val="0"/>
          <w:numId w:val="7"/>
        </w:numPr>
        <w:spacing w:lineRule="auto" w:line="276" w:before="0" w:after="80"/>
        <w:rPr/>
      </w:pPr>
      <w:r>
        <w:rPr>
          <w:rFonts w:eastAsia="Calibri" w:cs="Calibri"/>
          <w:color w:val="1E1E1E"/>
          <w:sz w:val="21"/>
          <w:szCs w:val="21"/>
        </w:rPr>
        <w:t xml:space="preserve">Run </w:t>
      </w:r>
      <w:r>
        <w:rPr>
          <w:rFonts w:eastAsia="Consolas" w:cs="Consolas" w:ascii="Consolas" w:hAnsi="Consolas"/>
          <w:color w:val="9A3412"/>
          <w:sz w:val="21"/>
          <w:szCs w:val="21"/>
        </w:rPr>
        <w:t>terraform apply -auto-approve</w:t>
      </w:r>
      <w:r>
        <w:rPr>
          <w:rFonts w:eastAsia="Calibri" w:cs="Calibri"/>
          <w:color w:val="1E1E1E"/>
          <w:sz w:val="21"/>
          <w:szCs w:val="21"/>
        </w:rPr>
        <w:t xml:space="preserve"> in </w:t>
      </w:r>
      <w:r>
        <w:rPr>
          <w:rFonts w:eastAsia="Consolas" w:cs="Consolas" w:ascii="Consolas" w:hAnsi="Consolas"/>
          <w:color w:val="9A3412"/>
          <w:sz w:val="21"/>
          <w:szCs w:val="21"/>
        </w:rPr>
        <w:t>infrastructure/terraform/</w:t>
      </w:r>
    </w:p>
    <w:p>
      <w:pPr>
        <w:pStyle w:val="ListParagraph"/>
        <w:numPr>
          <w:ilvl w:val="0"/>
          <w:numId w:val="2"/>
        </w:numPr>
        <w:spacing w:lineRule="auto" w:line="276" w:before="0" w:after="80"/>
        <w:rPr/>
      </w:pPr>
      <w:r>
        <w:rPr>
          <w:rFonts w:eastAsia="Calibri" w:cs="Calibri"/>
          <w:color w:val="1E1E1E"/>
          <w:sz w:val="21"/>
          <w:szCs w:val="21"/>
        </w:rPr>
        <w:t>Push code to GitHub (</w:t>
      </w:r>
      <w:r>
        <w:rPr>
          <w:rFonts w:eastAsia="Consolas" w:cs="Consolas" w:ascii="Consolas" w:hAnsi="Consolas"/>
          <w:color w:val="9A3412"/>
          <w:sz w:val="21"/>
          <w:szCs w:val="21"/>
        </w:rPr>
        <w:t>git push origin main</w:t>
      </w:r>
      <w:r>
        <w:rPr>
          <w:rFonts w:eastAsia="Calibri" w:cs="Calibri"/>
          <w:color w:val="1E1E1E"/>
          <w:sz w:val="21"/>
          <w:szCs w:val="21"/>
        </w:rPr>
        <w:t>) to trigger the GitHub Actions pipeline</w:t>
      </w:r>
    </w:p>
    <w:p>
      <w:pPr>
        <w:pStyle w:val="ListParagraph"/>
        <w:numPr>
          <w:ilvl w:val="0"/>
          <w:numId w:val="2"/>
        </w:numPr>
        <w:spacing w:lineRule="auto" w:line="276" w:before="0" w:after="80"/>
        <w:rPr/>
      </w:pPr>
      <w:r>
        <w:rPr>
          <w:rFonts w:eastAsia="Calibri" w:cs="Calibri"/>
          <w:color w:val="1E1E1E"/>
          <w:sz w:val="21"/>
          <w:szCs w:val="21"/>
        </w:rPr>
        <w:t>Access the live S3 web app and verify the ALB health endpoint</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Repeatability</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Because every resource is defined in Terraform and every deployment goes through the same GitHub Actions pipeline, these three steps are sufficient to bring the entire environment up from nothing — there is no manual console configuration step required at any point. This was verified by the team performing a full destroy-and-recreate cycle (Section 18) and confirming the application was reachable and functioned identically afterward.</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18. Terraform Destroy Evidence</w:t>
      </w:r>
    </w:p>
    <w:p>
      <w:pPr>
        <w:pStyle w:val="Normal"/>
        <w:spacing w:lineRule="auto" w:line="288" w:before="0" w:after="140"/>
        <w:rPr/>
      </w:pPr>
      <w:r>
        <w:rPr>
          <w:rFonts w:eastAsia="Calibri" w:cs="Calibri"/>
          <w:color w:val="1E1E1E"/>
          <w:sz w:val="21"/>
          <w:szCs w:val="21"/>
        </w:rPr>
        <w:t xml:space="preserve">Successfully destroyed 32 AWS resources using </w:t>
      </w:r>
      <w:r>
        <w:rPr>
          <w:rFonts w:eastAsia="Consolas" w:cs="Consolas" w:ascii="Consolas" w:hAnsi="Consolas"/>
          <w:color w:val="9A3412"/>
          <w:sz w:val="21"/>
          <w:szCs w:val="21"/>
        </w:rPr>
        <w:t>terraform destroy -auto-approve</w:t>
      </w:r>
      <w:r>
        <w:rPr>
          <w:rFonts w:eastAsia="Calibri" w:cs="Calibri"/>
          <w:color w:val="1E1E1E"/>
          <w:sz w:val="21"/>
          <w:szCs w:val="21"/>
        </w:rPr>
        <w:t xml:space="preserve"> after emptying S3 buckets, with zero leftover billing footprint.</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S3 buckets must be emptied before Terraform can delete them, since a non-empty bucket will otherwise cause the destroy operation to fail partway through; the team accounted for this by clearing bucket contents as a pre-destroy step. Confirming a clean destroy — with no orphaned ENIs, EBS volumes, or load balancers left behind — was an important part of validating that the environment could be spun up and torn down repeatably without accumulating cost or configuration drift between test cycles.</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19. Problems Encountered &amp; Root-Cause Solutions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following issues surfaced during development and testing. Each is listed with its root cause and the concrete fix applied, since understanding why an issue occurred was treated as equally important to resolving it.</w:t>
      </w:r>
    </w:p>
    <w:tbl>
      <w:tblPr>
        <w:tblW w:w="5000" w:type="pct"/>
        <w:jc w:val="start"/>
        <w:tblInd w:w="0" w:type="dxa"/>
        <w:tblLayout w:type="fixed"/>
        <w:tblCellMar>
          <w:top w:w="100" w:type="dxa"/>
          <w:start w:w="120" w:type="dxa"/>
          <w:bottom w:w="100" w:type="dxa"/>
          <w:end w:w="120" w:type="dxa"/>
        </w:tblCellMar>
      </w:tblPr>
      <w:tblGrid>
        <w:gridCol w:w="3300"/>
        <w:gridCol w:w="6406"/>
      </w:tblGrid>
      <w:tr>
        <w:trPr>
          <w:tblHeader w:val="true"/>
        </w:trPr>
        <w:tc>
          <w:tcPr>
            <w:tcW w:w="3300"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Problem</w:t>
            </w:r>
          </w:p>
        </w:tc>
        <w:tc>
          <w:tcPr>
            <w:tcW w:w="6406"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Root Cause / Resolution</w:t>
            </w:r>
          </w:p>
        </w:tc>
      </w:tr>
      <w:tr>
        <w:trPr/>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S3 attachment CORS failure</w:t>
            </w:r>
          </w:p>
        </w:tc>
        <w:tc>
          <w:tcPr>
            <w:tcW w:w="640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pPr>
            <w:r>
              <w:rPr>
                <w:rFonts w:eastAsia="Calibri" w:cs="Calibri"/>
                <w:sz w:val="20"/>
                <w:szCs w:val="20"/>
              </w:rPr>
              <w:t xml:space="preserve">Added </w:t>
            </w:r>
            <w:r>
              <w:rPr>
                <w:rFonts w:eastAsia="Consolas" w:cs="Consolas" w:ascii="Consolas" w:hAnsi="Consolas"/>
                <w:color w:val="9A3412"/>
                <w:sz w:val="20"/>
                <w:szCs w:val="20"/>
              </w:rPr>
              <w:t>aws_s3_bucket_cors_configuration</w:t>
            </w:r>
            <w:r>
              <w:rPr>
                <w:rFonts w:eastAsia="Calibri" w:cs="Calibri"/>
                <w:sz w:val="20"/>
                <w:szCs w:val="20"/>
              </w:rPr>
              <w:t xml:space="preserve"> allowing PUT, GET, HEAD from the web origin.</w:t>
            </w:r>
          </w:p>
        </w:tc>
      </w:tr>
      <w:tr>
        <w:trPr/>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ECS missing attachment bucket variable</w:t>
            </w:r>
          </w:p>
        </w:tc>
        <w:tc>
          <w:tcPr>
            <w:tcW w:w="640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pPr>
            <w:r>
              <w:rPr>
                <w:rFonts w:eastAsia="Calibri" w:cs="Calibri"/>
                <w:sz w:val="20"/>
                <w:szCs w:val="20"/>
              </w:rPr>
              <w:t xml:space="preserve">Updated the ECS Terraform task definition to pass </w:t>
            </w:r>
            <w:r>
              <w:rPr>
                <w:rFonts w:eastAsia="Consolas" w:cs="Consolas" w:ascii="Consolas" w:hAnsi="Consolas"/>
                <w:color w:val="9A3412"/>
                <w:sz w:val="20"/>
                <w:szCs w:val="20"/>
              </w:rPr>
              <w:t>AWS_S3_ATTACHMENT_BUCKET</w:t>
            </w:r>
            <w:r>
              <w:rPr>
                <w:rFonts w:eastAsia="Calibri" w:cs="Calibri"/>
                <w:sz w:val="20"/>
                <w:szCs w:val="20"/>
              </w:rPr>
              <w:t>.</w:t>
            </w:r>
          </w:p>
        </w:tc>
      </w:tr>
      <w:tr>
        <w:trPr/>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Un-parameterized JPQL query fallback</w:t>
            </w:r>
          </w:p>
        </w:tc>
        <w:tc>
          <w:tcPr>
            <w:tcW w:w="640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pPr>
            <w:r>
              <w:rPr>
                <w:rFonts w:eastAsia="Calibri" w:cs="Calibri"/>
                <w:sz w:val="20"/>
                <w:szCs w:val="20"/>
              </w:rPr>
              <w:t xml:space="preserve">Added explicit </w:t>
            </w:r>
            <w:r>
              <w:rPr>
                <w:rFonts w:eastAsia="Consolas" w:cs="Consolas" w:ascii="Consolas" w:hAnsi="Consolas"/>
                <w:color w:val="9A3412"/>
                <w:sz w:val="20"/>
                <w:szCs w:val="20"/>
              </w:rPr>
              <w:t>@Param('userId')</w:t>
            </w:r>
            <w:r>
              <w:rPr>
                <w:rFonts w:eastAsia="Calibri" w:cs="Calibri"/>
                <w:sz w:val="20"/>
                <w:szCs w:val="20"/>
              </w:rPr>
              <w:t xml:space="preserve"> annotations to query methods in </w:t>
            </w:r>
            <w:r>
              <w:rPr>
                <w:rFonts w:eastAsia="Consolas" w:cs="Consolas" w:ascii="Consolas" w:hAnsi="Consolas"/>
                <w:color w:val="9A3412"/>
                <w:sz w:val="20"/>
                <w:szCs w:val="20"/>
              </w:rPr>
              <w:t>TicketRepository.java</w:t>
            </w:r>
            <w:r>
              <w:rPr>
                <w:rFonts w:eastAsia="Calibri" w:cs="Calibri"/>
                <w:sz w:val="20"/>
                <w:szCs w:val="20"/>
              </w:rPr>
              <w:t>.</w:t>
            </w:r>
          </w:p>
        </w:tc>
      </w:tr>
      <w:tr>
        <w:trPr/>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Docker tag mismatch in ECS</w:t>
            </w:r>
          </w:p>
        </w:tc>
        <w:tc>
          <w:tcPr>
            <w:tcW w:w="640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pPr>
            <w:r>
              <w:rPr>
                <w:rFonts w:eastAsia="Calibri" w:cs="Calibri"/>
                <w:sz w:val="20"/>
                <w:szCs w:val="20"/>
              </w:rPr>
              <w:t xml:space="preserve">Updated </w:t>
            </w:r>
            <w:r>
              <w:rPr>
                <w:rFonts w:eastAsia="Consolas" w:cs="Consolas" w:ascii="Consolas" w:hAnsi="Consolas"/>
                <w:color w:val="9A3412"/>
                <w:sz w:val="20"/>
                <w:szCs w:val="20"/>
              </w:rPr>
              <w:t>deploy.yml</w:t>
            </w:r>
            <w:r>
              <w:rPr>
                <w:rFonts w:eastAsia="Calibri" w:cs="Calibri"/>
                <w:sz w:val="20"/>
                <w:szCs w:val="20"/>
              </w:rPr>
              <w:t xml:space="preserve"> to tag and push :v1 alongside :latest to match task definition 4.</w:t>
            </w:r>
          </w:p>
        </w:tc>
      </w:tr>
      <w:tr>
        <w:trPr/>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Vite API base URL fallback</w:t>
            </w:r>
          </w:p>
        </w:tc>
        <w:tc>
          <w:tcPr>
            <w:tcW w:w="640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pPr>
            <w:r>
              <w:rPr>
                <w:rFonts w:eastAsia="Calibri" w:cs="Calibri"/>
                <w:sz w:val="20"/>
                <w:szCs w:val="20"/>
              </w:rPr>
              <w:t xml:space="preserve">Set a fallback in </w:t>
            </w:r>
            <w:r>
              <w:rPr>
                <w:rFonts w:eastAsia="Consolas" w:cs="Consolas" w:ascii="Consolas" w:hAnsi="Consolas"/>
                <w:color w:val="9A3412"/>
                <w:sz w:val="20"/>
                <w:szCs w:val="20"/>
              </w:rPr>
              <w:t>axiosInstance.js</w:t>
            </w:r>
            <w:r>
              <w:rPr>
                <w:rFonts w:eastAsia="Calibri" w:cs="Calibri"/>
                <w:sz w:val="20"/>
                <w:szCs w:val="20"/>
              </w:rPr>
              <w:t xml:space="preserve"> to the live ALB DNS endpoint.</w:t>
            </w:r>
          </w:p>
        </w:tc>
      </w:tr>
    </w:tbl>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Lessons Carried Forward</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Several of these issues share a common thread: configuration that is correct in isolation but incomplete once services are wired together — a CORS policy that was fine for same-origin testing but not for the deployed frontend origin, or a task definition that worked until a new environment variable was introduced. The team's response was to make these dependencies explicit in Terraform and in the pipeline itself, rather than relying on manual configuration, so that a future contributor reproducing the environment from scratch would not need to rediscover the same fixes.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20. Individual Contribution Mapping (60 Marks Allocation)</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Formal contribution mapping for all five team members:</w:t>
      </w:r>
    </w:p>
    <w:tbl>
      <w:tblPr>
        <w:tblW w:w="5050" w:type="pct"/>
        <w:jc w:val="start"/>
        <w:tblInd w:w="0" w:type="dxa"/>
        <w:tblLayout w:type="fixed"/>
        <w:tblCellMar>
          <w:top w:w="100" w:type="dxa"/>
          <w:start w:w="120" w:type="dxa"/>
          <w:bottom w:w="100" w:type="dxa"/>
          <w:end w:w="120" w:type="dxa"/>
        </w:tblCellMar>
      </w:tblPr>
      <w:tblGrid>
        <w:gridCol w:w="937"/>
        <w:gridCol w:w="1246"/>
        <w:gridCol w:w="1410"/>
        <w:gridCol w:w="3218"/>
        <w:gridCol w:w="2992"/>
      </w:tblGrid>
      <w:tr>
        <w:trPr>
          <w:tblHeader w:val="true"/>
        </w:trPr>
        <w:tc>
          <w:tcPr>
            <w:tcW w:w="937"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Member</w:t>
            </w:r>
          </w:p>
        </w:tc>
        <w:tc>
          <w:tcPr>
            <w:tcW w:w="1246"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Role</w:t>
            </w:r>
          </w:p>
        </w:tc>
        <w:tc>
          <w:tcPr>
            <w:tcW w:w="1410"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Evaluation Area</w:t>
            </w:r>
          </w:p>
        </w:tc>
        <w:tc>
          <w:tcPr>
            <w:tcW w:w="3218"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Module / Files</w:t>
            </w:r>
          </w:p>
        </w:tc>
        <w:tc>
          <w:tcPr>
            <w:tcW w:w="2992"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Contribution Summary</w:t>
            </w:r>
          </w:p>
        </w:tc>
      </w:tr>
      <w:tr>
        <w:trPr/>
        <w:tc>
          <w:tcPr>
            <w:tcW w:w="937"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Kasiviswanadham</w:t>
            </w:r>
          </w:p>
        </w:tc>
        <w:tc>
          <w:tcPr>
            <w:tcW w:w="124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Lead Cloud Architect &amp; DevOps Lead</w:t>
            </w:r>
          </w:p>
        </w:tc>
        <w:tc>
          <w:tcPr>
            <w:tcW w:w="141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IaC, Terraform, VPC, ECS Fargate</w:t>
            </w:r>
          </w:p>
        </w:tc>
        <w:tc>
          <w:tcPr>
            <w:tcW w:w="321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infrastructure/terraform/, modules/vpc/, modules/ecs/</w:t>
            </w:r>
          </w:p>
        </w:tc>
        <w:tc>
          <w:tcPr>
            <w:tcW w:w="299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Designed the Multi-AZ VPC network (public/private/database subnets, ALB, NAT Gateways); created the ECS Fargate service and task definitions; managed Secrets Manager integration and the terraform destroy lifecycle.</w:t>
            </w:r>
          </w:p>
        </w:tc>
      </w:tr>
      <w:tr>
        <w:trPr/>
        <w:tc>
          <w:tcPr>
            <w:tcW w:w="937"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lang w:val="en-US"/>
              </w:rPr>
            </w:pPr>
            <w:r>
              <w:rPr>
                <w:rFonts w:cs="Calibri"/>
                <w:b/>
                <w:bCs/>
                <w:color w:val="1E1E1E"/>
                <w:sz w:val="20"/>
                <w:szCs w:val="20"/>
                <w:lang w:val="en-US"/>
              </w:rPr>
              <w:t>B</w:t>
            </w:r>
            <w:r>
              <w:rPr>
                <w:rFonts w:eastAsia="Calibri" w:cs="Calibri"/>
                <w:b/>
                <w:bCs/>
                <w:color w:val="1E1E1E"/>
                <w:sz w:val="20"/>
                <w:szCs w:val="20"/>
              </w:rPr>
              <w:t>h</w:t>
            </w:r>
            <w:r>
              <w:rPr>
                <w:rFonts w:cs="Calibri"/>
                <w:b/>
                <w:bCs/>
                <w:color w:val="1E1E1E"/>
                <w:sz w:val="20"/>
                <w:szCs w:val="20"/>
                <w:lang w:val="en-US"/>
              </w:rPr>
              <w:t>anu</w:t>
            </w:r>
          </w:p>
        </w:tc>
        <w:tc>
          <w:tcPr>
            <w:tcW w:w="124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Cloud Security &amp; Database Specialist</w:t>
            </w:r>
          </w:p>
        </w:tc>
        <w:tc>
          <w:tcPr>
            <w:tcW w:w="141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RDS MySQL, Secrets Manager, IAM/JWT security, Multi-AZ configuration</w:t>
            </w:r>
          </w:p>
        </w:tc>
        <w:tc>
          <w:tcPr>
            <w:tcW w:w="321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backend/.../security/, backend/.../service/, backend/.../db/migration/</w:t>
            </w:r>
          </w:p>
        </w:tc>
        <w:tc>
          <w:tcPr>
            <w:tcW w:w="299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Implemented Spring Security 6 stateless JWT authentication, password hashing, and role authorization (ROLE_ADMIN, ROLE_SUPPORT_ENGINEER, ROLE_EMPLOYEE); authored Flyway migration scripts (V1, V2).</w:t>
            </w:r>
          </w:p>
        </w:tc>
      </w:tr>
      <w:tr>
        <w:trPr/>
        <w:tc>
          <w:tcPr>
            <w:tcW w:w="937"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lang w:val="en-US"/>
              </w:rPr>
            </w:pPr>
            <w:r>
              <w:rPr>
                <w:rFonts w:cs="Calibri"/>
                <w:b/>
                <w:bCs/>
                <w:color w:val="1E1E1E"/>
                <w:sz w:val="20"/>
                <w:szCs w:val="20"/>
                <w:lang w:val="en-US"/>
              </w:rPr>
              <w:t>Koushik</w:t>
            </w:r>
          </w:p>
        </w:tc>
        <w:tc>
          <w:tcPr>
            <w:tcW w:w="124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Cloud Storage &amp; Access Engineer</w:t>
            </w:r>
          </w:p>
        </w:tc>
        <w:tc>
          <w:tcPr>
            <w:tcW w:w="141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S3 integration, pre-signed URL generation, storage security &amp; CORS</w:t>
            </w:r>
          </w:p>
        </w:tc>
        <w:tc>
          <w:tcPr>
            <w:tcW w:w="321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AttachmentServiceImpl.java, terraform/modules/s3/, AttachmentController.java</w:t>
            </w:r>
          </w:p>
        </w:tc>
        <w:tc>
          <w:tcPr>
            <w:tcW w:w="299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Developed the direct AWS S3 pre-signed upload/download service using AWS SDK v2 S3Presigner; configured S3 bucket policies, public website hosting, and CORS rules in Terraform; managed attachment metadata persistence and file validation in MySQL.</w:t>
            </w:r>
          </w:p>
        </w:tc>
      </w:tr>
      <w:tr>
        <w:trPr/>
        <w:tc>
          <w:tcPr>
            <w:tcW w:w="937"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Kavya</w:t>
            </w:r>
          </w:p>
        </w:tc>
        <w:tc>
          <w:tcPr>
            <w:tcW w:w="124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Cloud Application Delivery &amp; UX Engineer</w:t>
            </w:r>
          </w:p>
        </w:tc>
        <w:tc>
          <w:tcPr>
            <w:tcW w:w="141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S3 static website hosting, CDN-ready deployment, application UX</w:t>
            </w:r>
          </w:p>
        </w:tc>
        <w:tc>
          <w:tcPr>
            <w:tcW w:w="321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frontend/src/pages/, frontend/src/components/, frontend/src/index.css, frontend/src/api/</w:t>
            </w:r>
          </w:p>
        </w:tc>
        <w:tc>
          <w:tcPr>
            <w:tcW w:w="299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Built the React 18 single-page application with a Linear/Stripe-inspired design system; implemented role-based page protection (ProtectedRoute), interactive Recharts dashboard graphs, file-upload dropzones, password visibility toggles, and the product landing screen.</w:t>
            </w:r>
          </w:p>
        </w:tc>
      </w:tr>
      <w:tr>
        <w:trPr/>
        <w:tc>
          <w:tcPr>
            <w:tcW w:w="937"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Shashank</w:t>
            </w:r>
          </w:p>
        </w:tc>
        <w:tc>
          <w:tcPr>
            <w:tcW w:w="124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Cloud CI/CD &amp; Automation Engineer</w:t>
            </w:r>
          </w:p>
        </w:tc>
        <w:tc>
          <w:tcPr>
            <w:tcW w:w="141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GitHub Actions AWS deployment pipeline, ECS/ECR automation, verification</w:t>
            </w:r>
          </w:p>
        </w:tc>
        <w:tc>
          <w:tcPr>
            <w:tcW w:w="321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.github/workflows/deploy.yml, backend/.../repository/, backend/.../test/</w:t>
            </w:r>
          </w:p>
        </w:tc>
        <w:tc>
          <w:tcPr>
            <w:tcW w:w="299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Authored the GitHub Actions pipeline for automated S3 sync, Docker builds, and ECS deployments; added explicit @Param('userId') annotations to TicketRepository.java query methods to enforce role-isolated ticket scoping; coordinated the JUnit 5 test suite (83 backend classes) verifying role-scoping and CORS policies.</w:t>
            </w:r>
          </w:p>
        </w:tc>
      </w:tr>
    </w:tbl>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Summary</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 xml:space="preserve">Across the five contributors, the team covered infrastructure and DevOps, backend security and data, storage and integration, frontend delivery, and CI/CD pipeline automation with testing — five evenly balanced disciplines needed to take a proof of concept from design through a working, deployed, and repeatably provisioned system. The sections above document that </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system in the order a reviewer would typically want to evaluate it: what it does, how it is architected, how it is built and deployed, how it is secured, what it costs to run, and how the work was distributed across the team.</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Appendix A: Technology Stack Summary</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table below consolidates the primary technologies referenced throughout this document into a single reference, grouped by layer.</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tbl>
      <w:tblPr>
        <w:tblW w:w="5000" w:type="pct"/>
        <w:jc w:val="start"/>
        <w:tblInd w:w="0" w:type="dxa"/>
        <w:tblLayout w:type="fixed"/>
        <w:tblCellMar>
          <w:top w:w="100" w:type="dxa"/>
          <w:start w:w="120" w:type="dxa"/>
          <w:bottom w:w="100" w:type="dxa"/>
          <w:end w:w="120" w:type="dxa"/>
        </w:tblCellMar>
      </w:tblPr>
      <w:tblGrid>
        <w:gridCol w:w="2523"/>
        <w:gridCol w:w="3300"/>
        <w:gridCol w:w="3883"/>
      </w:tblGrid>
      <w:tr>
        <w:trPr>
          <w:tblHeader w:val="true"/>
        </w:trPr>
        <w:tc>
          <w:tcPr>
            <w:tcW w:w="2523"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Layer</w:t>
            </w:r>
          </w:p>
        </w:tc>
        <w:tc>
          <w:tcPr>
            <w:tcW w:w="3300"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Technology</w:t>
            </w:r>
          </w:p>
        </w:tc>
        <w:tc>
          <w:tcPr>
            <w:tcW w:w="3883"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Notes</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Frontend framework</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React 18</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Compiled with Vite; deployed as a static bundle</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Frontend charts</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Recharts</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Interactive SLA and analytics visualizations</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Backend framework</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Spring Boot 3</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REST API, runs on Java 21 (eclipse-temurin)</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Security</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Spring Security 6</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Stateless JWT (HMAC-SHA256), BCrypt password hashing</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Database</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MySQL 8.0.35</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RDS, Multi-AZ, db.t3.micro</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Schema migrations</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Flyway</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Versioned SQL migrations applied automatically at startup</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Containerization</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Docker (multi-stage)</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eclipse-temurin:21-jre-alpine runtime image</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Container orchestration</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ECS Fargate</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Serverless container execution, no EC2 to manage</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Infrastructure as Code</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Terraform (HCL)</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Modularized under infrastructure/terraform/</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CI/CD</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GitHub Actions</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Test, build, and deploy pipeline (.github/workflows/deploy.yml)</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Object storage</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S3</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Static website hosting and pre-signed attachment uploads</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Secrets</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Secrets Manager</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DB credentials and JWT signing keys</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Observability</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CloudWatch Logs</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Centralized container log aggregation</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Testing</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JUnit 5</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83 backend classes verified in CI</w:t>
            </w:r>
          </w:p>
        </w:tc>
      </w:tr>
    </w:tbl>
    <w:p>
      <w:pPr>
        <w:pStyle w:val="Normal"/>
        <w:spacing w:lineRule="auto" w:line="288" w:before="0" w:after="140"/>
        <w:rPr>
          <w:rFonts w:ascii="Calibri" w:hAnsi="Calibri" w:eastAsia="Calibri" w:cs="Calibri"/>
          <w:i/>
          <w:i/>
          <w:iCs/>
          <w:color w:val="1E1E1E"/>
          <w:sz w:val="21"/>
          <w:szCs w:val="21"/>
        </w:rPr>
      </w:pPr>
      <w:r>
        <w:rPr>
          <w:rFonts w:eastAsia="Calibri" w:cs="Calibri"/>
          <w:i/>
          <w:iCs/>
          <w:color w:val="1E1E1E"/>
          <w:sz w:val="21"/>
          <w:szCs w:val="21"/>
        </w:rPr>
        <w:t>Together, this stack was selected to keep every layer either fully managed by AWS or fully defined as code, so that the proof of concept could be reproduced, evaluated, and torn down repeatably with minimal manual intervention.</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Appendix B: Glossary of Terms</w:t>
      </w:r>
    </w:p>
    <w:p>
      <w:pPr>
        <w:pStyle w:val="ListParagraph"/>
        <w:numPr>
          <w:ilvl w:val="0"/>
          <w:numId w:val="3"/>
        </w:numPr>
        <w:spacing w:lineRule="auto" w:line="276" w:before="0" w:after="80"/>
        <w:rPr/>
      </w:pPr>
      <w:r>
        <w:rPr>
          <w:rFonts w:eastAsia="Calibri" w:cs="Calibri"/>
          <w:b/>
          <w:bCs/>
          <w:color w:val="1F3864"/>
          <w:sz w:val="21"/>
          <w:szCs w:val="21"/>
        </w:rPr>
        <w:t xml:space="preserve">ALB (Application Load Balancer) — </w:t>
      </w:r>
      <w:r>
        <w:rPr>
          <w:rFonts w:eastAsia="Calibri" w:cs="Calibri"/>
          <w:color w:val="1E1E1E"/>
          <w:sz w:val="21"/>
          <w:szCs w:val="21"/>
        </w:rPr>
        <w:t>an AWS-managed layer 7 load balancer that distributes incoming HTTP traffic across backend targets.</w:t>
      </w:r>
    </w:p>
    <w:p>
      <w:pPr>
        <w:pStyle w:val="ListParagraph"/>
        <w:numPr>
          <w:ilvl w:val="0"/>
          <w:numId w:val="3"/>
        </w:numPr>
        <w:spacing w:lineRule="auto" w:line="276" w:before="0" w:after="80"/>
        <w:rPr/>
      </w:pPr>
      <w:r>
        <w:rPr>
          <w:rFonts w:eastAsia="Calibri" w:cs="Calibri"/>
          <w:b/>
          <w:bCs/>
          <w:color w:val="1F3864"/>
          <w:sz w:val="21"/>
          <w:szCs w:val="21"/>
        </w:rPr>
        <w:t xml:space="preserve">CIDR block — </w:t>
      </w:r>
      <w:r>
        <w:rPr>
          <w:rFonts w:eastAsia="Calibri" w:cs="Calibri"/>
          <w:color w:val="1E1E1E"/>
          <w:sz w:val="21"/>
          <w:szCs w:val="21"/>
        </w:rPr>
        <w:t>a notation (e.g. 10.0.0.0/16) describing a range of IP addresses assigned to a network or subnet.</w:t>
      </w:r>
    </w:p>
    <w:p>
      <w:pPr>
        <w:pStyle w:val="ListParagraph"/>
        <w:numPr>
          <w:ilvl w:val="0"/>
          <w:numId w:val="3"/>
        </w:numPr>
        <w:spacing w:lineRule="auto" w:line="276" w:before="0" w:after="80"/>
        <w:rPr/>
      </w:pPr>
      <w:r>
        <w:rPr>
          <w:rFonts w:eastAsia="Calibri" w:cs="Calibri"/>
          <w:b/>
          <w:bCs/>
          <w:color w:val="1F3864"/>
          <w:sz w:val="21"/>
          <w:szCs w:val="21"/>
        </w:rPr>
        <w:t xml:space="preserve">CORS (Cross-Origin Resource Sharing) — </w:t>
      </w:r>
      <w:r>
        <w:rPr>
          <w:rFonts w:eastAsia="Calibri" w:cs="Calibri"/>
          <w:color w:val="1E1E1E"/>
          <w:sz w:val="21"/>
          <w:szCs w:val="21"/>
        </w:rPr>
        <w:t>a browser security mechanism that restricts which origins may make requests to a given resource, configured here on the S3 attachments bucket.</w:t>
      </w:r>
    </w:p>
    <w:p>
      <w:pPr>
        <w:pStyle w:val="ListParagraph"/>
        <w:numPr>
          <w:ilvl w:val="0"/>
          <w:numId w:val="3"/>
        </w:numPr>
        <w:spacing w:lineRule="auto" w:line="276" w:before="0" w:after="80"/>
        <w:rPr/>
      </w:pPr>
      <w:r>
        <w:rPr>
          <w:rFonts w:eastAsia="Calibri" w:cs="Calibri"/>
          <w:b/>
          <w:bCs/>
          <w:color w:val="1F3864"/>
          <w:sz w:val="21"/>
          <w:szCs w:val="21"/>
        </w:rPr>
        <w:t xml:space="preserve">ECR (Elastic Container Registry) — </w:t>
      </w:r>
      <w:r>
        <w:rPr>
          <w:rFonts w:eastAsia="Calibri" w:cs="Calibri"/>
          <w:color w:val="1E1E1E"/>
          <w:sz w:val="21"/>
          <w:szCs w:val="21"/>
        </w:rPr>
        <w:t>AWS's managed Docker image registry, used here to store versioned backend images.</w:t>
      </w:r>
    </w:p>
    <w:p>
      <w:pPr>
        <w:pStyle w:val="ListParagraph"/>
        <w:numPr>
          <w:ilvl w:val="0"/>
          <w:numId w:val="3"/>
        </w:numPr>
        <w:spacing w:lineRule="auto" w:line="276" w:before="0" w:after="80"/>
        <w:rPr/>
      </w:pPr>
      <w:r>
        <w:rPr>
          <w:rFonts w:eastAsia="Calibri" w:cs="Calibri"/>
          <w:b/>
          <w:bCs/>
          <w:color w:val="1F3864"/>
          <w:sz w:val="21"/>
          <w:szCs w:val="21"/>
        </w:rPr>
        <w:t xml:space="preserve">ECS Fargate — </w:t>
      </w:r>
      <w:r>
        <w:rPr>
          <w:rFonts w:eastAsia="Calibri" w:cs="Calibri"/>
          <w:color w:val="1E1E1E"/>
          <w:sz w:val="21"/>
          <w:szCs w:val="21"/>
        </w:rPr>
        <w:t>a serverless compute engine for containers that removes the need to provision or manage the underlying EC2 instances.</w:t>
      </w:r>
    </w:p>
    <w:p>
      <w:pPr>
        <w:pStyle w:val="ListParagraph"/>
        <w:numPr>
          <w:ilvl w:val="0"/>
          <w:numId w:val="3"/>
        </w:numPr>
        <w:spacing w:lineRule="auto" w:line="276" w:before="0" w:after="80"/>
        <w:rPr/>
      </w:pPr>
      <w:r>
        <w:rPr>
          <w:rFonts w:eastAsia="Calibri" w:cs="Calibri"/>
          <w:b/>
          <w:bCs/>
          <w:color w:val="1F3864"/>
          <w:sz w:val="21"/>
          <w:szCs w:val="21"/>
        </w:rPr>
        <w:t xml:space="preserve">Flyway — </w:t>
      </w:r>
      <w:r>
        <w:rPr>
          <w:rFonts w:eastAsia="Calibri" w:cs="Calibri"/>
          <w:color w:val="1E1E1E"/>
          <w:sz w:val="21"/>
          <w:szCs w:val="21"/>
        </w:rPr>
        <w:t>a database migration tool that applies versioned SQL scripts automatically, keeping schema changes tracked alongside application code.</w:t>
      </w:r>
    </w:p>
    <w:p>
      <w:pPr>
        <w:pStyle w:val="ListParagraph"/>
        <w:numPr>
          <w:ilvl w:val="0"/>
          <w:numId w:val="3"/>
        </w:numPr>
        <w:spacing w:lineRule="auto" w:line="276" w:before="0" w:after="80"/>
        <w:rPr/>
      </w:pPr>
      <w:r>
        <w:rPr>
          <w:rFonts w:eastAsia="Calibri" w:cs="Calibri"/>
          <w:b/>
          <w:bCs/>
          <w:color w:val="1F3864"/>
          <w:sz w:val="21"/>
          <w:szCs w:val="21"/>
        </w:rPr>
        <w:t xml:space="preserve">HMAC-SHA256 — </w:t>
      </w:r>
      <w:r>
        <w:rPr>
          <w:rFonts w:eastAsia="Calibri" w:cs="Calibri"/>
          <w:color w:val="1E1E1E"/>
          <w:sz w:val="21"/>
          <w:szCs w:val="21"/>
        </w:rPr>
        <w:t>a cryptographic algorithm used here to sign and verify JWTs, ensuring a token cannot be forged or altered without detection.</w:t>
      </w:r>
    </w:p>
    <w:p>
      <w:pPr>
        <w:pStyle w:val="ListParagraph"/>
        <w:numPr>
          <w:ilvl w:val="0"/>
          <w:numId w:val="3"/>
        </w:numPr>
        <w:spacing w:lineRule="auto" w:line="276" w:before="0" w:after="80"/>
        <w:rPr/>
      </w:pPr>
      <w:r>
        <w:rPr>
          <w:rFonts w:eastAsia="Calibri" w:cs="Calibri"/>
          <w:b/>
          <w:bCs/>
          <w:color w:val="1F3864"/>
          <w:sz w:val="21"/>
          <w:szCs w:val="21"/>
        </w:rPr>
        <w:t xml:space="preserve">IaC (Infrastructure as Code) — </w:t>
      </w:r>
      <w:r>
        <w:rPr>
          <w:rFonts w:eastAsia="Calibri" w:cs="Calibri"/>
          <w:color w:val="1E1E1E"/>
          <w:sz w:val="21"/>
          <w:szCs w:val="21"/>
        </w:rPr>
        <w:t>defining cloud infrastructure in declarative configuration files (Terraform, in this project) rather than provisioning resources manually.</w:t>
      </w:r>
    </w:p>
    <w:p>
      <w:pPr>
        <w:pStyle w:val="ListParagraph"/>
        <w:numPr>
          <w:ilvl w:val="0"/>
          <w:numId w:val="3"/>
        </w:numPr>
        <w:spacing w:lineRule="auto" w:line="276" w:before="0" w:after="80"/>
        <w:rPr/>
      </w:pPr>
      <w:r>
        <w:rPr>
          <w:rFonts w:eastAsia="Calibri" w:cs="Calibri"/>
          <w:b/>
          <w:bCs/>
          <w:color w:val="1F3864"/>
          <w:sz w:val="21"/>
          <w:szCs w:val="21"/>
        </w:rPr>
        <w:t xml:space="preserve">JWT (JSON Web Token) — </w:t>
      </w:r>
      <w:r>
        <w:rPr>
          <w:rFonts w:eastAsia="Calibri" w:cs="Calibri"/>
          <w:color w:val="1E1E1E"/>
          <w:sz w:val="21"/>
          <w:szCs w:val="21"/>
        </w:rPr>
        <w:t>a compact, signed token used to represent an authenticated user's identity and claims without requiring server-side session storage.</w:t>
      </w:r>
    </w:p>
    <w:p>
      <w:pPr>
        <w:pStyle w:val="ListParagraph"/>
        <w:numPr>
          <w:ilvl w:val="0"/>
          <w:numId w:val="3"/>
        </w:numPr>
        <w:spacing w:lineRule="auto" w:line="276" w:before="0" w:after="80"/>
        <w:rPr/>
      </w:pPr>
      <w:r>
        <w:rPr>
          <w:rFonts w:eastAsia="Calibri" w:cs="Calibri"/>
          <w:b/>
          <w:bCs/>
          <w:color w:val="1F3864"/>
          <w:sz w:val="21"/>
          <w:szCs w:val="21"/>
        </w:rPr>
        <w:t xml:space="preserve">Multi-AZ — </w:t>
      </w:r>
      <w:r>
        <w:rPr>
          <w:rFonts w:eastAsia="Calibri" w:cs="Calibri"/>
          <w:color w:val="1E1E1E"/>
          <w:sz w:val="21"/>
          <w:szCs w:val="21"/>
        </w:rPr>
        <w:t>a deployment pattern that replicates a resource across two or more AWS Availability Zones for high availability.</w:t>
      </w:r>
    </w:p>
    <w:p>
      <w:pPr>
        <w:pStyle w:val="ListParagraph"/>
        <w:numPr>
          <w:ilvl w:val="0"/>
          <w:numId w:val="3"/>
        </w:numPr>
        <w:spacing w:lineRule="auto" w:line="276" w:before="0" w:after="80"/>
        <w:rPr/>
      </w:pPr>
      <w:r>
        <w:rPr>
          <w:rFonts w:eastAsia="Calibri" w:cs="Calibri"/>
          <w:b/>
          <w:bCs/>
          <w:color w:val="1F3864"/>
          <w:sz w:val="21"/>
          <w:szCs w:val="21"/>
        </w:rPr>
        <w:t xml:space="preserve">Pre-signed URL — </w:t>
      </w:r>
      <w:r>
        <w:rPr>
          <w:rFonts w:eastAsia="Calibri" w:cs="Calibri"/>
          <w:color w:val="1E1E1E"/>
          <w:sz w:val="21"/>
          <w:szCs w:val="21"/>
        </w:rPr>
        <w:t>a time-limited, cryptographically signed URL that grants temporary access to a specific S3 object without exposing AWS credentials.</w:t>
      </w:r>
    </w:p>
    <w:p>
      <w:pPr>
        <w:pStyle w:val="ListParagraph"/>
        <w:numPr>
          <w:ilvl w:val="0"/>
          <w:numId w:val="3"/>
        </w:numPr>
        <w:spacing w:lineRule="auto" w:line="276" w:before="0" w:after="80"/>
        <w:rPr/>
      </w:pPr>
      <w:r>
        <w:rPr>
          <w:rFonts w:eastAsia="Calibri" w:cs="Calibri"/>
          <w:b/>
          <w:bCs/>
          <w:color w:val="1F3864"/>
          <w:sz w:val="21"/>
          <w:szCs w:val="21"/>
        </w:rPr>
        <w:t xml:space="preserve">RBAC (Role-Based Access Control) — </w:t>
      </w:r>
      <w:r>
        <w:rPr>
          <w:rFonts w:eastAsia="Calibri" w:cs="Calibri"/>
          <w:color w:val="1E1E1E"/>
          <w:sz w:val="21"/>
          <w:szCs w:val="21"/>
        </w:rPr>
        <w:t>an authorization model that grants permissions based on a user's assigned role rather than per-user rules.</w:t>
      </w:r>
    </w:p>
    <w:p>
      <w:pPr>
        <w:pStyle w:val="ListParagraph"/>
        <w:numPr>
          <w:ilvl w:val="0"/>
          <w:numId w:val="3"/>
        </w:numPr>
        <w:spacing w:lineRule="auto" w:line="276" w:before="0" w:after="80"/>
        <w:rPr/>
      </w:pPr>
      <w:r>
        <w:rPr>
          <w:rFonts w:eastAsia="Calibri" w:cs="Calibri"/>
          <w:b/>
          <w:bCs/>
          <w:color w:val="1F3864"/>
          <w:sz w:val="21"/>
          <w:szCs w:val="21"/>
        </w:rPr>
        <w:t xml:space="preserve">VPC (Virtual Private Cloud) — </w:t>
      </w:r>
      <w:r>
        <w:rPr>
          <w:rFonts w:eastAsia="Calibri" w:cs="Calibri"/>
          <w:color w:val="1E1E1E"/>
          <w:sz w:val="21"/>
          <w:szCs w:val="21"/>
        </w:rPr>
        <w:t>an isolated, logically separated network within AWS in which resources such as ECS tasks and RDS instances are deployed.</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Appendix C: Recommendations for Production Readiness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current deployment is deliberately scoped as a proof of concept. The items below outline what the team would prioritize before treating this as a production system, based on the gaps observed during the evaluation period.</w:t>
      </w:r>
    </w:p>
    <w:p>
      <w:pPr>
        <w:pStyle w:val="ListParagraph"/>
        <w:numPr>
          <w:ilvl w:val="0"/>
          <w:numId w:val="3"/>
        </w:numPr>
        <w:spacing w:lineRule="auto" w:line="276" w:before="0" w:after="80"/>
        <w:rPr/>
      </w:pPr>
      <w:r>
        <w:rPr>
          <w:rFonts w:eastAsia="Calibri" w:cs="Calibri"/>
          <w:b/>
          <w:bCs/>
          <w:color w:val="1F3864"/>
          <w:sz w:val="21"/>
          <w:szCs w:val="21"/>
        </w:rPr>
        <w:t xml:space="preserve">HTTPS termination — </w:t>
      </w:r>
      <w:r>
        <w:rPr>
          <w:rFonts w:eastAsia="Calibri" w:cs="Calibri"/>
          <w:color w:val="1E1E1E"/>
          <w:sz w:val="21"/>
          <w:szCs w:val="21"/>
        </w:rPr>
        <w:t>the ALB currently listens on port 80 only; a production deployment would add an ACM certificate and an HTTPS listener, redirecting all HTTP traffic to HTTPS.</w:t>
      </w:r>
    </w:p>
    <w:p>
      <w:pPr>
        <w:pStyle w:val="ListParagraph"/>
        <w:numPr>
          <w:ilvl w:val="0"/>
          <w:numId w:val="3"/>
        </w:numPr>
        <w:spacing w:lineRule="auto" w:line="276" w:before="0" w:after="80"/>
        <w:rPr/>
      </w:pPr>
      <w:r>
        <w:rPr>
          <w:rFonts w:eastAsia="Calibri" w:cs="Calibri"/>
          <w:b/>
          <w:bCs/>
          <w:color w:val="1F3864"/>
          <w:sz w:val="21"/>
          <w:szCs w:val="21"/>
        </w:rPr>
        <w:t xml:space="preserve">Auto Scaling — </w:t>
      </w:r>
      <w:r>
        <w:rPr>
          <w:rFonts w:eastAsia="Calibri" w:cs="Calibri"/>
          <w:color w:val="1E1E1E"/>
          <w:sz w:val="21"/>
          <w:szCs w:val="21"/>
        </w:rPr>
        <w:t>the ECS service currently runs a fixed task count; adding an Application Auto Scaling policy tied to CPU/memory or request count would let the service handle variable load without manual intervention.</w:t>
      </w:r>
    </w:p>
    <w:p>
      <w:pPr>
        <w:pStyle w:val="ListParagraph"/>
        <w:numPr>
          <w:ilvl w:val="0"/>
          <w:numId w:val="3"/>
        </w:numPr>
        <w:spacing w:lineRule="auto" w:line="276" w:before="0" w:after="80"/>
        <w:rPr/>
      </w:pPr>
      <w:r>
        <w:rPr>
          <w:rFonts w:eastAsia="Calibri" w:cs="Calibri"/>
          <w:b/>
          <w:bCs/>
          <w:color w:val="1F3864"/>
          <w:sz w:val="21"/>
          <w:szCs w:val="21"/>
        </w:rPr>
        <w:t xml:space="preserve">CloudWatch Alarms — </w:t>
      </w:r>
      <w:r>
        <w:rPr>
          <w:rFonts w:eastAsia="Calibri" w:cs="Calibri"/>
          <w:color w:val="1E1E1E"/>
          <w:sz w:val="21"/>
          <w:szCs w:val="21"/>
        </w:rPr>
        <w:t>the Actuator health and metrics endpoints already exist (Section 13); the next step is wiring them into CloudWatch Alarms and a dashboard so the team is notified proactively rather than discovering issues by checking logs.</w:t>
      </w:r>
    </w:p>
    <w:p>
      <w:pPr>
        <w:pStyle w:val="ListParagraph"/>
        <w:numPr>
          <w:ilvl w:val="0"/>
          <w:numId w:val="3"/>
        </w:numPr>
        <w:spacing w:lineRule="auto" w:line="276" w:before="0" w:after="80"/>
        <w:rPr/>
      </w:pPr>
      <w:r>
        <w:rPr>
          <w:rFonts w:eastAsia="Calibri" w:cs="Calibri"/>
          <w:b/>
          <w:bCs/>
          <w:color w:val="1F3864"/>
          <w:sz w:val="21"/>
          <w:szCs w:val="21"/>
        </w:rPr>
        <w:t xml:space="preserve">CDN distribution — </w:t>
      </w:r>
      <w:r>
        <w:rPr>
          <w:rFonts w:eastAsia="Calibri" w:cs="Calibri"/>
          <w:color w:val="1E1E1E"/>
          <w:sz w:val="21"/>
          <w:szCs w:val="21"/>
        </w:rPr>
        <w:t>fronting the S3 static website with Amazon CloudFront would reduce frontend latency for geographically distributed users and allow HTTPS on the frontend origin as well.</w:t>
      </w:r>
    </w:p>
    <w:p>
      <w:pPr>
        <w:pStyle w:val="ListParagraph"/>
        <w:numPr>
          <w:ilvl w:val="0"/>
          <w:numId w:val="3"/>
        </w:numPr>
        <w:spacing w:lineRule="auto" w:line="276" w:before="0" w:after="80"/>
        <w:rPr/>
      </w:pPr>
      <w:r>
        <w:rPr>
          <w:rFonts w:eastAsia="Calibri" w:cs="Calibri"/>
          <w:b/>
          <w:bCs/>
          <w:color w:val="1F3864"/>
          <w:sz w:val="21"/>
          <w:szCs w:val="21"/>
        </w:rPr>
        <w:t xml:space="preserve">Backup and retention policy — </w:t>
      </w:r>
      <w:r>
        <w:rPr>
          <w:rFonts w:eastAsia="Calibri" w:cs="Calibri"/>
          <w:color w:val="1E1E1E"/>
          <w:sz w:val="21"/>
          <w:szCs w:val="21"/>
        </w:rPr>
        <w:t>formalizing RDS automated backup retention and S3 lifecycle rules for older attachments would round out the operational posture beyond what a proof of concept requires.</w:t>
      </w:r>
    </w:p>
    <w:p>
      <w:pPr>
        <w:pStyle w:val="ListParagraph"/>
        <w:numPr>
          <w:ilvl w:val="0"/>
          <w:numId w:val="3"/>
        </w:numPr>
        <w:spacing w:lineRule="auto" w:line="276" w:before="0" w:after="80"/>
        <w:rPr/>
      </w:pPr>
      <w:r>
        <w:rPr>
          <w:rFonts w:eastAsia="Calibri" w:cs="Calibri"/>
          <w:b/>
          <w:bCs/>
          <w:color w:val="1F3864"/>
          <w:sz w:val="21"/>
          <w:szCs w:val="21"/>
        </w:rPr>
        <w:t xml:space="preserve">Cost confirmation — </w:t>
      </w:r>
      <w:r>
        <w:rPr>
          <w:rFonts w:eastAsia="Calibri" w:cs="Calibri"/>
          <w:color w:val="1E1E1E"/>
          <w:sz w:val="21"/>
          <w:szCs w:val="21"/>
        </w:rPr>
        <w:t>the placeholder figures in Section 15 should be replaced with confirmed AWS Cost Explorer data before this document is used for budget planning.</w:t>
      </w:r>
    </w:p>
    <w:p>
      <w:pPr>
        <w:pStyle w:val="Normal"/>
        <w:spacing w:lineRule="auto" w:line="288" w:before="0" w:after="140"/>
        <w:rPr>
          <w:rFonts w:ascii="Calibri" w:hAnsi="Calibri" w:eastAsia="Calibri" w:cs="Calibri"/>
          <w:i/>
          <w:i/>
          <w:iCs/>
          <w:color w:val="1E1E1E"/>
          <w:sz w:val="21"/>
          <w:szCs w:val="21"/>
        </w:rPr>
      </w:pPr>
      <w:r>
        <w:rPr>
          <w:rFonts w:eastAsia="Calibri" w:cs="Calibri"/>
          <w:i/>
          <w:iCs/>
          <w:color w:val="1E1E1E"/>
          <w:sz w:val="21"/>
          <w:szCs w:val="21"/>
        </w:rPr>
        <w:t>None of these items block the current proof of concept from being evaluated on its stated objectives (Section 1); they represent the natural next iteration once the platform moves from evaluation toward a production rollout.</w:t>
      </w:r>
    </w:p>
    <w:sectPr>
      <w:headerReference w:type="default" r:id="rId3"/>
      <w:footerReference w:type="default" r:id="rId4"/>
      <w:type w:val="nextPage"/>
      <w:pgSz w:orient="landscape" w:w="11906" w:h="16838"/>
      <w:pgMar w:left="1100" w:right="1100" w:gutter="0" w:header="708" w:top="1000" w:footer="708" w:bottom="100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86"/>
    <w:family w:val="swiss"/>
    <w:pitch w:val="default"/>
  </w:font>
  <w:font w:name="Consolas">
    <w:charset w:val="00" w:characterSet="windows-125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6"/>
        <w:szCs w:val="16"/>
      </w:rPr>
      <w:t xml:space="preserve">Page </w:t>
    </w:r>
    <w:r>
      <w:rPr>
        <w:rFonts w:eastAsia="Calibri" w:cs="Calibri"/>
        <w:color w:val="595959"/>
        <w:sz w:val="16"/>
        <w:szCs w:val="16"/>
      </w:rPr>
      <w:fldChar w:fldCharType="begin"/>
    </w:r>
    <w:r>
      <w:rPr>
        <w:sz w:val="16"/>
        <w:szCs w:val="16"/>
        <w:rFonts w:eastAsia="Calibri" w:cs="Calibri"/>
        <w:color w:val="595959"/>
      </w:rPr>
      <w:instrText xml:space="preserve"> PAGE </w:instrText>
    </w:r>
    <w:r>
      <w:rPr>
        <w:sz w:val="16"/>
        <w:szCs w:val="16"/>
        <w:rFonts w:eastAsia="Calibri" w:cs="Calibri"/>
        <w:color w:val="595959"/>
      </w:rPr>
      <w:fldChar w:fldCharType="separate"/>
    </w:r>
    <w:r>
      <w:rPr>
        <w:sz w:val="16"/>
        <w:szCs w:val="16"/>
        <w:rFonts w:eastAsia="Calibri" w:cs="Calibri"/>
        <w:color w:val="595959"/>
      </w:rPr>
      <w:t>13</w:t>
    </w:r>
    <w:r>
      <w:rPr>
        <w:sz w:val="16"/>
        <w:szCs w:val="16"/>
        <w:rFonts w:eastAsia="Calibri" w:cs="Calibri"/>
        <w:color w:val="595959"/>
      </w:rPr>
      <w:fldChar w:fldCharType="end"/>
    </w:r>
    <w:r>
      <w:rPr>
        <w:rFonts w:eastAsia="Calibri" w:cs="Calibri"/>
        <w:color w:val="595959"/>
        <w:sz w:val="16"/>
        <w:szCs w:val="16"/>
      </w:rPr>
      <w:t xml:space="preserve"> of </w:t>
    </w:r>
    <w:r>
      <w:rPr>
        <w:rFonts w:eastAsia="Calibri" w:cs="Calibri"/>
        <w:color w:val="595959"/>
        <w:sz w:val="16"/>
        <w:szCs w:val="16"/>
      </w:rPr>
      <w:fldChar w:fldCharType="begin"/>
    </w:r>
    <w:r>
      <w:rPr>
        <w:sz w:val="16"/>
        <w:szCs w:val="16"/>
        <w:rFonts w:eastAsia="Calibri" w:cs="Calibri"/>
        <w:color w:val="595959"/>
      </w:rPr>
      <w:instrText xml:space="preserve"> NUMPAGES \* ARABIC </w:instrText>
    </w:r>
    <w:r>
      <w:rPr>
        <w:sz w:val="16"/>
        <w:szCs w:val="16"/>
        <w:rFonts w:eastAsia="Calibri" w:cs="Calibri"/>
        <w:color w:val="595959"/>
      </w:rPr>
      <w:fldChar w:fldCharType="separate"/>
    </w:r>
    <w:r>
      <w:rPr>
        <w:sz w:val="16"/>
        <w:szCs w:val="16"/>
        <w:rFonts w:eastAsia="Calibri" w:cs="Calibri"/>
        <w:color w:val="595959"/>
      </w:rPr>
      <w:t>13</w:t>
    </w:r>
    <w:r>
      <w:rPr>
        <w:sz w:val="16"/>
        <w:szCs w:val="16"/>
        <w:rFonts w:eastAsia="Calibri" w:cs="Calibri"/>
        <w:color w:val="59595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end"/>
      <w:rPr>
        <w:rFonts w:ascii="Calibri" w:hAnsi="Calibri" w:eastAsia="Calibri" w:cs="Calibri"/>
        <w:color w:val="595959"/>
        <w:sz w:val="16"/>
        <w:szCs w:val="16"/>
      </w:rPr>
    </w:pPr>
    <w:r>
      <w:rPr>
        <w:rFonts w:eastAsia="Calibri" w:cs="Calibri"/>
        <w:color w:val="595959"/>
        <w:sz w:val="16"/>
        <w:szCs w:val="16"/>
      </w:rPr>
      <w:t>TicketDesk — POC Evaluation Document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60" w:hanging="300"/>
      </w:pPr>
    </w:lvl>
  </w:abstractNum>
  <w:abstractNum w:abstractNumId="3">
    <w:lvl w:ilvl="0">
      <w:start w:val="1"/>
      <w:numFmt w:val="bullet"/>
      <w:lvlText w:val=""/>
      <w:lvlJc w:val="start"/>
      <w:pPr>
        <w:tabs>
          <w:tab w:val="num" w:pos="0"/>
        </w:tabs>
        <w:ind w:start="460" w:hanging="260"/>
      </w:pPr>
      <w:rPr>
        <w:rFonts w:ascii="Symbol" w:hAnsi="Symbol" w:cs="Symbol" w:hint="default"/>
      </w:rPr>
    </w:lvl>
    <w:lvl w:ilvl="1">
      <w:start w:val="1"/>
      <w:numFmt w:val="bullet"/>
      <w:lvlText w:val=""/>
      <w:lvlJc w:val="start"/>
      <w:pPr>
        <w:tabs>
          <w:tab w:val="num" w:pos="0"/>
        </w:tabs>
        <w:ind w:start="820" w:hanging="260"/>
      </w:pPr>
      <w:rPr>
        <w:rFonts w:ascii="Symbol" w:hAnsi="Symbol" w:cs="Symbol" w:hint="default"/>
      </w:rPr>
    </w:lvl>
    <w:lvl w:ilvl="2">
      <w:start w:val="1"/>
      <w:numFmt w:val="decimal"/>
      <w:lvlText w:val=""/>
      <w:lvlJc w:val="start"/>
      <w:pPr>
        <w:tabs>
          <w:tab w:val="num" w:pos="0"/>
        </w:tabs>
        <w:ind w:start="0" w:hanging="0"/>
      </w:pPr>
    </w:lvl>
    <w:lvl w:ilvl="3">
      <w:start w:val="1"/>
      <w:numFmt w:val="decimal"/>
      <w:lvlText w:val=""/>
      <w:lvlJc w:val="start"/>
      <w:pPr>
        <w:tabs>
          <w:tab w:val="num" w:pos="0"/>
        </w:tabs>
        <w:ind w:start="0" w:hanging="0"/>
      </w:pPr>
    </w:lvl>
    <w:lvl w:ilvl="4">
      <w:start w:val="1"/>
      <w:numFmt w:val="decimal"/>
      <w:lvlText w:val=""/>
      <w:lvlJc w:val="start"/>
      <w:pPr>
        <w:tabs>
          <w:tab w:val="num" w:pos="0"/>
        </w:tabs>
        <w:ind w:start="0" w:hanging="0"/>
      </w:pPr>
    </w:lvl>
    <w:lvl w:ilvl="5">
      <w:start w:val="1"/>
      <w:numFmt w:val="decimal"/>
      <w:lvlText w:val=""/>
      <w:lvlJc w:val="start"/>
      <w:pPr>
        <w:tabs>
          <w:tab w:val="num" w:pos="0"/>
        </w:tabs>
        <w:ind w:start="0" w:hanging="0"/>
      </w:pPr>
    </w:lvl>
    <w:lvl w:ilvl="6">
      <w:start w:val="1"/>
      <w:numFmt w:val="decimal"/>
      <w:lvlText w:val=""/>
      <w:lvlJc w:val="start"/>
      <w:pPr>
        <w:tabs>
          <w:tab w:val="num" w:pos="0"/>
        </w:tabs>
        <w:ind w:start="0" w:hanging="0"/>
      </w:pPr>
    </w:lvl>
    <w:lvl w:ilvl="7">
      <w:start w:val="1"/>
      <w:numFmt w:val="decimal"/>
      <w:lvlText w:val=""/>
      <w:lvlJc w:val="start"/>
      <w:pPr>
        <w:tabs>
          <w:tab w:val="num" w:pos="0"/>
        </w:tabs>
        <w:ind w:start="0" w:hanging="0"/>
      </w:pPr>
    </w:lvl>
    <w:lvl w:ilvl="8">
      <w:start w:val="1"/>
      <w:numFmt w:val="decimal"/>
      <w:lvlText w:val=""/>
      <w:lvlJc w:val="start"/>
      <w:pPr>
        <w:tabs>
          <w:tab w:val="num" w:pos="0"/>
        </w:tabs>
        <w:ind w:start="0" w:hanging="0"/>
      </w:pPr>
    </w:lvl>
  </w:abstractNum>
  <w:abstractNum w:abstractNumId="4">
    <w:lvl w:ilvl="0">
      <w:start w:val="1"/>
      <w:numFmt w:val="decimal"/>
      <w:lvlText w:val="%1."/>
      <w:lvlJc w:val="start"/>
      <w:pPr>
        <w:tabs>
          <w:tab w:val="num" w:pos="0"/>
        </w:tabs>
        <w:ind w:start="460" w:hanging="300"/>
      </w:pPr>
    </w:lvl>
  </w:abstractNum>
  <w:num w:numId="1">
    <w:abstractNumId w:val="1"/>
  </w:num>
  <w:num w:numId="2">
    <w:abstractNumId w:val="2"/>
  </w:num>
  <w:num w:numId="3">
    <w:abstractNumId w:val="3"/>
  </w:num>
  <w:num w:numId="4">
    <w:abstractNumId w:val="4"/>
  </w:num>
  <w:num w:numId="5">
    <w:abstractNumId w:val="3"/>
    <w:lvlOverride w:ilvl="0">
      <w:startOverride w:val="1"/>
    </w:lvlOverride>
  </w:num>
  <w:num w:numId="6">
    <w:abstractNumId w:val="4"/>
    <w:lvlOverride w:ilvl="0">
      <w:startOverride w:val="1"/>
    </w:lvlOverride>
  </w:num>
  <w:num w:numId="7">
    <w:abstractNumId w:val="2"/>
    <w:lvlOverride w:ilvl="0">
      <w:startOverride w:val="1"/>
    </w:lvlOverride>
  </w:num>
</w:numbering>
</file>

<file path=word/settings.xml><?xml version="1.0" encoding="utf-8"?>
<w:settings xmlns:w="http://schemas.openxmlformats.org/wordprocessingml/2006/main">
  <w:zoom w:percent="46"/>
  <w:displayBackgroundShape/>
  <w:defaultTabStop w:val="50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Calibri"/>
      <w:color w:val="1E1E1E"/>
      <w:sz w:val="21"/>
      <w:szCs w:val="21"/>
      <w:lang w:val="en-US" w:eastAsia="zh-CN" w:bidi="hi-IN"/>
    </w:rPr>
  </w:style>
  <w:style w:type="paragraph" w:styleId="Heading1">
    <w:name w:val="Heading 1"/>
    <w:next w:val="Normal"/>
    <w:qFormat/>
    <w:pPr>
      <w:widowControl/>
      <w:numPr>
        <w:ilvl w:val="0"/>
        <w:numId w:val="1"/>
      </w:numPr>
      <w:bidi w:val="0"/>
      <w:outlineLvl w:val="0"/>
    </w:pPr>
    <w:rPr>
      <w:rFonts w:ascii="Calibri" w:hAnsi="Calibri" w:eastAsia="Calibri" w:cs="Calibri"/>
      <w:color w:val="2E74B5"/>
      <w:sz w:val="32"/>
      <w:szCs w:val="32"/>
      <w:lang w:val="en-US" w:eastAsia="zh-CN" w:bidi="hi-IN"/>
    </w:rPr>
  </w:style>
  <w:style w:type="paragraph" w:styleId="Heading2">
    <w:name w:val="Heading 2"/>
    <w:next w:val="Normal"/>
    <w:qFormat/>
    <w:pPr>
      <w:widowControl/>
      <w:numPr>
        <w:ilvl w:val="1"/>
        <w:numId w:val="1"/>
      </w:numPr>
      <w:bidi w:val="0"/>
      <w:outlineLvl w:val="1"/>
    </w:pPr>
    <w:rPr>
      <w:rFonts w:ascii="Calibri" w:hAnsi="Calibri" w:eastAsia="Calibri" w:cs="Calibri"/>
      <w:color w:val="2E74B5"/>
      <w:sz w:val="26"/>
      <w:szCs w:val="26"/>
      <w:lang w:val="en-US" w:eastAsia="zh-CN" w:bidi="hi-IN"/>
    </w:rPr>
  </w:style>
  <w:style w:type="paragraph" w:styleId="Heading3">
    <w:name w:val="Heading 3"/>
    <w:next w:val="Normal"/>
    <w:qFormat/>
    <w:pPr>
      <w:widowControl/>
      <w:numPr>
        <w:ilvl w:val="2"/>
        <w:numId w:val="1"/>
      </w:numPr>
      <w:bidi w:val="0"/>
      <w:outlineLvl w:val="2"/>
    </w:pPr>
    <w:rPr>
      <w:rFonts w:ascii="Calibri" w:hAnsi="Calibri" w:eastAsia="Calibri" w:cs="Calibri"/>
      <w:color w:val="1F4D78"/>
      <w:sz w:val="24"/>
      <w:szCs w:val="24"/>
      <w:lang w:val="en-US" w:eastAsia="zh-CN" w:bidi="hi-IN"/>
    </w:rPr>
  </w:style>
  <w:style w:type="paragraph" w:styleId="Heading4">
    <w:name w:val="Heading 4"/>
    <w:next w:val="Normal"/>
    <w:qFormat/>
    <w:pPr>
      <w:widowControl/>
      <w:numPr>
        <w:ilvl w:val="3"/>
        <w:numId w:val="1"/>
      </w:numPr>
      <w:bidi w:val="0"/>
      <w:outlineLvl w:val="3"/>
    </w:pPr>
    <w:rPr>
      <w:rFonts w:ascii="Calibri" w:hAnsi="Calibri" w:eastAsia="Calibri" w:cs="Calibri"/>
      <w:i/>
      <w:iCs/>
      <w:color w:val="2E74B5"/>
      <w:sz w:val="21"/>
      <w:szCs w:val="21"/>
      <w:lang w:val="en-US" w:eastAsia="zh-CN" w:bidi="hi-IN"/>
    </w:rPr>
  </w:style>
  <w:style w:type="paragraph" w:styleId="Heading5">
    <w:name w:val="Heading 5"/>
    <w:next w:val="Normal"/>
    <w:qFormat/>
    <w:pPr>
      <w:widowControl/>
      <w:numPr>
        <w:ilvl w:val="4"/>
        <w:numId w:val="1"/>
      </w:numPr>
      <w:bidi w:val="0"/>
      <w:outlineLvl w:val="4"/>
    </w:pPr>
    <w:rPr>
      <w:rFonts w:ascii="Calibri" w:hAnsi="Calibri" w:eastAsia="Calibri" w:cs="Calibri"/>
      <w:color w:val="2E74B5"/>
      <w:sz w:val="21"/>
      <w:szCs w:val="21"/>
      <w:lang w:val="en-US" w:eastAsia="zh-CN" w:bidi="hi-IN"/>
    </w:rPr>
  </w:style>
  <w:style w:type="paragraph" w:styleId="Heading6">
    <w:name w:val="Heading 6"/>
    <w:next w:val="Normal"/>
    <w:qFormat/>
    <w:pPr>
      <w:widowControl/>
      <w:numPr>
        <w:ilvl w:val="5"/>
        <w:numId w:val="1"/>
      </w:numPr>
      <w:bidi w:val="0"/>
      <w:outlineLvl w:val="5"/>
    </w:pPr>
    <w:rPr>
      <w:rFonts w:ascii="Calibri" w:hAnsi="Calibri" w:eastAsia="Calibri" w:cs="Calibri"/>
      <w:color w:val="1F4D78"/>
      <w:sz w:val="21"/>
      <w:szCs w:val="21"/>
      <w:lang w:val="en-US" w:eastAsia="zh-CN" w:bidi="hi-IN"/>
    </w:rPr>
  </w:style>
  <w:style w:type="character" w:styleId="DefaultParagraphFont">
    <w:name w:val="Default Paragraph Font"/>
    <w:qFormat/>
    <w:rPr/>
  </w:style>
  <w:style w:type="character" w:styleId="EndnoteCharacters">
    <w:name w:val="Endnote Characters"/>
    <w:qFormat/>
    <w:rPr>
      <w:vertAlign w:val="superscript"/>
    </w:rPr>
  </w:style>
  <w:style w:type="character" w:styleId="EndnoteTextChar">
    <w:name w:val="Endnote Text Char"/>
    <w:qFormat/>
    <w:rPr>
      <w:sz w:val="20"/>
      <w:szCs w:val="20"/>
    </w:rPr>
  </w:style>
  <w:style w:type="character" w:styleId="FootnoteCharacters">
    <w:name w:val="Footnote Characters"/>
    <w:qFormat/>
    <w:rPr>
      <w:vertAlign w:val="superscript"/>
    </w:rPr>
  </w:style>
  <w:style w:type="character" w:styleId="FootnoteTextChar">
    <w:name w:val="Footnote Text Char"/>
    <w:qFormat/>
    <w:rPr>
      <w:sz w:val="20"/>
      <w:szCs w:val="20"/>
    </w:rPr>
  </w:style>
  <w:style w:type="character" w:styleId="Hyperlink">
    <w:name w:val="Hyperlink"/>
    <w:rPr>
      <w:color w:val="0563C1"/>
      <w:u w:val="single"/>
    </w:rPr>
  </w:style>
  <w:style w:type="paragraph" w:styleId="Heading">
    <w:name w:val="Heading"/>
    <w:next w:val="BodyText"/>
    <w:qFormat/>
    <w:pPr>
      <w:widowControl/>
      <w:bidi w:val="0"/>
    </w:pPr>
    <w:rPr>
      <w:rFonts w:ascii="Calibri" w:hAnsi="Calibri" w:eastAsia="Calibri" w:cs="Calibri"/>
      <w:color w:val="1E1E1E"/>
      <w:sz w:val="56"/>
      <w:szCs w:val="56"/>
      <w:lang w:val="en-US" w:eastAsia="zh-CN" w:bidi="hi-IN"/>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EndnoteText">
    <w:name w:val="Endnote Text"/>
    <w:pPr>
      <w:widowControl/>
      <w:bidi w:val="0"/>
      <w:spacing w:lineRule="auto" w:line="240" w:before="0" w:after="0"/>
    </w:pPr>
    <w:rPr>
      <w:rFonts w:ascii="Calibri" w:hAnsi="Calibri" w:eastAsia="Calibri" w:cs="Calibri"/>
      <w:color w:val="1E1E1E"/>
      <w:sz w:val="20"/>
      <w:szCs w:val="20"/>
      <w:lang w:val="en-US" w:eastAsia="zh-CN" w:bidi="hi-IN"/>
    </w:rPr>
  </w:style>
  <w:style w:type="paragraph" w:styleId="FootnoteText">
    <w:name w:val="Footnote Text"/>
    <w:pPr>
      <w:widowControl/>
      <w:bidi w:val="0"/>
      <w:spacing w:lineRule="auto" w:line="240" w:before="0" w:after="0"/>
    </w:pPr>
    <w:rPr>
      <w:rFonts w:ascii="Calibri" w:hAnsi="Calibri" w:eastAsia="Calibri" w:cs="Calibri"/>
      <w:color w:val="1E1E1E"/>
      <w:sz w:val="20"/>
      <w:szCs w:val="20"/>
      <w:lang w:val="en-US" w:eastAsia="zh-CN" w:bidi="hi-IN"/>
    </w:rPr>
  </w:style>
  <w:style w:type="paragraph" w:styleId="ListParagraph">
    <w:name w:val="List Paragraph"/>
    <w:qFormat/>
    <w:pPr>
      <w:widowControl/>
      <w:bidi w:val="0"/>
    </w:pPr>
    <w:rPr>
      <w:rFonts w:ascii="Calibri" w:hAnsi="Calibri" w:eastAsia="Calibri" w:cs="Calibri"/>
      <w:color w:val="1E1E1E"/>
      <w:sz w:val="21"/>
      <w:szCs w:val="21"/>
      <w:lang w:val="en-US"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50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21270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2026-08-17T09:32:00Z</dcterms:created>
  <dc:creator>Un-named</dc:creator>
  <dc:description/>
  <dc:language>en-US</dc:language>
  <cp:lastModifiedBy>Vissu kasi</cp:lastModifiedBy>
  <dcterms:modified xsi:type="dcterms:W3CDTF">2026-08-17T09:54:04Z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5C25CB892FD94CAF8136C1A933B45165_13</vt:lpwstr>
  </property>
  <property fmtid="{D5CDD505-2E9C-101B-9397-08002B2CF9AE}" pid="3" name="KSOProductBuildVer">
    <vt:lpwstr>1033-12.1.0.28032</vt:lpwstr>
  </property>
  <property fmtid="{D5CDD505-2E9C-101B-9397-08002B2CF9AE}" pid="4" name="KSOTemplateDocerSaveRecord">
    <vt:lpwstr>eyJoZGlkIjoiZTM3NmQwZjQwNGRlOWJlOTdiNmQyNzZkZjg1OGYxNzEiLCJ1c2VySWQiOiI1NDk3NjIwNDkwODYifQ==</vt:lpwstr>
  </property>
</Properties>
</file>