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DB4C" w14:textId="77777777" w:rsidR="00931ACB" w:rsidRPr="003F6F8D" w:rsidRDefault="00931ACB" w:rsidP="00931ACB">
      <w:pPr>
        <w:rPr>
          <w:rFonts w:ascii="Times New Roman" w:hAnsi="Times New Roman"/>
          <w:sz w:val="28"/>
          <w:szCs w:val="28"/>
        </w:rPr>
      </w:pPr>
    </w:p>
    <w:p w14:paraId="4528FDC5" w14:textId="236AD02F" w:rsidR="00931ACB" w:rsidRPr="0088679A" w:rsidRDefault="0055518C" w:rsidP="00931ACB">
      <w:pPr>
        <w:rPr>
          <w:rFonts w:ascii="Times New Roman" w:hAnsi="Times New Roman"/>
        </w:rPr>
      </w:pPr>
      <w:r>
        <w:rPr>
          <w:rFonts w:ascii="Times New Roman" w:hAnsi="Times New Roman"/>
        </w:rPr>
        <w:t xml:space="preserve">Dr. </w:t>
      </w:r>
      <w:r w:rsidR="00931ACB" w:rsidRPr="0088679A">
        <w:rPr>
          <w:rFonts w:ascii="Times New Roman" w:hAnsi="Times New Roman"/>
        </w:rPr>
        <w:t>Olivia Samotus</w:t>
      </w:r>
      <w:r>
        <w:rPr>
          <w:rFonts w:ascii="Times New Roman" w:hAnsi="Times New Roman"/>
        </w:rPr>
        <w:t>, Eng</w:t>
      </w:r>
      <w:r w:rsidR="002327FC">
        <w:rPr>
          <w:rFonts w:ascii="Times New Roman" w:hAnsi="Times New Roman"/>
        </w:rPr>
        <w:t xml:space="preserve">. </w:t>
      </w:r>
      <w:r w:rsidR="00931ACB" w:rsidRPr="0088679A">
        <w:rPr>
          <w:rFonts w:ascii="Times New Roman" w:hAnsi="Times New Roman"/>
        </w:rPr>
        <w:t>Mandar</w:t>
      </w:r>
      <w:r w:rsidR="00447BB1">
        <w:rPr>
          <w:rFonts w:ascii="Times New Roman" w:hAnsi="Times New Roman"/>
        </w:rPr>
        <w:t xml:space="preserve"> Jog</w:t>
      </w:r>
      <w:r w:rsidR="000113C2">
        <w:rPr>
          <w:rFonts w:ascii="Times New Roman" w:hAnsi="Times New Roman"/>
        </w:rPr>
        <w:t xml:space="preserve"> MD</w:t>
      </w:r>
      <w:r w:rsidR="00C8312B">
        <w:rPr>
          <w:rFonts w:ascii="Times New Roman" w:hAnsi="Times New Roman"/>
          <w:vertAlign w:val="superscript"/>
        </w:rPr>
        <w:t>a-c</w:t>
      </w:r>
      <w:r w:rsidR="004D27E1">
        <w:rPr>
          <w:rFonts w:ascii="Times New Roman" w:hAnsi="Times New Roman"/>
        </w:rPr>
        <w:t>, Mr. Yanhong Zhu Phd</w:t>
      </w:r>
      <w:r w:rsidR="000113C2">
        <w:rPr>
          <w:rFonts w:ascii="Times New Roman" w:hAnsi="Times New Roman"/>
        </w:rPr>
        <w:t>,</w:t>
      </w:r>
      <w:r w:rsidR="004D27E1">
        <w:rPr>
          <w:rFonts w:ascii="Times New Roman" w:hAnsi="Times New Roman"/>
        </w:rPr>
        <w:t xml:space="preserve"> MBA</w:t>
      </w:r>
      <w:r w:rsidR="000113C2">
        <w:rPr>
          <w:rFonts w:ascii="Times New Roman" w:hAnsi="Times New Roman"/>
        </w:rPr>
        <w:t>,</w:t>
      </w:r>
      <w:r w:rsidR="00F90AF6">
        <w:rPr>
          <w:rFonts w:ascii="Times New Roman" w:hAnsi="Times New Roman"/>
        </w:rPr>
        <w:t xml:space="preserve"> MA</w:t>
      </w:r>
      <w:r w:rsidR="00524513">
        <w:rPr>
          <w:rFonts w:ascii="Times New Roman" w:hAnsi="Times New Roman"/>
          <w:vertAlign w:val="superscript"/>
        </w:rPr>
        <w:t>c</w:t>
      </w:r>
    </w:p>
    <w:p w14:paraId="66B668E4" w14:textId="77777777" w:rsidR="0083617D" w:rsidRDefault="0083617D" w:rsidP="00931ACB">
      <w:pPr>
        <w:tabs>
          <w:tab w:val="left" w:pos="284"/>
        </w:tabs>
        <w:rPr>
          <w:rFonts w:ascii="Times New Roman" w:hAnsi="Times New Roman"/>
          <w:b/>
        </w:rPr>
      </w:pPr>
    </w:p>
    <w:p w14:paraId="6D962C17" w14:textId="50757653" w:rsidR="007A2BBF" w:rsidRPr="005B1ADC" w:rsidRDefault="007A2BBF" w:rsidP="007A2BBF">
      <w:pPr>
        <w:spacing w:line="360" w:lineRule="auto"/>
        <w:ind w:left="142" w:hanging="142"/>
        <w:rPr>
          <w:rFonts w:ascii="Times New Roman" w:hAnsi="Times New Roman" w:cs="Angsana New"/>
        </w:rPr>
      </w:pPr>
      <w:r>
        <w:rPr>
          <w:rFonts w:ascii="Times New Roman" w:hAnsi="Times New Roman" w:cs="Angsana New"/>
          <w:vertAlign w:val="superscript"/>
        </w:rPr>
        <w:t xml:space="preserve">a </w:t>
      </w:r>
      <w:r w:rsidRPr="005B1ADC">
        <w:rPr>
          <w:rFonts w:ascii="Times New Roman" w:hAnsi="Times New Roman" w:cs="Angsana New"/>
        </w:rPr>
        <w:t>Department of Applied Radiation and Isotopes</w:t>
      </w:r>
      <w:r>
        <w:rPr>
          <w:rFonts w:ascii="Times New Roman" w:hAnsi="Times New Roman" w:cs="Angsana New"/>
        </w:rPr>
        <w:t xml:space="preserve"> </w:t>
      </w:r>
      <w:r w:rsidRPr="005B1ADC">
        <w:rPr>
          <w:rFonts w:ascii="Times New Roman" w:hAnsi="Times New Roman" w:cs="Angsana New"/>
        </w:rPr>
        <w:t xml:space="preserve">Faculty of Science, Kasetsart University, </w:t>
      </w:r>
      <w:r w:rsidR="00753F05" w:rsidRPr="00753F05">
        <w:rPr>
          <w:rFonts w:ascii="Times New Roman" w:hAnsi="Times New Roman" w:cs="Angsana New"/>
        </w:rPr>
        <w:t>Kamphaengpet 6th Yao Road</w:t>
      </w:r>
      <w:r w:rsidR="00753F05">
        <w:rPr>
          <w:rFonts w:ascii="Arial" w:hAnsi="Arial" w:cs="Arial"/>
          <w:color w:val="333333"/>
          <w:sz w:val="21"/>
          <w:szCs w:val="21"/>
          <w:shd w:val="clear" w:color="auto" w:fill="FFFFFF"/>
        </w:rPr>
        <w:t>,</w:t>
      </w:r>
      <w:r w:rsidR="00753F05" w:rsidRPr="005B1ADC">
        <w:rPr>
          <w:rFonts w:ascii="Times New Roman" w:hAnsi="Times New Roman" w:cs="Angsana New"/>
        </w:rPr>
        <w:t xml:space="preserve"> </w:t>
      </w:r>
      <w:r w:rsidRPr="005B1ADC">
        <w:rPr>
          <w:rFonts w:ascii="Times New Roman" w:hAnsi="Times New Roman" w:cs="Angsana New"/>
        </w:rPr>
        <w:t>Bangkok,</w:t>
      </w:r>
      <w:r w:rsidR="00A211E8">
        <w:rPr>
          <w:rFonts w:ascii="Times New Roman" w:hAnsi="Times New Roman" w:cs="Angsana New"/>
        </w:rPr>
        <w:t xml:space="preserve"> Central Thailand,</w:t>
      </w:r>
      <w:r w:rsidRPr="005B1ADC">
        <w:rPr>
          <w:rFonts w:ascii="Times New Roman" w:hAnsi="Times New Roman" w:cs="Angsana New"/>
        </w:rPr>
        <w:t xml:space="preserve"> 10900</w:t>
      </w:r>
    </w:p>
    <w:p w14:paraId="66BDAB05" w14:textId="55B08B4B" w:rsidR="007A2BBF" w:rsidRPr="005B1ADC" w:rsidRDefault="007A2BBF" w:rsidP="007A2BBF">
      <w:pPr>
        <w:spacing w:line="360" w:lineRule="auto"/>
        <w:ind w:left="142" w:hanging="142"/>
        <w:rPr>
          <w:rFonts w:ascii="Times New Roman" w:hAnsi="Times New Roman" w:cs="Angsana New"/>
        </w:rPr>
      </w:pPr>
      <w:r>
        <w:rPr>
          <w:rFonts w:ascii="Times New Roman" w:hAnsi="Times New Roman" w:cs="Angsana New"/>
          <w:vertAlign w:val="superscript"/>
        </w:rPr>
        <w:t xml:space="preserve">b </w:t>
      </w:r>
      <w:r w:rsidRPr="005B1ADC">
        <w:rPr>
          <w:rFonts w:ascii="Times New Roman" w:hAnsi="Times New Roman" w:cs="Angsana New"/>
        </w:rPr>
        <w:t>Department of Materials Science Faculty of Science,</w:t>
      </w:r>
      <w:r w:rsidR="00753F05" w:rsidRPr="00753F05">
        <w:rPr>
          <w:rFonts w:ascii="Times New Roman" w:hAnsi="Times New Roman" w:cs="Angsana New"/>
        </w:rPr>
        <w:t xml:space="preserve"> Kamphaengpet 6th Yao Road</w:t>
      </w:r>
      <w:r w:rsidR="00753F05">
        <w:rPr>
          <w:rFonts w:ascii="Times New Roman" w:hAnsi="Times New Roman" w:cs="Angsana New"/>
        </w:rPr>
        <w:t>,</w:t>
      </w:r>
      <w:r w:rsidRPr="005B1ADC">
        <w:rPr>
          <w:rFonts w:ascii="Times New Roman" w:hAnsi="Times New Roman" w:cs="Angsana New"/>
        </w:rPr>
        <w:t xml:space="preserve"> Bangkok,</w:t>
      </w:r>
      <w:r w:rsidR="00A211E8">
        <w:rPr>
          <w:rFonts w:ascii="Times New Roman" w:hAnsi="Times New Roman" w:cs="Angsana New"/>
        </w:rPr>
        <w:t xml:space="preserve"> Central Thailand,</w:t>
      </w:r>
      <w:r w:rsidRPr="005B1ADC">
        <w:rPr>
          <w:rFonts w:ascii="Times New Roman" w:hAnsi="Times New Roman" w:cs="Angsana New"/>
        </w:rPr>
        <w:t xml:space="preserve"> Thailand 10900</w:t>
      </w:r>
    </w:p>
    <w:p w14:paraId="33F9834C" w14:textId="5CF2C487" w:rsidR="007A2BBF" w:rsidRPr="005B1ADC" w:rsidRDefault="007A2BBF" w:rsidP="007A2BBF">
      <w:pPr>
        <w:spacing w:line="360" w:lineRule="auto"/>
        <w:ind w:left="142" w:hanging="142"/>
        <w:rPr>
          <w:rFonts w:ascii="Times New Roman" w:hAnsi="Times New Roman" w:cs="Angsana New"/>
        </w:rPr>
      </w:pPr>
      <w:r>
        <w:rPr>
          <w:rFonts w:ascii="Times New Roman" w:hAnsi="Times New Roman" w:cs="Angsana New"/>
          <w:vertAlign w:val="superscript"/>
        </w:rPr>
        <w:t xml:space="preserve">c </w:t>
      </w:r>
      <w:r>
        <w:rPr>
          <w:rFonts w:ascii="Times New Roman" w:hAnsi="Times New Roman" w:cs="Angsana New"/>
        </w:rPr>
        <w:t>Department of s</w:t>
      </w:r>
      <w:r w:rsidRPr="005B1ADC">
        <w:rPr>
          <w:rFonts w:ascii="Times New Roman" w:hAnsi="Times New Roman" w:cs="Angsana New"/>
        </w:rPr>
        <w:t>pecialized Center of Rubber and Polymer MaterialsFaculty of Science, Kasetsart University,</w:t>
      </w:r>
      <w:r w:rsidR="00A211E8">
        <w:rPr>
          <w:rFonts w:ascii="Times New Roman" w:hAnsi="Times New Roman" w:cs="Angsana New"/>
        </w:rPr>
        <w:t xml:space="preserve"> </w:t>
      </w:r>
      <w:r w:rsidR="000A4C41">
        <w:rPr>
          <w:rFonts w:ascii="Times New Roman" w:hAnsi="Times New Roman" w:cs="Angsana New"/>
        </w:rPr>
        <w:t xml:space="preserve">Bangkok, </w:t>
      </w:r>
      <w:r w:rsidR="00A211E8">
        <w:rPr>
          <w:rFonts w:ascii="Times New Roman" w:hAnsi="Times New Roman" w:cs="Angsana New"/>
        </w:rPr>
        <w:t>Central Thailand,</w:t>
      </w:r>
      <w:r w:rsidR="00F363D9">
        <w:rPr>
          <w:rFonts w:ascii="Times New Roman" w:hAnsi="Times New Roman" w:cs="Angsana New"/>
        </w:rPr>
        <w:t xml:space="preserve"> </w:t>
      </w:r>
      <w:r w:rsidR="00C62683">
        <w:rPr>
          <w:rFonts w:ascii="Times New Roman" w:hAnsi="Times New Roman" w:cs="Angsana New"/>
        </w:rPr>
        <w:t xml:space="preserve">Thailand </w:t>
      </w:r>
      <w:r w:rsidRPr="005B1ADC">
        <w:rPr>
          <w:rFonts w:ascii="Times New Roman" w:hAnsi="Times New Roman" w:cs="Angsana New"/>
        </w:rPr>
        <w:t>10900</w:t>
      </w:r>
    </w:p>
    <w:p w14:paraId="7C9B8DDD" w14:textId="77777777" w:rsidR="007A2BBF" w:rsidRPr="003D46C4" w:rsidRDefault="007A2BBF" w:rsidP="00B1795A">
      <w:pPr>
        <w:tabs>
          <w:tab w:val="left" w:pos="284"/>
        </w:tabs>
        <w:rPr>
          <w:rFonts w:ascii="Times New Roman" w:hAnsi="Times New Roman"/>
        </w:rPr>
      </w:pPr>
    </w:p>
    <w:p w14:paraId="7EE2E35E" w14:textId="77777777" w:rsidR="0083617D" w:rsidRDefault="0083617D" w:rsidP="0083617D">
      <w:pPr>
        <w:rPr>
          <w:rFonts w:ascii="Times New Roman" w:hAnsi="Times New Roman"/>
          <w:b/>
        </w:rPr>
      </w:pPr>
      <w:r w:rsidRPr="00AC0D88">
        <w:rPr>
          <w:rFonts w:ascii="Times New Roman" w:hAnsi="Times New Roman"/>
          <w:b/>
        </w:rPr>
        <w:t>Corresponding Author</w:t>
      </w:r>
    </w:p>
    <w:p w14:paraId="6139869B" w14:textId="77777777" w:rsidR="0083617D" w:rsidRDefault="0083617D" w:rsidP="0083617D">
      <w:pPr>
        <w:rPr>
          <w:rFonts w:ascii="Times New Roman" w:hAnsi="Times New Roman"/>
        </w:rPr>
      </w:pPr>
      <w:r>
        <w:rPr>
          <w:rFonts w:ascii="Times New Roman" w:hAnsi="Times New Roman"/>
        </w:rPr>
        <w:t>Mandar Jog</w:t>
      </w:r>
    </w:p>
    <w:p w14:paraId="76EDD314" w14:textId="77777777" w:rsidR="0083617D" w:rsidRDefault="00A75607" w:rsidP="0083617D">
      <w:pPr>
        <w:rPr>
          <w:rFonts w:ascii="Times New Roman" w:hAnsi="Times New Roman"/>
        </w:rPr>
      </w:pPr>
      <w:hyperlink r:id="rId8" w:history="1">
        <w:r w:rsidR="0083617D" w:rsidRPr="00A9014C">
          <w:rPr>
            <w:rStyle w:val="Hyperlink"/>
            <w:rFonts w:ascii="Times New Roman" w:hAnsi="Times New Roman"/>
          </w:rPr>
          <w:t>mandar.jog@abc.com</w:t>
        </w:r>
      </w:hyperlink>
    </w:p>
    <w:p w14:paraId="5FC72272" w14:textId="77777777" w:rsidR="0083617D" w:rsidRDefault="0083617D" w:rsidP="00931ACB">
      <w:pPr>
        <w:spacing w:after="160" w:line="259" w:lineRule="auto"/>
        <w:rPr>
          <w:rFonts w:ascii="Times New Roman" w:hAnsi="Times New Roman"/>
        </w:rPr>
      </w:pPr>
    </w:p>
    <w:p w14:paraId="2026C52B" w14:textId="7B1495E3" w:rsidR="006F2109" w:rsidRDefault="006F2109" w:rsidP="00931ACB">
      <w:pPr>
        <w:spacing w:after="160" w:line="259" w:lineRule="auto"/>
        <w:rPr>
          <w:rFonts w:ascii="Times New Roman" w:hAnsi="Times New Roman"/>
        </w:rPr>
      </w:pPr>
      <w:r>
        <w:br w:type="page"/>
      </w:r>
      <w:r>
        <w:rPr>
          <w:rFonts w:ascii="Times New Roman" w:hAnsi="Times New Roman"/>
          <w:b/>
          <w:bCs/>
        </w:rPr>
        <w:lastRenderedPageBreak/>
        <w:t>Abstract</w:t>
      </w:r>
    </w:p>
    <w:p w14:paraId="4F0E1F12" w14:textId="6BCAC1F7" w:rsidR="00144CBA" w:rsidRDefault="006F2109" w:rsidP="006F2109">
      <w:pPr>
        <w:tabs>
          <w:tab w:val="left" w:pos="3227"/>
        </w:tabs>
        <w:spacing w:line="480" w:lineRule="auto"/>
        <w:rPr>
          <w:rFonts w:ascii="Times New Roman" w:hAnsi="Times New Roman"/>
        </w:rPr>
      </w:pPr>
      <w:r w:rsidRPr="00144CBA">
        <w:rPr>
          <w:rFonts w:ascii="Times New Roman" w:hAnsi="Times New Roman"/>
        </w:rPr>
        <w:t>Background</w:t>
      </w:r>
    </w:p>
    <w:p w14:paraId="7BB628A5" w14:textId="41132E14" w:rsidR="00641412" w:rsidRDefault="00B71D40" w:rsidP="006F2109">
      <w:pPr>
        <w:tabs>
          <w:tab w:val="left" w:pos="3227"/>
        </w:tabs>
        <w:spacing w:line="480" w:lineRule="auto"/>
        <w:rPr>
          <w:rFonts w:ascii="Times New Roman" w:hAnsi="Times New Roman"/>
        </w:rPr>
      </w:pPr>
      <w:r w:rsidRPr="00B74275">
        <w:t>S</w:t>
      </w:r>
      <w:r>
        <w:rPr>
          <w:rFonts w:ascii="Times New Roman" w:hAnsi="Times New Roman"/>
        </w:rPr>
        <w:t xml:space="preserve">ymptom re-emergence before re-injection negatively impacts cervical dystonia </w:t>
      </w:r>
      <w:r w:rsidR="00FA16AA">
        <w:rPr>
          <w:rFonts w:ascii="Times New Roman" w:hAnsi="Times New Roman"/>
        </w:rPr>
        <w:t xml:space="preserve">(CD) </w:t>
      </w:r>
      <w:r>
        <w:rPr>
          <w:rFonts w:ascii="Times New Roman" w:hAnsi="Times New Roman"/>
        </w:rPr>
        <w:t xml:space="preserve">patients receiving botulinum toxin type A (BoNT-A) therapy. </w:t>
      </w:r>
      <w:r w:rsidR="00CC277F">
        <w:rPr>
          <w:rFonts w:ascii="Times New Roman" w:hAnsi="Times New Roman"/>
        </w:rPr>
        <w:t xml:space="preserve">Confirm plus demo </w:t>
      </w:r>
      <w:r>
        <w:rPr>
          <w:rFonts w:ascii="Times New Roman" w:hAnsi="Times New Roman"/>
        </w:rPr>
        <w:t xml:space="preserve">Longer </w:t>
      </w:r>
      <w:r w:rsidR="00247FFB">
        <w:rPr>
          <w:rFonts w:ascii="Times New Roman" w:hAnsi="Times New Roman"/>
        </w:rPr>
        <w:t xml:space="preserve">waning time </w:t>
      </w:r>
      <w:r w:rsidR="003841FB">
        <w:rPr>
          <w:rFonts w:ascii="Times New Roman" w:hAnsi="Times New Roman"/>
        </w:rPr>
        <w:t xml:space="preserve">is </w:t>
      </w:r>
      <w:r w:rsidR="00247FFB">
        <w:rPr>
          <w:rFonts w:ascii="Times New Roman" w:hAnsi="Times New Roman"/>
        </w:rPr>
        <w:t xml:space="preserve">associated with </w:t>
      </w:r>
      <w:r>
        <w:rPr>
          <w:rFonts w:ascii="Times New Roman" w:hAnsi="Times New Roman"/>
        </w:rPr>
        <w:t>a</w:t>
      </w:r>
      <w:r w:rsidR="00562774">
        <w:rPr>
          <w:rFonts w:ascii="Times New Roman" w:hAnsi="Times New Roman"/>
        </w:rPr>
        <w:t>bo</w:t>
      </w:r>
      <w:r>
        <w:rPr>
          <w:rFonts w:ascii="Times New Roman" w:hAnsi="Times New Roman"/>
        </w:rPr>
        <w:t>botulinumtoxinA (</w:t>
      </w:r>
      <w:r w:rsidR="003079CB">
        <w:rPr>
          <w:rFonts w:ascii="Times New Roman" w:hAnsi="Times New Roman"/>
        </w:rPr>
        <w:t>abo-BoNT-A</w:t>
      </w:r>
      <w:r>
        <w:rPr>
          <w:rFonts w:ascii="Times New Roman" w:hAnsi="Times New Roman"/>
        </w:rPr>
        <w:t>)</w:t>
      </w:r>
      <w:r w:rsidR="00247FFB">
        <w:rPr>
          <w:rFonts w:ascii="Times New Roman" w:hAnsi="Times New Roman"/>
        </w:rPr>
        <w:t xml:space="preserve"> as </w:t>
      </w:r>
      <w:r w:rsidR="00562774">
        <w:rPr>
          <w:rFonts w:ascii="Times New Roman" w:hAnsi="Times New Roman"/>
        </w:rPr>
        <w:t xml:space="preserve">compared </w:t>
      </w:r>
      <w:r>
        <w:rPr>
          <w:rFonts w:ascii="Times New Roman" w:hAnsi="Times New Roman"/>
        </w:rPr>
        <w:t>to onabotulinumtoxinA</w:t>
      </w:r>
      <w:r w:rsidR="00D866F5">
        <w:rPr>
          <w:rFonts w:ascii="Times New Roman" w:hAnsi="Times New Roman"/>
        </w:rPr>
        <w:t xml:space="preserve"> (</w:t>
      </w:r>
      <w:r w:rsidR="003079CB">
        <w:rPr>
          <w:rFonts w:ascii="Times New Roman" w:hAnsi="Times New Roman"/>
        </w:rPr>
        <w:t>ona-BoNT-A</w:t>
      </w:r>
      <w:r w:rsidR="00D866F5">
        <w:rPr>
          <w:rFonts w:ascii="Times New Roman" w:hAnsi="Times New Roman"/>
        </w:rPr>
        <w:t>)</w:t>
      </w:r>
      <w:r>
        <w:rPr>
          <w:rFonts w:ascii="Times New Roman" w:hAnsi="Times New Roman"/>
        </w:rPr>
        <w:t>/incobotulinumtoxinA</w:t>
      </w:r>
      <w:r w:rsidR="00D866F5">
        <w:rPr>
          <w:rFonts w:ascii="Times New Roman" w:hAnsi="Times New Roman"/>
        </w:rPr>
        <w:t xml:space="preserve"> (</w:t>
      </w:r>
      <w:r w:rsidR="003079CB">
        <w:rPr>
          <w:rFonts w:ascii="Times New Roman" w:hAnsi="Times New Roman"/>
        </w:rPr>
        <w:t>inco-BoNT-A</w:t>
      </w:r>
      <w:r w:rsidR="00D866F5">
        <w:rPr>
          <w:rFonts w:ascii="Times New Roman" w:hAnsi="Times New Roman"/>
        </w:rPr>
        <w:t>)</w:t>
      </w:r>
      <w:r>
        <w:rPr>
          <w:rFonts w:ascii="Times New Roman" w:hAnsi="Times New Roman"/>
        </w:rPr>
        <w:t xml:space="preserve"> formulations</w:t>
      </w:r>
      <w:r w:rsidR="00562774">
        <w:rPr>
          <w:rFonts w:ascii="Times New Roman" w:hAnsi="Times New Roman"/>
        </w:rPr>
        <w:t>.</w:t>
      </w:r>
    </w:p>
    <w:p w14:paraId="0DC0DC13" w14:textId="77777777" w:rsidR="00144CBA" w:rsidRDefault="00641412" w:rsidP="006F2109">
      <w:pPr>
        <w:tabs>
          <w:tab w:val="left" w:pos="3227"/>
        </w:tabs>
        <w:spacing w:line="480" w:lineRule="auto"/>
        <w:rPr>
          <w:rFonts w:ascii="Times New Roman" w:hAnsi="Times New Roman"/>
        </w:rPr>
      </w:pPr>
      <w:r w:rsidRPr="00144CBA">
        <w:rPr>
          <w:rFonts w:ascii="Times New Roman" w:hAnsi="Times New Roman"/>
        </w:rPr>
        <w:t>Objectives</w:t>
      </w:r>
    </w:p>
    <w:p w14:paraId="13EC21CB" w14:textId="3AC776BB" w:rsidR="006F2109" w:rsidRPr="00562774" w:rsidRDefault="003036FC" w:rsidP="006F2109">
      <w:pPr>
        <w:tabs>
          <w:tab w:val="left" w:pos="3227"/>
        </w:tabs>
        <w:spacing w:line="480" w:lineRule="auto"/>
        <w:rPr>
          <w:rFonts w:ascii="Times New Roman" w:hAnsi="Times New Roman"/>
        </w:rPr>
      </w:pPr>
      <w:r>
        <w:rPr>
          <w:rFonts w:ascii="Times New Roman" w:hAnsi="Times New Roman"/>
        </w:rPr>
        <w:t>T</w:t>
      </w:r>
      <w:r w:rsidR="00D866F5">
        <w:rPr>
          <w:rFonts w:ascii="Times New Roman" w:hAnsi="Times New Roman"/>
        </w:rPr>
        <w:t xml:space="preserve">o </w:t>
      </w:r>
      <w:r w:rsidR="00247FFB">
        <w:rPr>
          <w:rFonts w:ascii="Times New Roman" w:hAnsi="Times New Roman"/>
        </w:rPr>
        <w:t>compare</w:t>
      </w:r>
      <w:r w:rsidR="00D866F5">
        <w:rPr>
          <w:rFonts w:ascii="Times New Roman" w:hAnsi="Times New Roman"/>
        </w:rPr>
        <w:t xml:space="preserve"> waning time and treatment outcomes </w:t>
      </w:r>
      <w:r>
        <w:rPr>
          <w:rFonts w:ascii="Times New Roman" w:hAnsi="Times New Roman"/>
        </w:rPr>
        <w:t xml:space="preserve">when </w:t>
      </w:r>
      <w:r w:rsidR="00247FFB">
        <w:rPr>
          <w:rFonts w:ascii="Times New Roman" w:hAnsi="Times New Roman"/>
        </w:rPr>
        <w:t xml:space="preserve">chronically injected </w:t>
      </w:r>
      <w:r>
        <w:rPr>
          <w:rFonts w:ascii="Times New Roman" w:hAnsi="Times New Roman"/>
        </w:rPr>
        <w:t xml:space="preserve">CD patients </w:t>
      </w:r>
      <w:r w:rsidR="00247FFB">
        <w:rPr>
          <w:rFonts w:ascii="Times New Roman" w:hAnsi="Times New Roman"/>
        </w:rPr>
        <w:t>experiencing early waning despite being optimized on BoNT-A (</w:t>
      </w:r>
      <w:r w:rsidR="003079CB">
        <w:rPr>
          <w:rFonts w:ascii="Times New Roman" w:hAnsi="Times New Roman"/>
        </w:rPr>
        <w:t>ona-BoNT-A</w:t>
      </w:r>
      <w:r w:rsidR="00247FFB">
        <w:rPr>
          <w:rFonts w:ascii="Times New Roman" w:hAnsi="Times New Roman"/>
        </w:rPr>
        <w:t>/</w:t>
      </w:r>
      <w:r w:rsidR="003079CB">
        <w:rPr>
          <w:rFonts w:ascii="Times New Roman" w:hAnsi="Times New Roman"/>
        </w:rPr>
        <w:t>inco-BoNT-A</w:t>
      </w:r>
      <w:r w:rsidR="00247FFB">
        <w:rPr>
          <w:rFonts w:ascii="Times New Roman" w:hAnsi="Times New Roman"/>
        </w:rPr>
        <w:t xml:space="preserve">) </w:t>
      </w:r>
      <w:r>
        <w:rPr>
          <w:rFonts w:ascii="Times New Roman" w:hAnsi="Times New Roman"/>
        </w:rPr>
        <w:t xml:space="preserve">were converted to </w:t>
      </w:r>
      <w:r w:rsidR="003079CB">
        <w:rPr>
          <w:rFonts w:ascii="Times New Roman" w:hAnsi="Times New Roman"/>
        </w:rPr>
        <w:t>abo-BoNT-A</w:t>
      </w:r>
      <w:r w:rsidR="00D866F5">
        <w:rPr>
          <w:rFonts w:ascii="Times New Roman" w:hAnsi="Times New Roman"/>
        </w:rPr>
        <w:t xml:space="preserve">. </w:t>
      </w:r>
    </w:p>
    <w:p w14:paraId="4D827909" w14:textId="560BAC7D" w:rsidR="00144CBA" w:rsidRDefault="000E29FC" w:rsidP="006F2109">
      <w:pPr>
        <w:tabs>
          <w:tab w:val="left" w:pos="3227"/>
        </w:tabs>
        <w:spacing w:line="480" w:lineRule="auto"/>
        <w:rPr>
          <w:rFonts w:ascii="Times New Roman" w:hAnsi="Times New Roman"/>
        </w:rPr>
      </w:pPr>
      <w:r>
        <w:rPr>
          <w:rFonts w:ascii="Times New Roman" w:hAnsi="Times New Roman"/>
        </w:rPr>
        <w:t>Study m</w:t>
      </w:r>
      <w:r w:rsidR="006F2109" w:rsidRPr="00144CBA">
        <w:rPr>
          <w:rFonts w:ascii="Times New Roman" w:hAnsi="Times New Roman"/>
        </w:rPr>
        <w:t>ethod</w:t>
      </w:r>
      <w:r>
        <w:rPr>
          <w:rFonts w:ascii="Times New Roman" w:hAnsi="Times New Roman"/>
        </w:rPr>
        <w:t>s</w:t>
      </w:r>
    </w:p>
    <w:p w14:paraId="60599F4B" w14:textId="2809F8A4" w:rsidR="006F2109" w:rsidRPr="00BE69AC" w:rsidRDefault="00CD4F71" w:rsidP="006F2109">
      <w:pPr>
        <w:tabs>
          <w:tab w:val="left" w:pos="3227"/>
        </w:tabs>
        <w:spacing w:line="480" w:lineRule="auto"/>
        <w:rPr>
          <w:rFonts w:ascii="Times New Roman" w:hAnsi="Times New Roman"/>
        </w:rPr>
      </w:pPr>
      <w:r>
        <w:rPr>
          <w:rFonts w:ascii="Times New Roman" w:hAnsi="Times New Roman"/>
        </w:rPr>
        <w:t xml:space="preserve">Thirty-three </w:t>
      </w:r>
      <w:r w:rsidR="00F9485E">
        <w:rPr>
          <w:rFonts w:ascii="Times New Roman" w:hAnsi="Times New Roman"/>
        </w:rPr>
        <w:t xml:space="preserve">chronically injected </w:t>
      </w:r>
      <w:r w:rsidR="003841FB">
        <w:rPr>
          <w:rFonts w:ascii="Times New Roman" w:hAnsi="Times New Roman"/>
        </w:rPr>
        <w:t>CD</w:t>
      </w:r>
      <w:r w:rsidR="00FB673B">
        <w:rPr>
          <w:rFonts w:ascii="Times New Roman" w:hAnsi="Times New Roman"/>
        </w:rPr>
        <w:t xml:space="preserve"> </w:t>
      </w:r>
      <w:r>
        <w:rPr>
          <w:rFonts w:ascii="Times New Roman" w:hAnsi="Times New Roman"/>
        </w:rPr>
        <w:t>pa</w:t>
      </w:r>
      <w:r w:rsidR="00E43F90">
        <w:rPr>
          <w:rFonts w:ascii="Times New Roman" w:hAnsi="Times New Roman"/>
        </w:rPr>
        <w:t>r</w:t>
      </w:r>
      <w:r>
        <w:rPr>
          <w:rFonts w:ascii="Times New Roman" w:hAnsi="Times New Roman"/>
        </w:rPr>
        <w:t>ti</w:t>
      </w:r>
      <w:r w:rsidR="00E43F90">
        <w:rPr>
          <w:rFonts w:ascii="Times New Roman" w:hAnsi="Times New Roman"/>
        </w:rPr>
        <w:t>cipa</w:t>
      </w:r>
      <w:r>
        <w:rPr>
          <w:rFonts w:ascii="Times New Roman" w:hAnsi="Times New Roman"/>
        </w:rPr>
        <w:t>nts</w:t>
      </w:r>
      <w:r w:rsidR="00806E2C">
        <w:rPr>
          <w:rFonts w:ascii="Times New Roman" w:hAnsi="Times New Roman"/>
        </w:rPr>
        <w:t xml:space="preserve"> </w:t>
      </w:r>
      <w:r>
        <w:rPr>
          <w:rFonts w:ascii="Times New Roman" w:hAnsi="Times New Roman"/>
        </w:rPr>
        <w:t xml:space="preserve">with a waning time of ≤ 8 weeks were converted to </w:t>
      </w:r>
      <w:r w:rsidR="003079CB">
        <w:rPr>
          <w:rFonts w:ascii="Times New Roman" w:hAnsi="Times New Roman"/>
        </w:rPr>
        <w:t>abo-BoNT-A</w:t>
      </w:r>
      <w:r w:rsidR="00D866F5">
        <w:rPr>
          <w:rFonts w:ascii="Times New Roman" w:hAnsi="Times New Roman"/>
        </w:rPr>
        <w:t xml:space="preserve"> </w:t>
      </w:r>
      <w:r w:rsidR="005D663D">
        <w:rPr>
          <w:rFonts w:ascii="Times New Roman" w:hAnsi="Times New Roman"/>
        </w:rPr>
        <w:t>(</w:t>
      </w:r>
      <w:r>
        <w:rPr>
          <w:rFonts w:ascii="Times New Roman" w:hAnsi="Times New Roman"/>
        </w:rPr>
        <w:t>1:2.5</w:t>
      </w:r>
      <w:r w:rsidR="006D2B38">
        <w:rPr>
          <w:rFonts w:ascii="Times New Roman" w:hAnsi="Times New Roman"/>
        </w:rPr>
        <w:t xml:space="preserve"> dose ratio</w:t>
      </w:r>
      <w:r w:rsidR="005D663D">
        <w:rPr>
          <w:rFonts w:ascii="Times New Roman" w:hAnsi="Times New Roman"/>
        </w:rPr>
        <w:t>)</w:t>
      </w:r>
      <w:r>
        <w:rPr>
          <w:rFonts w:ascii="Times New Roman" w:hAnsi="Times New Roman"/>
        </w:rPr>
        <w:t xml:space="preserve"> for 3 injections every 12</w:t>
      </w:r>
      <w:r w:rsidR="006D2B38">
        <w:rPr>
          <w:rFonts w:ascii="Times New Roman" w:hAnsi="Times New Roman"/>
        </w:rPr>
        <w:t>-</w:t>
      </w:r>
      <w:r>
        <w:rPr>
          <w:rFonts w:ascii="Times New Roman" w:hAnsi="Times New Roman"/>
        </w:rPr>
        <w:t>weeks. The 2</w:t>
      </w:r>
      <w:r w:rsidRPr="00CD4F71">
        <w:rPr>
          <w:rFonts w:ascii="Times New Roman" w:hAnsi="Times New Roman"/>
          <w:vertAlign w:val="superscript"/>
        </w:rPr>
        <w:t>nd</w:t>
      </w:r>
      <w:r>
        <w:rPr>
          <w:rFonts w:ascii="Times New Roman" w:hAnsi="Times New Roman"/>
        </w:rPr>
        <w:t xml:space="preserve"> and 3</w:t>
      </w:r>
      <w:r w:rsidRPr="00CD4F71">
        <w:rPr>
          <w:rFonts w:ascii="Times New Roman" w:hAnsi="Times New Roman"/>
          <w:vertAlign w:val="superscript"/>
        </w:rPr>
        <w:t>rd</w:t>
      </w:r>
      <w:r>
        <w:rPr>
          <w:rFonts w:ascii="Times New Roman" w:hAnsi="Times New Roman"/>
        </w:rPr>
        <w:t xml:space="preserve"> injection patterns </w:t>
      </w:r>
      <w:r w:rsidR="00643FA1">
        <w:rPr>
          <w:rFonts w:ascii="Times New Roman" w:hAnsi="Times New Roman"/>
        </w:rPr>
        <w:t>were</w:t>
      </w:r>
      <w:r>
        <w:rPr>
          <w:rFonts w:ascii="Times New Roman" w:hAnsi="Times New Roman"/>
        </w:rPr>
        <w:t xml:space="preserve"> </w:t>
      </w:r>
      <w:r w:rsidR="006D2B38">
        <w:rPr>
          <w:rFonts w:ascii="Times New Roman" w:hAnsi="Times New Roman"/>
        </w:rPr>
        <w:t xml:space="preserve">kinematically </w:t>
      </w:r>
      <w:r>
        <w:rPr>
          <w:rFonts w:ascii="Times New Roman" w:hAnsi="Times New Roman"/>
        </w:rPr>
        <w:t xml:space="preserve">optimized. </w:t>
      </w:r>
      <w:r w:rsidR="00FB673B">
        <w:rPr>
          <w:rFonts w:ascii="Times New Roman" w:hAnsi="Times New Roman"/>
        </w:rPr>
        <w:t>P</w:t>
      </w:r>
      <w:r w:rsidR="00643FA1">
        <w:rPr>
          <w:rFonts w:ascii="Times New Roman" w:hAnsi="Times New Roman"/>
        </w:rPr>
        <w:t>articipants were converted back to their original BoNT-A for the 4</w:t>
      </w:r>
      <w:r w:rsidR="00643FA1" w:rsidRPr="00CD4F71">
        <w:rPr>
          <w:rFonts w:ascii="Times New Roman" w:hAnsi="Times New Roman"/>
          <w:vertAlign w:val="superscript"/>
        </w:rPr>
        <w:t>th</w:t>
      </w:r>
      <w:r w:rsidR="00643FA1">
        <w:rPr>
          <w:rFonts w:ascii="Times New Roman" w:hAnsi="Times New Roman"/>
        </w:rPr>
        <w:t xml:space="preserve"> injection (1:2.5) using the same 3</w:t>
      </w:r>
      <w:r w:rsidR="00643FA1" w:rsidRPr="00CD4F71">
        <w:rPr>
          <w:rFonts w:ascii="Times New Roman" w:hAnsi="Times New Roman"/>
          <w:vertAlign w:val="superscript"/>
        </w:rPr>
        <w:t>rd</w:t>
      </w:r>
      <w:r w:rsidR="00643FA1">
        <w:rPr>
          <w:rFonts w:ascii="Times New Roman" w:hAnsi="Times New Roman"/>
        </w:rPr>
        <w:t xml:space="preserve"> </w:t>
      </w:r>
      <w:r w:rsidR="003079CB">
        <w:rPr>
          <w:rFonts w:ascii="Times New Roman" w:hAnsi="Times New Roman"/>
        </w:rPr>
        <w:t>abo-BoNT-A</w:t>
      </w:r>
      <w:r w:rsidR="00643FA1">
        <w:rPr>
          <w:rFonts w:ascii="Times New Roman" w:hAnsi="Times New Roman"/>
        </w:rPr>
        <w:t xml:space="preserve"> pattern</w:t>
      </w:r>
      <w:r>
        <w:rPr>
          <w:rFonts w:ascii="Times New Roman" w:hAnsi="Times New Roman"/>
        </w:rPr>
        <w:t>. Pa</w:t>
      </w:r>
      <w:r w:rsidR="003841FB">
        <w:rPr>
          <w:rFonts w:ascii="Times New Roman" w:hAnsi="Times New Roman"/>
        </w:rPr>
        <w:t>r</w:t>
      </w:r>
      <w:r>
        <w:rPr>
          <w:rFonts w:ascii="Times New Roman" w:hAnsi="Times New Roman"/>
        </w:rPr>
        <w:t>ti</w:t>
      </w:r>
      <w:r w:rsidR="003841FB">
        <w:rPr>
          <w:rFonts w:ascii="Times New Roman" w:hAnsi="Times New Roman"/>
        </w:rPr>
        <w:t>cipa</w:t>
      </w:r>
      <w:r>
        <w:rPr>
          <w:rFonts w:ascii="Times New Roman" w:hAnsi="Times New Roman"/>
        </w:rPr>
        <w:t xml:space="preserve">nt-perceived waning times were collected </w:t>
      </w:r>
      <w:r w:rsidR="002357CB">
        <w:rPr>
          <w:rFonts w:ascii="Times New Roman" w:hAnsi="Times New Roman"/>
        </w:rPr>
        <w:t>post-</w:t>
      </w:r>
      <w:r>
        <w:rPr>
          <w:rFonts w:ascii="Times New Roman" w:hAnsi="Times New Roman"/>
        </w:rPr>
        <w:t>injection</w:t>
      </w:r>
      <w:r w:rsidR="00FB673B">
        <w:rPr>
          <w:rFonts w:ascii="Times New Roman" w:hAnsi="Times New Roman"/>
        </w:rPr>
        <w:t>s</w:t>
      </w:r>
      <w:r w:rsidR="007F1583">
        <w:rPr>
          <w:rFonts w:ascii="Times New Roman" w:hAnsi="Times New Roman"/>
        </w:rPr>
        <w:t>. C</w:t>
      </w:r>
      <w:r>
        <w:rPr>
          <w:rFonts w:ascii="Times New Roman" w:hAnsi="Times New Roman"/>
        </w:rPr>
        <w:t>linical scales</w:t>
      </w:r>
      <w:r w:rsidR="007F1583">
        <w:rPr>
          <w:rFonts w:ascii="Times New Roman" w:hAnsi="Times New Roman"/>
        </w:rPr>
        <w:t xml:space="preserve"> (Toronto Western Spasmodic Torticollis Rating Scale; TWSTRS)</w:t>
      </w:r>
      <w:r>
        <w:rPr>
          <w:rFonts w:ascii="Times New Roman" w:hAnsi="Times New Roman"/>
        </w:rPr>
        <w:t xml:space="preserve"> and kinematic measures were collected 12-weeks post-injection and at 3 peak</w:t>
      </w:r>
      <w:r w:rsidR="005D663D">
        <w:rPr>
          <w:rFonts w:ascii="Times New Roman" w:hAnsi="Times New Roman"/>
        </w:rPr>
        <w:t xml:space="preserve"> </w:t>
      </w:r>
      <w:r>
        <w:rPr>
          <w:rFonts w:ascii="Times New Roman" w:hAnsi="Times New Roman"/>
        </w:rPr>
        <w:t>effect time-points</w:t>
      </w:r>
      <w:r w:rsidR="000803EE">
        <w:rPr>
          <w:rFonts w:ascii="Times New Roman" w:hAnsi="Times New Roman"/>
        </w:rPr>
        <w:t>[12]</w:t>
      </w:r>
      <w:r>
        <w:rPr>
          <w:rFonts w:ascii="Times New Roman" w:hAnsi="Times New Roman"/>
        </w:rPr>
        <w:t>.</w:t>
      </w:r>
      <w:r w:rsidR="00FB673B">
        <w:rPr>
          <w:rFonts w:ascii="Times New Roman" w:hAnsi="Times New Roman"/>
        </w:rPr>
        <w:t xml:space="preserve"> </w:t>
      </w:r>
    </w:p>
    <w:p w14:paraId="0732C08A" w14:textId="0FD98FC2" w:rsidR="00144CBA" w:rsidRDefault="000E29FC" w:rsidP="00B36B55">
      <w:pPr>
        <w:tabs>
          <w:tab w:val="left" w:pos="3227"/>
        </w:tabs>
        <w:spacing w:line="480" w:lineRule="auto"/>
        <w:rPr>
          <w:rFonts w:ascii="Times New Roman" w:hAnsi="Times New Roman"/>
          <w:lang w:val="en-CA"/>
        </w:rPr>
      </w:pPr>
      <w:r>
        <w:rPr>
          <w:rFonts w:ascii="Times New Roman" w:hAnsi="Times New Roman"/>
          <w:lang w:val="en-CA"/>
        </w:rPr>
        <w:t>Final r</w:t>
      </w:r>
      <w:r w:rsidR="006F2109" w:rsidRPr="00144CBA">
        <w:rPr>
          <w:rFonts w:ascii="Times New Roman" w:hAnsi="Times New Roman"/>
          <w:lang w:val="en-CA"/>
        </w:rPr>
        <w:t>esult</w:t>
      </w:r>
    </w:p>
    <w:p w14:paraId="3B5BE800" w14:textId="61E9E485" w:rsidR="00144CBA" w:rsidRDefault="00643FA1" w:rsidP="00B36B55">
      <w:pPr>
        <w:tabs>
          <w:tab w:val="left" w:pos="3227"/>
        </w:tabs>
        <w:spacing w:line="480" w:lineRule="auto"/>
        <w:rPr>
          <w:rFonts w:ascii="Times New Roman" w:hAnsi="Times New Roman"/>
          <w:lang w:val="en-CA"/>
        </w:rPr>
      </w:pPr>
      <w:r>
        <w:rPr>
          <w:rFonts w:ascii="Times New Roman" w:hAnsi="Times New Roman"/>
          <w:lang w:val="en-CA"/>
        </w:rPr>
        <w:t>Compared to baseline, w</w:t>
      </w:r>
      <w:r w:rsidR="00E6304A">
        <w:rPr>
          <w:rFonts w:ascii="Times New Roman" w:hAnsi="Times New Roman"/>
          <w:lang w:val="en-CA"/>
        </w:rPr>
        <w:t>aning time (</w:t>
      </w:r>
      <w:r w:rsidR="002357CB">
        <w:rPr>
          <w:rFonts w:ascii="Times New Roman" w:hAnsi="Times New Roman"/>
          <w:lang w:val="en-CA"/>
        </w:rPr>
        <w:t>12-</w:t>
      </w:r>
      <w:r w:rsidR="00E6304A">
        <w:rPr>
          <w:rFonts w:ascii="Times New Roman" w:hAnsi="Times New Roman"/>
          <w:lang w:val="en-CA"/>
        </w:rPr>
        <w:t xml:space="preserve">22 days) </w:t>
      </w:r>
      <w:r w:rsidR="00BD59E0">
        <w:rPr>
          <w:rFonts w:ascii="Times New Roman" w:hAnsi="Times New Roman"/>
          <w:lang w:val="en-CA"/>
        </w:rPr>
        <w:t xml:space="preserve">significantly increased following </w:t>
      </w:r>
      <w:r w:rsidR="00E6304A">
        <w:rPr>
          <w:rFonts w:ascii="Times New Roman" w:hAnsi="Times New Roman"/>
          <w:lang w:val="en-CA"/>
        </w:rPr>
        <w:t xml:space="preserve">all </w:t>
      </w:r>
      <w:r w:rsidR="003079CB">
        <w:rPr>
          <w:rFonts w:ascii="Times New Roman" w:hAnsi="Times New Roman"/>
          <w:lang w:val="en-CA"/>
        </w:rPr>
        <w:t>abo-BoNT-A</w:t>
      </w:r>
      <w:r w:rsidR="00E6304A">
        <w:rPr>
          <w:rFonts w:ascii="Times New Roman" w:hAnsi="Times New Roman"/>
          <w:lang w:val="en-CA"/>
        </w:rPr>
        <w:t xml:space="preserve"> treatments (</w:t>
      </w:r>
      <w:r w:rsidR="00E6304A">
        <w:rPr>
          <w:rFonts w:ascii="Times New Roman" w:hAnsi="Times New Roman"/>
          <w:i/>
          <w:iCs/>
        </w:rPr>
        <w:t>p</w:t>
      </w:r>
      <w:r w:rsidR="00E6304A">
        <w:rPr>
          <w:rFonts w:ascii="Times New Roman" w:hAnsi="Times New Roman"/>
        </w:rPr>
        <w:t>&lt;0.005</w:t>
      </w:r>
      <w:r w:rsidR="007F1583">
        <w:rPr>
          <w:rFonts w:ascii="Times New Roman" w:hAnsi="Times New Roman"/>
        </w:rPr>
        <w:t>) but</w:t>
      </w:r>
      <w:r w:rsidR="00E6304A">
        <w:rPr>
          <w:rFonts w:ascii="Times New Roman" w:hAnsi="Times New Roman"/>
        </w:rPr>
        <w:t xml:space="preserve"> was not significantly different at the 4</w:t>
      </w:r>
      <w:r w:rsidR="00E6304A" w:rsidRPr="00E6304A">
        <w:rPr>
          <w:rFonts w:ascii="Times New Roman" w:hAnsi="Times New Roman"/>
          <w:vertAlign w:val="superscript"/>
        </w:rPr>
        <w:t>th</w:t>
      </w:r>
      <w:r w:rsidR="00E6304A">
        <w:rPr>
          <w:rFonts w:ascii="Times New Roman" w:hAnsi="Times New Roman"/>
        </w:rPr>
        <w:t xml:space="preserve"> injection</w:t>
      </w:r>
      <w:r w:rsidR="00C250B4">
        <w:rPr>
          <w:rFonts w:ascii="Times New Roman" w:hAnsi="Times New Roman"/>
        </w:rPr>
        <w:t xml:space="preserve"> (original BoNT-A</w:t>
      </w:r>
      <w:r w:rsidR="00FB673B">
        <w:rPr>
          <w:rFonts w:ascii="Times New Roman" w:hAnsi="Times New Roman"/>
        </w:rPr>
        <w:t xml:space="preserve"> reconversion</w:t>
      </w:r>
      <w:r w:rsidR="00C250B4">
        <w:rPr>
          <w:rFonts w:ascii="Times New Roman" w:hAnsi="Times New Roman"/>
        </w:rPr>
        <w:t>)</w:t>
      </w:r>
      <w:r w:rsidR="00E6304A">
        <w:rPr>
          <w:rFonts w:ascii="Times New Roman" w:hAnsi="Times New Roman"/>
          <w:lang w:val="en-CA"/>
        </w:rPr>
        <w:t>.</w:t>
      </w:r>
      <w:r w:rsidR="007F1583">
        <w:rPr>
          <w:rFonts w:ascii="Times New Roman" w:hAnsi="Times New Roman"/>
          <w:lang w:val="en-CA"/>
        </w:rPr>
        <w:t xml:space="preserve"> TWSTRS </w:t>
      </w:r>
      <w:r w:rsidR="00C250B4">
        <w:rPr>
          <w:rFonts w:ascii="Times New Roman" w:hAnsi="Times New Roman"/>
          <w:lang w:val="en-CA"/>
        </w:rPr>
        <w:t>sub-</w:t>
      </w:r>
      <w:r w:rsidR="007F1583">
        <w:rPr>
          <w:rFonts w:ascii="Times New Roman" w:hAnsi="Times New Roman"/>
          <w:lang w:val="en-CA"/>
        </w:rPr>
        <w:t xml:space="preserve">scores significantly reduced following all </w:t>
      </w:r>
      <w:r w:rsidR="003079CB">
        <w:rPr>
          <w:rFonts w:ascii="Times New Roman" w:hAnsi="Times New Roman"/>
          <w:lang w:val="en-CA"/>
        </w:rPr>
        <w:t>abo-BoNT-A</w:t>
      </w:r>
      <w:r w:rsidR="007F1583">
        <w:rPr>
          <w:rFonts w:ascii="Times New Roman" w:hAnsi="Times New Roman"/>
          <w:lang w:val="en-CA"/>
        </w:rPr>
        <w:t xml:space="preserve"> treatments (</w:t>
      </w:r>
      <w:r w:rsidR="007F1583">
        <w:rPr>
          <w:rFonts w:ascii="Times New Roman" w:hAnsi="Times New Roman"/>
          <w:i/>
          <w:iCs/>
          <w:lang w:val="en-CA"/>
        </w:rPr>
        <w:t>p</w:t>
      </w:r>
      <w:r w:rsidR="007F1583">
        <w:rPr>
          <w:rFonts w:ascii="Times New Roman" w:hAnsi="Times New Roman"/>
          <w:lang w:val="en-CA"/>
        </w:rPr>
        <w:t>&lt;0.0001)</w:t>
      </w:r>
      <w:r w:rsidR="00C250B4">
        <w:rPr>
          <w:rFonts w:ascii="Times New Roman" w:hAnsi="Times New Roman"/>
          <w:lang w:val="en-CA"/>
        </w:rPr>
        <w:t xml:space="preserve"> and at peak effect following the 3</w:t>
      </w:r>
      <w:r w:rsidR="00C250B4" w:rsidRPr="00C250B4">
        <w:rPr>
          <w:rFonts w:ascii="Times New Roman" w:hAnsi="Times New Roman"/>
          <w:vertAlign w:val="superscript"/>
          <w:lang w:val="en-CA"/>
        </w:rPr>
        <w:t>rd</w:t>
      </w:r>
      <w:r w:rsidR="00C250B4">
        <w:rPr>
          <w:rFonts w:ascii="Times New Roman" w:hAnsi="Times New Roman"/>
          <w:lang w:val="en-CA"/>
        </w:rPr>
        <w:t xml:space="preserve"> injection compared to original BoNT-A</w:t>
      </w:r>
      <w:r w:rsidR="007F1583">
        <w:rPr>
          <w:rFonts w:ascii="Times New Roman" w:hAnsi="Times New Roman"/>
          <w:lang w:val="en-CA"/>
        </w:rPr>
        <w:t xml:space="preserve">. </w:t>
      </w:r>
      <w:r w:rsidR="002A68FA">
        <w:rPr>
          <w:rFonts w:ascii="Times New Roman" w:hAnsi="Times New Roman"/>
          <w:lang w:val="en-CA"/>
        </w:rPr>
        <w:t>Dysphagia and muscle weakness w</w:t>
      </w:r>
      <w:r w:rsidR="003841FB">
        <w:rPr>
          <w:rFonts w:ascii="Times New Roman" w:hAnsi="Times New Roman"/>
          <w:lang w:val="en-CA"/>
        </w:rPr>
        <w:t>ere</w:t>
      </w:r>
      <w:r w:rsidR="002A68FA">
        <w:rPr>
          <w:rFonts w:ascii="Times New Roman" w:hAnsi="Times New Roman"/>
          <w:lang w:val="en-CA"/>
        </w:rPr>
        <w:t xml:space="preserve"> reported and comparable to safety of original BoNT-A </w:t>
      </w:r>
      <w:r w:rsidR="002A68FA">
        <w:rPr>
          <w:rFonts w:ascii="Times New Roman" w:hAnsi="Times New Roman"/>
          <w:lang w:val="en-CA"/>
        </w:rPr>
        <w:lastRenderedPageBreak/>
        <w:t>formulation</w:t>
      </w:r>
      <w:r w:rsidR="008E1374">
        <w:rPr>
          <w:rFonts w:ascii="Times New Roman" w:hAnsi="Times New Roman"/>
          <w:lang w:val="en-CA"/>
        </w:rPr>
        <w:t>s</w:t>
      </w:r>
      <w:r w:rsidR="002A68FA">
        <w:rPr>
          <w:rFonts w:ascii="Times New Roman" w:hAnsi="Times New Roman"/>
          <w:lang w:val="en-CA"/>
        </w:rPr>
        <w:t>.</w:t>
      </w:r>
      <w:r w:rsidR="006F2109" w:rsidRPr="002C5D8B">
        <w:rPr>
          <w:rFonts w:ascii="Times New Roman" w:hAnsi="Times New Roman"/>
          <w:i/>
          <w:iCs/>
          <w:lang w:val="en-CA"/>
        </w:rPr>
        <w:br/>
      </w:r>
      <w:r w:rsidR="006F2109" w:rsidRPr="00144CBA">
        <w:rPr>
          <w:rFonts w:ascii="Times New Roman" w:hAnsi="Times New Roman"/>
          <w:lang w:val="en-CA"/>
        </w:rPr>
        <w:t>Conclusions</w:t>
      </w:r>
    </w:p>
    <w:p w14:paraId="660B5484" w14:textId="4FE0109B" w:rsidR="006F2109" w:rsidRDefault="003841FB" w:rsidP="00B36B55">
      <w:pPr>
        <w:tabs>
          <w:tab w:val="left" w:pos="3227"/>
        </w:tabs>
        <w:spacing w:line="480" w:lineRule="auto"/>
        <w:rPr>
          <w:rFonts w:ascii="Times New Roman" w:hAnsi="Times New Roman"/>
          <w:lang w:val="en-CA"/>
        </w:rPr>
      </w:pPr>
      <w:r w:rsidRPr="00421226">
        <w:rPr>
          <w:rFonts w:ascii="Times New Roman" w:hAnsi="Times New Roman"/>
          <w:color w:val="000000"/>
          <w:lang w:val="en-CA"/>
        </w:rPr>
        <w:t>O</w:t>
      </w:r>
      <w:r w:rsidR="00643FA1" w:rsidRPr="00421226">
        <w:rPr>
          <w:rFonts w:ascii="Times New Roman" w:hAnsi="Times New Roman"/>
          <w:color w:val="000000"/>
          <w:lang w:val="en-CA"/>
        </w:rPr>
        <w:t xml:space="preserve">ptimized patients experiencing waning had significant improvement in the peak benefit as well as the duration of effect when converted to </w:t>
      </w:r>
      <w:r w:rsidR="003079CB">
        <w:rPr>
          <w:rFonts w:ascii="Times New Roman" w:hAnsi="Times New Roman"/>
          <w:lang w:val="en-CA"/>
        </w:rPr>
        <w:t>abo-BoNT-A</w:t>
      </w:r>
      <w:r w:rsidR="00643FA1">
        <w:rPr>
          <w:rFonts w:ascii="Times New Roman" w:hAnsi="Times New Roman"/>
          <w:lang w:val="en-CA"/>
        </w:rPr>
        <w:t xml:space="preserve">. This effect was toxin dependent as reconversion to the original </w:t>
      </w:r>
      <w:r>
        <w:rPr>
          <w:rFonts w:ascii="Times New Roman" w:hAnsi="Times New Roman"/>
          <w:lang w:val="en-CA"/>
        </w:rPr>
        <w:t>BoNT-A</w:t>
      </w:r>
      <w:r w:rsidR="00643FA1">
        <w:rPr>
          <w:rFonts w:ascii="Times New Roman" w:hAnsi="Times New Roman"/>
          <w:lang w:val="en-CA"/>
        </w:rPr>
        <w:t xml:space="preserve"> </w:t>
      </w:r>
      <w:r w:rsidR="00455345">
        <w:rPr>
          <w:rFonts w:ascii="Times New Roman" w:hAnsi="Times New Roman"/>
          <w:lang w:val="en-CA"/>
        </w:rPr>
        <w:t>using</w:t>
      </w:r>
      <w:r w:rsidR="00643FA1">
        <w:rPr>
          <w:rFonts w:ascii="Times New Roman" w:hAnsi="Times New Roman"/>
          <w:lang w:val="en-CA"/>
        </w:rPr>
        <w:t xml:space="preserve"> the kinematically optimized pattern failed to produce </w:t>
      </w:r>
      <w:r w:rsidR="00455345">
        <w:rPr>
          <w:rFonts w:ascii="Times New Roman" w:hAnsi="Times New Roman"/>
          <w:lang w:val="en-CA"/>
        </w:rPr>
        <w:t xml:space="preserve">an </w:t>
      </w:r>
      <w:r w:rsidR="00643FA1">
        <w:rPr>
          <w:rFonts w:ascii="Times New Roman" w:hAnsi="Times New Roman"/>
          <w:lang w:val="en-CA"/>
        </w:rPr>
        <w:t xml:space="preserve">improvement in waning. </w:t>
      </w:r>
      <w:r w:rsidR="006F2109" w:rsidRPr="002C5D8B">
        <w:rPr>
          <w:rFonts w:ascii="Times New Roman" w:hAnsi="Times New Roman"/>
          <w:lang w:val="en-CA"/>
        </w:rPr>
        <w:br w:type="page"/>
      </w:r>
    </w:p>
    <w:p w14:paraId="7F2AFA7F" w14:textId="77777777" w:rsidR="00B74275" w:rsidRDefault="00B74275" w:rsidP="00B36B55">
      <w:pPr>
        <w:tabs>
          <w:tab w:val="left" w:pos="3227"/>
        </w:tabs>
        <w:spacing w:line="480" w:lineRule="auto"/>
        <w:rPr>
          <w:rFonts w:ascii="Times New Roman" w:hAnsi="Times New Roman"/>
          <w:lang w:val="en-CA"/>
        </w:rPr>
      </w:pPr>
    </w:p>
    <w:p w14:paraId="2C3C3CF7" w14:textId="77777777" w:rsidR="00B74275" w:rsidRDefault="00B74275" w:rsidP="00B74275">
      <w:pPr>
        <w:rPr>
          <w:rFonts w:ascii="Times New Roman" w:hAnsi="Times New Roman"/>
          <w:b/>
        </w:rPr>
      </w:pPr>
    </w:p>
    <w:p w14:paraId="445FD0B6" w14:textId="77777777" w:rsidR="00B74275" w:rsidRDefault="00B74275" w:rsidP="00B74275"/>
    <w:p w14:paraId="4DAACB0B" w14:textId="77777777" w:rsidR="00B74275" w:rsidRPr="002C5D8B" w:rsidRDefault="00B74275" w:rsidP="00B36B55">
      <w:pPr>
        <w:tabs>
          <w:tab w:val="left" w:pos="3227"/>
        </w:tabs>
        <w:spacing w:line="480" w:lineRule="auto"/>
        <w:rPr>
          <w:rFonts w:ascii="Times New Roman" w:hAnsi="Times New Roman"/>
          <w:lang w:val="en-CA"/>
        </w:rPr>
      </w:pPr>
    </w:p>
    <w:p w14:paraId="0DE634AB" w14:textId="21E7EAD9" w:rsidR="00D12CC8" w:rsidRPr="00D12CC8" w:rsidRDefault="00D12CC8" w:rsidP="006F2109">
      <w:pPr>
        <w:tabs>
          <w:tab w:val="left" w:pos="3227"/>
        </w:tabs>
        <w:spacing w:line="480" w:lineRule="auto"/>
        <w:rPr>
          <w:rFonts w:ascii="Times New Roman" w:hAnsi="Times New Roman"/>
          <w:b/>
          <w:bCs/>
        </w:rPr>
      </w:pPr>
      <w:r w:rsidRPr="00D12CC8">
        <w:rPr>
          <w:rFonts w:ascii="Times New Roman" w:hAnsi="Times New Roman"/>
          <w:b/>
          <w:bCs/>
        </w:rPr>
        <w:t>Introduction</w:t>
      </w:r>
    </w:p>
    <w:p w14:paraId="607AE8F9" w14:textId="58DD60E9" w:rsidR="00305511" w:rsidRDefault="00CE7C73" w:rsidP="006F2109">
      <w:pPr>
        <w:tabs>
          <w:tab w:val="left" w:pos="3227"/>
        </w:tabs>
        <w:spacing w:line="480" w:lineRule="auto"/>
        <w:rPr>
          <w:rFonts w:ascii="Times New Roman" w:hAnsi="Times New Roman"/>
        </w:rPr>
      </w:pPr>
      <w:r>
        <w:rPr>
          <w:rFonts w:ascii="Times New Roman" w:hAnsi="Times New Roman"/>
        </w:rPr>
        <w:t>B</w:t>
      </w:r>
      <w:r w:rsidRPr="00ED2EED">
        <w:rPr>
          <w:rFonts w:ascii="Times New Roman" w:hAnsi="Times New Roman"/>
        </w:rPr>
        <w:t xml:space="preserve">otulinum toxin type A (BoNT-A) </w:t>
      </w:r>
      <w:r>
        <w:rPr>
          <w:rFonts w:ascii="Times New Roman" w:hAnsi="Times New Roman"/>
        </w:rPr>
        <w:t>is an e</w:t>
      </w:r>
      <w:r w:rsidR="00BC7A86">
        <w:rPr>
          <w:rFonts w:ascii="Times New Roman" w:hAnsi="Times New Roman"/>
        </w:rPr>
        <w:t xml:space="preserve">ffective and safe </w:t>
      </w:r>
      <w:r w:rsidR="00B863AD">
        <w:rPr>
          <w:rFonts w:ascii="Times New Roman" w:hAnsi="Times New Roman"/>
        </w:rPr>
        <w:t xml:space="preserve">first-line therapy for </w:t>
      </w:r>
      <w:r w:rsidR="00ED2EED" w:rsidRPr="00ED2EED">
        <w:rPr>
          <w:rFonts w:ascii="Times New Roman" w:hAnsi="Times New Roman"/>
        </w:rPr>
        <w:t>cervical dystonia (CD)</w:t>
      </w:r>
      <w:r w:rsidR="00EA6CA0">
        <w:rPr>
          <w:rFonts w:ascii="Times New Roman" w:hAnsi="Times New Roman"/>
        </w:rPr>
        <w:t xml:space="preserve"> [</w:t>
      </w:r>
      <w:r w:rsidR="004C5851">
        <w:rPr>
          <w:rFonts w:ascii="Times New Roman" w:hAnsi="Times New Roman"/>
        </w:rPr>
        <w:t>1</w:t>
      </w:r>
      <w:r w:rsidR="00EA6CA0">
        <w:rPr>
          <w:rFonts w:ascii="Times New Roman" w:hAnsi="Times New Roman"/>
        </w:rPr>
        <w:t>]</w:t>
      </w:r>
      <w:r w:rsidR="004C5851">
        <w:rPr>
          <w:rFonts w:ascii="Times New Roman" w:hAnsi="Times New Roman"/>
        </w:rPr>
        <w:t>.</w:t>
      </w:r>
      <w:r w:rsidR="00F962F7">
        <w:rPr>
          <w:rFonts w:ascii="Times New Roman" w:hAnsi="Times New Roman"/>
        </w:rPr>
        <w:t xml:space="preserve"> </w:t>
      </w:r>
      <w:r w:rsidR="00CA2CA5">
        <w:rPr>
          <w:rFonts w:ascii="Times New Roman" w:hAnsi="Times New Roman"/>
        </w:rPr>
        <w:t>Howeve</w:t>
      </w:r>
      <w:r w:rsidR="00F962F7">
        <w:rPr>
          <w:rFonts w:ascii="Times New Roman" w:hAnsi="Times New Roman"/>
        </w:rPr>
        <w:t>r</w:t>
      </w:r>
      <w:r w:rsidR="00CA2CA5">
        <w:rPr>
          <w:rFonts w:ascii="Times New Roman" w:hAnsi="Times New Roman"/>
        </w:rPr>
        <w:t>,</w:t>
      </w:r>
      <w:r w:rsidR="008366A5">
        <w:rPr>
          <w:rFonts w:ascii="Times New Roman" w:hAnsi="Times New Roman"/>
        </w:rPr>
        <w:t xml:space="preserve"> in a recent patient perspective survey, symptom re-emergence between injections (</w:t>
      </w:r>
      <w:r w:rsidR="0048357F">
        <w:rPr>
          <w:rFonts w:ascii="Times New Roman" w:hAnsi="Times New Roman"/>
        </w:rPr>
        <w:t xml:space="preserve">a </w:t>
      </w:r>
      <w:r w:rsidR="008366A5">
        <w:rPr>
          <w:rFonts w:ascii="Times New Roman" w:hAnsi="Times New Roman"/>
        </w:rPr>
        <w:t xml:space="preserve">mean 10.5 weeks) was reported in 88% of patients </w:t>
      </w:r>
      <w:r w:rsidR="002C681C">
        <w:rPr>
          <w:rFonts w:ascii="Times New Roman" w:hAnsi="Times New Roman"/>
        </w:rPr>
        <w:t>with a waning time of ≤ 8 weeks in one-third of patients</w:t>
      </w:r>
      <w:r w:rsidR="00EA6CA0">
        <w:rPr>
          <w:rFonts w:ascii="Times New Roman" w:hAnsi="Times New Roman"/>
        </w:rPr>
        <w:t>[</w:t>
      </w:r>
      <w:r w:rsidR="004C5851">
        <w:rPr>
          <w:rFonts w:ascii="Times New Roman" w:hAnsi="Times New Roman"/>
        </w:rPr>
        <w:t>2</w:t>
      </w:r>
      <w:r w:rsidR="00EA6CA0">
        <w:rPr>
          <w:rFonts w:ascii="Times New Roman" w:hAnsi="Times New Roman"/>
        </w:rPr>
        <w:t>]</w:t>
      </w:r>
      <w:r w:rsidR="004C5851">
        <w:rPr>
          <w:rFonts w:ascii="Times New Roman" w:hAnsi="Times New Roman"/>
        </w:rPr>
        <w:t>.</w:t>
      </w:r>
      <w:r w:rsidR="00EC236A">
        <w:rPr>
          <w:rFonts w:ascii="Times New Roman" w:hAnsi="Times New Roman"/>
        </w:rPr>
        <w:t>Waning treatment effects prior</w:t>
      </w:r>
      <w:r w:rsidR="007F0A89">
        <w:rPr>
          <w:rFonts w:ascii="Times New Roman" w:hAnsi="Times New Roman"/>
        </w:rPr>
        <w:t xml:space="preserve"> to re-injection</w:t>
      </w:r>
      <w:r w:rsidR="00EC236A">
        <w:rPr>
          <w:rFonts w:ascii="Times New Roman" w:hAnsi="Times New Roman"/>
        </w:rPr>
        <w:t xml:space="preserve"> reduces quality of life as </w:t>
      </w:r>
      <w:r w:rsidR="007F0A89" w:rsidRPr="007F0A89">
        <w:rPr>
          <w:rFonts w:ascii="Times New Roman" w:hAnsi="Times New Roman"/>
        </w:rPr>
        <w:t xml:space="preserve">47% </w:t>
      </w:r>
      <w:r w:rsidR="007F0A89">
        <w:rPr>
          <w:rFonts w:ascii="Times New Roman" w:hAnsi="Times New Roman"/>
        </w:rPr>
        <w:t>of patients</w:t>
      </w:r>
      <w:r w:rsidR="00A02498">
        <w:rPr>
          <w:rFonts w:ascii="Times New Roman" w:hAnsi="Times New Roman"/>
        </w:rPr>
        <w:t xml:space="preserve"> are</w:t>
      </w:r>
      <w:r w:rsidR="007F0A89" w:rsidRPr="007F0A89">
        <w:rPr>
          <w:rFonts w:ascii="Times New Roman" w:hAnsi="Times New Roman"/>
        </w:rPr>
        <w:t xml:space="preserve"> somewhat satisfied, and 39% were not satisfied </w:t>
      </w:r>
      <w:r w:rsidR="00CA2CA5">
        <w:rPr>
          <w:rFonts w:ascii="Times New Roman" w:hAnsi="Times New Roman"/>
        </w:rPr>
        <w:t xml:space="preserve">with their therapy </w:t>
      </w:r>
      <w:r w:rsidR="007F0A89">
        <w:rPr>
          <w:rFonts w:ascii="Times New Roman" w:hAnsi="Times New Roman"/>
        </w:rPr>
        <w:t xml:space="preserve">as </w:t>
      </w:r>
      <w:r w:rsidR="00A02498">
        <w:rPr>
          <w:rFonts w:ascii="Times New Roman" w:hAnsi="Times New Roman"/>
        </w:rPr>
        <w:t>symptom</w:t>
      </w:r>
      <w:r w:rsidR="000E4464">
        <w:rPr>
          <w:rFonts w:ascii="Times New Roman" w:hAnsi="Times New Roman"/>
        </w:rPr>
        <w:t xml:space="preserve">s </w:t>
      </w:r>
      <w:r w:rsidR="00A02498">
        <w:rPr>
          <w:rFonts w:ascii="Times New Roman" w:hAnsi="Times New Roman"/>
        </w:rPr>
        <w:t xml:space="preserve">may </w:t>
      </w:r>
      <w:r w:rsidR="004632CB">
        <w:rPr>
          <w:rFonts w:ascii="Times New Roman" w:hAnsi="Times New Roman"/>
        </w:rPr>
        <w:t xml:space="preserve">follow </w:t>
      </w:r>
      <w:r w:rsidR="004632CB" w:rsidRPr="00767005">
        <w:rPr>
          <w:rFonts w:ascii="Times New Roman" w:hAnsi="Times New Roman"/>
        </w:rPr>
        <w:t>a “yo-yo” pattern</w:t>
      </w:r>
      <w:r w:rsidR="00EA6CA0">
        <w:rPr>
          <w:rFonts w:ascii="Times New Roman" w:hAnsi="Times New Roman"/>
        </w:rPr>
        <w:t>[</w:t>
      </w:r>
      <w:r w:rsidR="004C5851">
        <w:rPr>
          <w:rFonts w:ascii="Times New Roman" w:hAnsi="Times New Roman"/>
        </w:rPr>
        <w:t>3,4</w:t>
      </w:r>
      <w:r w:rsidR="00EA6CA0">
        <w:rPr>
          <w:rFonts w:ascii="Times New Roman" w:hAnsi="Times New Roman"/>
        </w:rPr>
        <w:t>]</w:t>
      </w:r>
      <w:r w:rsidR="00917278">
        <w:rPr>
          <w:rFonts w:ascii="Times New Roman" w:hAnsi="Times New Roman"/>
        </w:rPr>
        <w:t xml:space="preserve"> </w:t>
      </w:r>
      <w:r w:rsidR="002866F9" w:rsidRPr="00ED2EED">
        <w:rPr>
          <w:rFonts w:ascii="Times New Roman" w:hAnsi="Times New Roman"/>
        </w:rPr>
        <w:t xml:space="preserve">45% of patients would prefer </w:t>
      </w:r>
      <w:r w:rsidR="002866F9">
        <w:rPr>
          <w:rFonts w:ascii="Times New Roman" w:hAnsi="Times New Roman"/>
        </w:rPr>
        <w:t xml:space="preserve">a </w:t>
      </w:r>
      <w:r w:rsidR="002866F9" w:rsidRPr="00ED2EED">
        <w:rPr>
          <w:rFonts w:ascii="Times New Roman" w:hAnsi="Times New Roman"/>
        </w:rPr>
        <w:t>≤</w:t>
      </w:r>
      <w:r w:rsidR="002866F9">
        <w:rPr>
          <w:rFonts w:ascii="Times New Roman" w:hAnsi="Times New Roman"/>
        </w:rPr>
        <w:t xml:space="preserve"> </w:t>
      </w:r>
      <w:r w:rsidR="002866F9" w:rsidRPr="00ED2EED">
        <w:rPr>
          <w:rFonts w:ascii="Times New Roman" w:hAnsi="Times New Roman"/>
        </w:rPr>
        <w:t xml:space="preserve">10-week treatment cycle due to </w:t>
      </w:r>
      <w:r w:rsidR="002866F9">
        <w:rPr>
          <w:rFonts w:ascii="Times New Roman" w:hAnsi="Times New Roman"/>
        </w:rPr>
        <w:t>the</w:t>
      </w:r>
      <w:r w:rsidR="002866F9" w:rsidRPr="00ED2EED">
        <w:rPr>
          <w:rFonts w:ascii="Times New Roman" w:hAnsi="Times New Roman"/>
        </w:rPr>
        <w:t xml:space="preserve"> short therapeutic response</w:t>
      </w:r>
      <w:r w:rsidR="00EA6CA0">
        <w:rPr>
          <w:rFonts w:ascii="Times New Roman" w:hAnsi="Times New Roman"/>
        </w:rPr>
        <w:t>[</w:t>
      </w:r>
      <w:r w:rsidR="004C5851">
        <w:rPr>
          <w:rFonts w:ascii="Times New Roman" w:hAnsi="Times New Roman"/>
        </w:rPr>
        <w:t>4</w:t>
      </w:r>
      <w:r w:rsidR="00EA6CA0">
        <w:rPr>
          <w:rFonts w:ascii="Times New Roman" w:hAnsi="Times New Roman"/>
        </w:rPr>
        <w:t>]</w:t>
      </w:r>
      <w:r w:rsidR="004C5851">
        <w:rPr>
          <w:rFonts w:ascii="Times New Roman" w:hAnsi="Times New Roman"/>
        </w:rPr>
        <w:t>.</w:t>
      </w:r>
      <w:r w:rsidR="002866F9" w:rsidRPr="00ED2EED">
        <w:rPr>
          <w:rFonts w:ascii="Times New Roman" w:hAnsi="Times New Roman"/>
        </w:rPr>
        <w:t xml:space="preserve"> </w:t>
      </w:r>
      <w:r w:rsidR="00330873">
        <w:rPr>
          <w:rFonts w:ascii="Times New Roman" w:hAnsi="Times New Roman"/>
        </w:rPr>
        <w:t xml:space="preserve">However, </w:t>
      </w:r>
      <w:r w:rsidR="004D4A72">
        <w:rPr>
          <w:rFonts w:ascii="Times New Roman" w:hAnsi="Times New Roman"/>
        </w:rPr>
        <w:t xml:space="preserve">practicality of injecting patients more frequently and </w:t>
      </w:r>
      <w:r w:rsidR="00330873">
        <w:rPr>
          <w:rFonts w:ascii="Times New Roman" w:hAnsi="Times New Roman"/>
        </w:rPr>
        <w:t>c</w:t>
      </w:r>
      <w:r w:rsidR="002866F9" w:rsidRPr="00B914E6">
        <w:rPr>
          <w:rFonts w:ascii="Times New Roman" w:hAnsi="Times New Roman"/>
        </w:rPr>
        <w:t>oncerns about potential immunologically mediated resistance to</w:t>
      </w:r>
      <w:r w:rsidR="002866F9">
        <w:rPr>
          <w:rFonts w:ascii="Times New Roman" w:hAnsi="Times New Roman"/>
        </w:rPr>
        <w:t xml:space="preserve"> BoNT-A has resulted in a standard of treating at intervals of at least 12 </w:t>
      </w:r>
      <w:r w:rsidR="004C5851">
        <w:rPr>
          <w:rFonts w:ascii="Times New Roman" w:hAnsi="Times New Roman"/>
        </w:rPr>
        <w:t xml:space="preserve">weeks </w:t>
      </w:r>
      <w:r w:rsidR="00EA6CA0">
        <w:rPr>
          <w:rFonts w:ascii="Times New Roman" w:hAnsi="Times New Roman"/>
        </w:rPr>
        <w:t>[</w:t>
      </w:r>
      <w:r w:rsidR="004C5851">
        <w:rPr>
          <w:rFonts w:ascii="Times New Roman" w:hAnsi="Times New Roman"/>
        </w:rPr>
        <w:t>5-7</w:t>
      </w:r>
      <w:r w:rsidR="00EA6CA0">
        <w:rPr>
          <w:rFonts w:ascii="Times New Roman" w:hAnsi="Times New Roman"/>
        </w:rPr>
        <w:t>]</w:t>
      </w:r>
      <w:r w:rsidR="004C5851">
        <w:rPr>
          <w:rFonts w:ascii="Times New Roman" w:hAnsi="Times New Roman"/>
        </w:rPr>
        <w:t>.</w:t>
      </w:r>
      <w:r w:rsidR="002866F9">
        <w:rPr>
          <w:rFonts w:ascii="Times New Roman" w:hAnsi="Times New Roman"/>
        </w:rPr>
        <w:t xml:space="preserve"> </w:t>
      </w:r>
      <w:r w:rsidR="00B914E6">
        <w:rPr>
          <w:rFonts w:ascii="Times New Roman" w:hAnsi="Times New Roman"/>
        </w:rPr>
        <w:t>Thus,</w:t>
      </w:r>
      <w:r w:rsidR="00426E16">
        <w:rPr>
          <w:rFonts w:ascii="Times New Roman" w:hAnsi="Times New Roman"/>
        </w:rPr>
        <w:t xml:space="preserve"> a significant unmet need is a</w:t>
      </w:r>
      <w:r w:rsidR="00B914E6">
        <w:rPr>
          <w:rFonts w:ascii="Times New Roman" w:hAnsi="Times New Roman"/>
        </w:rPr>
        <w:t xml:space="preserve"> </w:t>
      </w:r>
      <w:r w:rsidR="00426E16">
        <w:rPr>
          <w:rFonts w:ascii="Times New Roman" w:hAnsi="Times New Roman"/>
        </w:rPr>
        <w:t>long-lasting therapy that delay</w:t>
      </w:r>
      <w:r w:rsidR="00FA16AA">
        <w:rPr>
          <w:rFonts w:ascii="Times New Roman" w:hAnsi="Times New Roman"/>
        </w:rPr>
        <w:t>s</w:t>
      </w:r>
      <w:r w:rsidR="00426E16">
        <w:rPr>
          <w:rFonts w:ascii="Times New Roman" w:hAnsi="Times New Roman"/>
        </w:rPr>
        <w:t xml:space="preserve"> symptom re-emergence and may improve patient satisfaction </w:t>
      </w:r>
      <w:r w:rsidR="0048357F">
        <w:rPr>
          <w:rFonts w:ascii="Times New Roman" w:hAnsi="Times New Roman"/>
        </w:rPr>
        <w:t>and outcomes</w:t>
      </w:r>
      <w:r w:rsidR="004C5851">
        <w:rPr>
          <w:rFonts w:ascii="Times New Roman" w:hAnsi="Times New Roman"/>
        </w:rPr>
        <w:t>.</w:t>
      </w:r>
    </w:p>
    <w:p w14:paraId="049D7C0D" w14:textId="77777777" w:rsidR="00305511" w:rsidRDefault="00305511" w:rsidP="006F2109">
      <w:pPr>
        <w:tabs>
          <w:tab w:val="left" w:pos="3227"/>
        </w:tabs>
        <w:spacing w:line="480" w:lineRule="auto"/>
        <w:rPr>
          <w:rFonts w:ascii="Times New Roman" w:hAnsi="Times New Roman"/>
        </w:rPr>
      </w:pPr>
    </w:p>
    <w:p w14:paraId="53C747CF" w14:textId="0FF32284" w:rsidR="0032618C" w:rsidRDefault="00BD7A18" w:rsidP="006F2109">
      <w:pPr>
        <w:tabs>
          <w:tab w:val="left" w:pos="3227"/>
        </w:tabs>
        <w:spacing w:line="480" w:lineRule="auto"/>
        <w:rPr>
          <w:rFonts w:ascii="Times New Roman" w:hAnsi="Times New Roman"/>
        </w:rPr>
      </w:pPr>
      <w:bookmarkStart w:id="0" w:name="_Hlk125307631"/>
      <w:r>
        <w:rPr>
          <w:rFonts w:ascii="Times New Roman" w:hAnsi="Times New Roman"/>
        </w:rPr>
        <w:t>S</w:t>
      </w:r>
      <w:r w:rsidR="00ED2EED" w:rsidRPr="00ED2EED">
        <w:rPr>
          <w:rFonts w:ascii="Times New Roman" w:hAnsi="Times New Roman"/>
        </w:rPr>
        <w:t>tudies have suggested abo</w:t>
      </w:r>
      <w:r w:rsidR="000C554C">
        <w:rPr>
          <w:rFonts w:ascii="Times New Roman" w:hAnsi="Times New Roman"/>
        </w:rPr>
        <w:t>botulinumtoxinA (</w:t>
      </w:r>
      <w:r w:rsidR="003079CB">
        <w:rPr>
          <w:rFonts w:ascii="Times New Roman" w:hAnsi="Times New Roman"/>
        </w:rPr>
        <w:t>abo-BoNT-A</w:t>
      </w:r>
      <w:r w:rsidR="000C554C">
        <w:rPr>
          <w:rFonts w:ascii="Times New Roman" w:hAnsi="Times New Roman"/>
        </w:rPr>
        <w:t xml:space="preserve">; </w:t>
      </w:r>
      <w:r w:rsidR="002866F9">
        <w:rPr>
          <w:rFonts w:ascii="Times New Roman" w:hAnsi="Times New Roman"/>
        </w:rPr>
        <w:t>Dysport®</w:t>
      </w:r>
      <w:r w:rsidR="004062FD">
        <w:rPr>
          <w:rFonts w:ascii="Times New Roman" w:hAnsi="Times New Roman"/>
        </w:rPr>
        <w:t xml:space="preserve">, Ipsen </w:t>
      </w:r>
      <w:r w:rsidR="00CD06BA">
        <w:rPr>
          <w:rFonts w:ascii="Times New Roman" w:hAnsi="Times New Roman"/>
        </w:rPr>
        <w:t>Pharma Inc.</w:t>
      </w:r>
      <w:r w:rsidR="004062FD">
        <w:rPr>
          <w:rFonts w:ascii="Times New Roman" w:hAnsi="Times New Roman"/>
        </w:rPr>
        <w:t xml:space="preserve">, </w:t>
      </w:r>
      <w:r w:rsidR="00CD06BA">
        <w:rPr>
          <w:rFonts w:ascii="Times New Roman" w:hAnsi="Times New Roman"/>
        </w:rPr>
        <w:t>Boulogne-Billancourt, France</w:t>
      </w:r>
      <w:r w:rsidR="002866F9">
        <w:rPr>
          <w:rFonts w:ascii="Times New Roman" w:hAnsi="Times New Roman"/>
        </w:rPr>
        <w:t xml:space="preserve">) </w:t>
      </w:r>
      <w:r w:rsidR="00ED2EED" w:rsidRPr="00ED2EED">
        <w:rPr>
          <w:rFonts w:ascii="Times New Roman" w:hAnsi="Times New Roman"/>
        </w:rPr>
        <w:t>may have a</w:t>
      </w:r>
      <w:r w:rsidR="00F2252F">
        <w:rPr>
          <w:rFonts w:ascii="Times New Roman" w:hAnsi="Times New Roman"/>
        </w:rPr>
        <w:t xml:space="preserve">n extended duration </w:t>
      </w:r>
      <w:r w:rsidR="009A5900">
        <w:rPr>
          <w:rFonts w:ascii="Times New Roman" w:hAnsi="Times New Roman"/>
        </w:rPr>
        <w:t>(</w:t>
      </w:r>
      <w:r w:rsidR="008A4CD6">
        <w:rPr>
          <w:rFonts w:ascii="Times New Roman" w:hAnsi="Times New Roman"/>
        </w:rPr>
        <w:t xml:space="preserve">ranging </w:t>
      </w:r>
      <w:r w:rsidR="00127D3E">
        <w:rPr>
          <w:rFonts w:ascii="Times New Roman" w:hAnsi="Times New Roman"/>
        </w:rPr>
        <w:t xml:space="preserve">from </w:t>
      </w:r>
      <w:r w:rsidR="009A5900">
        <w:rPr>
          <w:rFonts w:ascii="Times New Roman" w:hAnsi="Times New Roman"/>
        </w:rPr>
        <w:t>5 to 25 days)</w:t>
      </w:r>
      <w:r w:rsidR="00ED2EED" w:rsidRPr="00ED2EED">
        <w:rPr>
          <w:rFonts w:ascii="Times New Roman" w:hAnsi="Times New Roman"/>
        </w:rPr>
        <w:t xml:space="preserve"> </w:t>
      </w:r>
      <w:bookmarkEnd w:id="0"/>
      <w:r w:rsidR="00ED2EED" w:rsidRPr="00ED2EED">
        <w:rPr>
          <w:rFonts w:ascii="Times New Roman" w:hAnsi="Times New Roman"/>
        </w:rPr>
        <w:t xml:space="preserve">compared to </w:t>
      </w:r>
      <w:r w:rsidR="00D63B69">
        <w:rPr>
          <w:rFonts w:ascii="Times New Roman" w:hAnsi="Times New Roman"/>
        </w:rPr>
        <w:t xml:space="preserve">the </w:t>
      </w:r>
      <w:r w:rsidR="00ED2EED" w:rsidRPr="00ED2EED">
        <w:rPr>
          <w:rFonts w:ascii="Times New Roman" w:hAnsi="Times New Roman"/>
        </w:rPr>
        <w:t xml:space="preserve">other </w:t>
      </w:r>
      <w:r w:rsidR="000C554C">
        <w:rPr>
          <w:rFonts w:ascii="Times New Roman" w:hAnsi="Times New Roman"/>
        </w:rPr>
        <w:t xml:space="preserve">approved </w:t>
      </w:r>
      <w:r w:rsidR="00ED2EED" w:rsidRPr="00ED2EED">
        <w:rPr>
          <w:rFonts w:ascii="Times New Roman" w:hAnsi="Times New Roman"/>
        </w:rPr>
        <w:t>BoNT-A formulations</w:t>
      </w:r>
      <w:r w:rsidR="000C554C">
        <w:rPr>
          <w:rFonts w:ascii="Times New Roman" w:hAnsi="Times New Roman"/>
        </w:rPr>
        <w:t xml:space="preserve">, </w:t>
      </w:r>
      <w:r w:rsidR="0048357F">
        <w:rPr>
          <w:rFonts w:ascii="Times New Roman" w:hAnsi="Times New Roman"/>
        </w:rPr>
        <w:t>onabotulinumtoxinA (</w:t>
      </w:r>
      <w:r w:rsidR="003079CB">
        <w:rPr>
          <w:rFonts w:ascii="Times New Roman" w:hAnsi="Times New Roman"/>
        </w:rPr>
        <w:t>ona-BoNT-A</w:t>
      </w:r>
      <w:r w:rsidR="00CD06BA">
        <w:rPr>
          <w:rFonts w:ascii="Times New Roman" w:hAnsi="Times New Roman"/>
        </w:rPr>
        <w:t xml:space="preserve">; </w:t>
      </w:r>
      <w:r w:rsidR="0048357F">
        <w:rPr>
          <w:rFonts w:ascii="Times New Roman" w:hAnsi="Times New Roman"/>
        </w:rPr>
        <w:t>Botox®</w:t>
      </w:r>
      <w:r w:rsidR="00CD06BA">
        <w:rPr>
          <w:rFonts w:ascii="Times New Roman" w:hAnsi="Times New Roman"/>
        </w:rPr>
        <w:t>, Allergan Inc., Dublin, Ireland</w:t>
      </w:r>
      <w:r w:rsidR="0048357F">
        <w:rPr>
          <w:rFonts w:ascii="Times New Roman" w:hAnsi="Times New Roman"/>
        </w:rPr>
        <w:t>)</w:t>
      </w:r>
      <w:r w:rsidR="006D43B5">
        <w:rPr>
          <w:rFonts w:ascii="Times New Roman" w:hAnsi="Times New Roman"/>
        </w:rPr>
        <w:t xml:space="preserve"> and </w:t>
      </w:r>
      <w:r w:rsidR="0048357F">
        <w:rPr>
          <w:rFonts w:ascii="Times New Roman" w:hAnsi="Times New Roman"/>
        </w:rPr>
        <w:t>incobotulinumtoxinA (</w:t>
      </w:r>
      <w:r w:rsidR="003079CB">
        <w:rPr>
          <w:rFonts w:ascii="Times New Roman" w:hAnsi="Times New Roman"/>
        </w:rPr>
        <w:t>inco-BoNT-A</w:t>
      </w:r>
      <w:r w:rsidR="00CD06BA">
        <w:rPr>
          <w:rFonts w:ascii="Times New Roman" w:hAnsi="Times New Roman"/>
        </w:rPr>
        <w:t xml:space="preserve">; </w:t>
      </w:r>
      <w:r w:rsidR="0048357F">
        <w:rPr>
          <w:rFonts w:ascii="Times New Roman" w:hAnsi="Times New Roman"/>
        </w:rPr>
        <w:t>Xeomin®</w:t>
      </w:r>
      <w:r w:rsidR="00CD06BA">
        <w:rPr>
          <w:rFonts w:ascii="Times New Roman" w:hAnsi="Times New Roman"/>
        </w:rPr>
        <w:t>, Merz Pharma GmbH, Frankfurt, Germany</w:t>
      </w:r>
      <w:r w:rsidR="0048357F">
        <w:rPr>
          <w:rFonts w:ascii="Times New Roman" w:hAnsi="Times New Roman"/>
        </w:rPr>
        <w:t>)</w:t>
      </w:r>
      <w:r w:rsidR="00EA6CA0">
        <w:rPr>
          <w:rFonts w:ascii="Times New Roman" w:hAnsi="Times New Roman"/>
        </w:rPr>
        <w:t>[</w:t>
      </w:r>
      <w:r w:rsidR="004C5851">
        <w:rPr>
          <w:rFonts w:ascii="Times New Roman" w:hAnsi="Times New Roman"/>
        </w:rPr>
        <w:t>8,9</w:t>
      </w:r>
      <w:r w:rsidR="00EA6CA0">
        <w:rPr>
          <w:rFonts w:ascii="Times New Roman" w:hAnsi="Times New Roman"/>
        </w:rPr>
        <w:t>]</w:t>
      </w:r>
      <w:r w:rsidR="009A5900">
        <w:rPr>
          <w:rFonts w:ascii="Times New Roman" w:hAnsi="Times New Roman"/>
        </w:rPr>
        <w:t xml:space="preserve"> </w:t>
      </w:r>
      <w:r w:rsidR="00F12DE7">
        <w:rPr>
          <w:rFonts w:ascii="Times New Roman" w:hAnsi="Times New Roman"/>
        </w:rPr>
        <w:t xml:space="preserve">Esquenazi </w:t>
      </w:r>
      <w:r w:rsidR="00F12DE7">
        <w:rPr>
          <w:rFonts w:ascii="Times New Roman" w:hAnsi="Times New Roman"/>
          <w:i/>
          <w:iCs/>
        </w:rPr>
        <w:t xml:space="preserve">et al </w:t>
      </w:r>
      <w:r w:rsidR="00F12DE7">
        <w:rPr>
          <w:rFonts w:ascii="Times New Roman" w:hAnsi="Times New Roman"/>
        </w:rPr>
        <w:t xml:space="preserve">reported 72.6-81.5% of </w:t>
      </w:r>
      <w:r w:rsidR="003079CB">
        <w:rPr>
          <w:rFonts w:ascii="Times New Roman" w:hAnsi="Times New Roman"/>
        </w:rPr>
        <w:t>abo-BoNT-A</w:t>
      </w:r>
      <w:r w:rsidR="00F12DE7">
        <w:rPr>
          <w:rFonts w:ascii="Times New Roman" w:hAnsi="Times New Roman"/>
        </w:rPr>
        <w:t xml:space="preserve"> treated CD patients were re-treated </w:t>
      </w:r>
      <w:r w:rsidR="00813E71">
        <w:rPr>
          <w:rFonts w:ascii="Times New Roman" w:hAnsi="Times New Roman"/>
        </w:rPr>
        <w:t>≥</w:t>
      </w:r>
      <w:r w:rsidR="00F12DE7">
        <w:rPr>
          <w:rFonts w:ascii="Times New Roman" w:hAnsi="Times New Roman"/>
        </w:rPr>
        <w:t>1</w:t>
      </w:r>
      <w:r w:rsidR="00813E71">
        <w:rPr>
          <w:rFonts w:ascii="Times New Roman" w:hAnsi="Times New Roman"/>
        </w:rPr>
        <w:t>6</w:t>
      </w:r>
      <w:r w:rsidR="00F12DE7">
        <w:rPr>
          <w:rFonts w:ascii="Times New Roman" w:hAnsi="Times New Roman"/>
        </w:rPr>
        <w:t xml:space="preserve"> weeks </w:t>
      </w:r>
      <w:r w:rsidR="00EF4D69">
        <w:rPr>
          <w:rFonts w:ascii="Times New Roman" w:hAnsi="Times New Roman"/>
        </w:rPr>
        <w:t>over 3 open-label cycles</w:t>
      </w:r>
      <w:r w:rsidR="004C5851">
        <w:rPr>
          <w:rFonts w:ascii="Times New Roman" w:hAnsi="Times New Roman"/>
        </w:rPr>
        <w:t>.</w:t>
      </w:r>
      <w:r w:rsidR="00F12DE7">
        <w:rPr>
          <w:rFonts w:ascii="Times New Roman" w:hAnsi="Times New Roman"/>
        </w:rPr>
        <w:t xml:space="preserve"> </w:t>
      </w:r>
      <w:r w:rsidR="00354213">
        <w:rPr>
          <w:rFonts w:ascii="Times New Roman" w:hAnsi="Times New Roman"/>
        </w:rPr>
        <w:t xml:space="preserve">Switching </w:t>
      </w:r>
      <w:r w:rsidR="00354213">
        <w:rPr>
          <w:rFonts w:ascii="Times New Roman" w:hAnsi="Times New Roman"/>
        </w:rPr>
        <w:lastRenderedPageBreak/>
        <w:t xml:space="preserve">from </w:t>
      </w:r>
      <w:r w:rsidR="003079CB">
        <w:rPr>
          <w:rFonts w:ascii="Times New Roman" w:hAnsi="Times New Roman"/>
        </w:rPr>
        <w:t>ona-BoNT-A</w:t>
      </w:r>
      <w:r w:rsidR="00354213">
        <w:rPr>
          <w:rFonts w:ascii="Times New Roman" w:hAnsi="Times New Roman"/>
        </w:rPr>
        <w:t xml:space="preserve"> to </w:t>
      </w:r>
      <w:r w:rsidR="003079CB">
        <w:rPr>
          <w:rFonts w:ascii="Times New Roman" w:hAnsi="Times New Roman"/>
        </w:rPr>
        <w:t>abo-BoNT-A</w:t>
      </w:r>
      <w:r w:rsidR="00354213">
        <w:rPr>
          <w:rFonts w:ascii="Times New Roman" w:hAnsi="Times New Roman"/>
        </w:rPr>
        <w:t xml:space="preserve"> (dose ratio of 1:3 or 1:4) increased waning times by 7 to 25 days, respectively, although </w:t>
      </w:r>
      <w:r w:rsidR="00EF4D69">
        <w:rPr>
          <w:rFonts w:ascii="Times New Roman" w:hAnsi="Times New Roman"/>
        </w:rPr>
        <w:t>a</w:t>
      </w:r>
      <w:r w:rsidR="00354213">
        <w:rPr>
          <w:rFonts w:ascii="Times New Roman" w:hAnsi="Times New Roman"/>
        </w:rPr>
        <w:t xml:space="preserve"> higher incidence of dysphagia</w:t>
      </w:r>
      <w:r w:rsidR="00EF4D69">
        <w:rPr>
          <w:rFonts w:ascii="Times New Roman" w:hAnsi="Times New Roman"/>
        </w:rPr>
        <w:t xml:space="preserve"> was reported with </w:t>
      </w:r>
      <w:r w:rsidR="003079CB">
        <w:rPr>
          <w:rFonts w:ascii="Times New Roman" w:hAnsi="Times New Roman"/>
        </w:rPr>
        <w:t>abo-BoNT-A</w:t>
      </w:r>
      <w:r w:rsidR="00354213">
        <w:rPr>
          <w:rFonts w:ascii="Times New Roman" w:hAnsi="Times New Roman"/>
        </w:rPr>
        <w:t>.</w:t>
      </w:r>
      <w:r w:rsidR="004C5851">
        <w:rPr>
          <w:rFonts w:ascii="Times New Roman" w:hAnsi="Times New Roman"/>
          <w:vertAlign w:val="superscript"/>
        </w:rPr>
        <w:t xml:space="preserve"> </w:t>
      </w:r>
      <w:r w:rsidR="00432C32">
        <w:rPr>
          <w:rFonts w:ascii="Times New Roman" w:hAnsi="Times New Roman"/>
        </w:rPr>
        <w:t>Although, dose</w:t>
      </w:r>
      <w:r w:rsidR="00127D3E">
        <w:rPr>
          <w:rFonts w:ascii="Times New Roman" w:hAnsi="Times New Roman"/>
        </w:rPr>
        <w:t xml:space="preserve"> ratios (1:2.5 and 1:3) of </w:t>
      </w:r>
      <w:r w:rsidR="003079CB">
        <w:rPr>
          <w:rFonts w:ascii="Times New Roman" w:hAnsi="Times New Roman"/>
        </w:rPr>
        <w:t>ona-BoNT-A</w:t>
      </w:r>
      <w:r w:rsidR="00127D3E">
        <w:rPr>
          <w:rFonts w:ascii="Times New Roman" w:hAnsi="Times New Roman"/>
        </w:rPr>
        <w:t xml:space="preserve"> to </w:t>
      </w:r>
      <w:r w:rsidR="003079CB">
        <w:rPr>
          <w:rFonts w:ascii="Times New Roman" w:hAnsi="Times New Roman"/>
        </w:rPr>
        <w:t>abo-BoNT-A</w:t>
      </w:r>
      <w:r w:rsidR="00127D3E">
        <w:rPr>
          <w:rFonts w:ascii="Times New Roman" w:hAnsi="Times New Roman"/>
        </w:rPr>
        <w:t xml:space="preserve"> are non-inferior from baseline to week 4</w:t>
      </w:r>
      <w:r w:rsidR="004C5851">
        <w:rPr>
          <w:rFonts w:ascii="Times New Roman" w:hAnsi="Times New Roman"/>
        </w:rPr>
        <w:t xml:space="preserve">, </w:t>
      </w:r>
      <w:r w:rsidR="00EA6CA0">
        <w:rPr>
          <w:rFonts w:ascii="Times New Roman" w:hAnsi="Times New Roman"/>
        </w:rPr>
        <w:t>[</w:t>
      </w:r>
      <w:r w:rsidR="004C5851">
        <w:rPr>
          <w:rFonts w:ascii="Times New Roman" w:hAnsi="Times New Roman"/>
        </w:rPr>
        <w:t>10,1</w:t>
      </w:r>
      <w:r w:rsidR="00D20373">
        <w:rPr>
          <w:rFonts w:ascii="Times New Roman" w:hAnsi="Times New Roman"/>
        </w:rPr>
        <w:t>1</w:t>
      </w:r>
      <w:r w:rsidR="00EA6CA0">
        <w:rPr>
          <w:rFonts w:ascii="Times New Roman" w:hAnsi="Times New Roman"/>
        </w:rPr>
        <w:t>]</w:t>
      </w:r>
      <w:r w:rsidR="00432C32">
        <w:rPr>
          <w:rFonts w:ascii="Times New Roman" w:hAnsi="Times New Roman"/>
        </w:rPr>
        <w:t xml:space="preserve"> </w:t>
      </w:r>
      <w:r w:rsidR="00545A45">
        <w:rPr>
          <w:rFonts w:ascii="Times New Roman" w:hAnsi="Times New Roman"/>
        </w:rPr>
        <w:t>a</w:t>
      </w:r>
      <w:r w:rsidR="00432C32">
        <w:rPr>
          <w:rFonts w:ascii="Times New Roman" w:hAnsi="Times New Roman"/>
        </w:rPr>
        <w:t xml:space="preserve"> similar adverse effect profile </w:t>
      </w:r>
      <w:r w:rsidR="005246A6">
        <w:rPr>
          <w:rFonts w:ascii="Times New Roman" w:hAnsi="Times New Roman"/>
        </w:rPr>
        <w:t xml:space="preserve">was reported with the dose </w:t>
      </w:r>
      <w:r w:rsidR="00432C32">
        <w:rPr>
          <w:rFonts w:ascii="Times New Roman" w:hAnsi="Times New Roman"/>
        </w:rPr>
        <w:t xml:space="preserve">ratio </w:t>
      </w:r>
      <w:r w:rsidR="005246A6">
        <w:rPr>
          <w:rFonts w:ascii="Times New Roman" w:hAnsi="Times New Roman"/>
        </w:rPr>
        <w:t xml:space="preserve">of </w:t>
      </w:r>
      <w:r w:rsidR="00432C32">
        <w:rPr>
          <w:rFonts w:ascii="Times New Roman" w:hAnsi="Times New Roman"/>
        </w:rPr>
        <w:t>1:2.5</w:t>
      </w:r>
      <w:r w:rsidR="004C5851">
        <w:rPr>
          <w:rFonts w:ascii="Times New Roman" w:hAnsi="Times New Roman"/>
        </w:rPr>
        <w:t>.</w:t>
      </w:r>
    </w:p>
    <w:p w14:paraId="122478BE" w14:textId="77777777" w:rsidR="00B23A06" w:rsidRDefault="00B23A06" w:rsidP="006F2109">
      <w:pPr>
        <w:tabs>
          <w:tab w:val="left" w:pos="3227"/>
        </w:tabs>
        <w:spacing w:line="480" w:lineRule="auto"/>
        <w:rPr>
          <w:rFonts w:ascii="Times New Roman" w:hAnsi="Times New Roman"/>
        </w:rPr>
      </w:pPr>
    </w:p>
    <w:p w14:paraId="34A605C7" w14:textId="2FC944FE" w:rsidR="00EF5AF6" w:rsidRDefault="00AC0C11" w:rsidP="006F2109">
      <w:pPr>
        <w:tabs>
          <w:tab w:val="left" w:pos="3227"/>
        </w:tabs>
        <w:spacing w:line="480" w:lineRule="auto"/>
        <w:rPr>
          <w:rFonts w:ascii="Times New Roman" w:hAnsi="Times New Roman"/>
        </w:rPr>
      </w:pPr>
      <w:r>
        <w:rPr>
          <w:rFonts w:ascii="Times New Roman" w:hAnsi="Times New Roman"/>
        </w:rPr>
        <w:t>T</w:t>
      </w:r>
      <w:r w:rsidR="008A4CD6">
        <w:rPr>
          <w:rFonts w:ascii="Times New Roman" w:hAnsi="Times New Roman"/>
        </w:rPr>
        <w:t>his</w:t>
      </w:r>
      <w:r>
        <w:rPr>
          <w:rFonts w:ascii="Times New Roman" w:hAnsi="Times New Roman"/>
        </w:rPr>
        <w:t xml:space="preserve"> current study </w:t>
      </w:r>
      <w:r w:rsidR="008A4CD6">
        <w:rPr>
          <w:rFonts w:ascii="Times New Roman" w:hAnsi="Times New Roman"/>
        </w:rPr>
        <w:t>aim</w:t>
      </w:r>
      <w:r>
        <w:rPr>
          <w:rFonts w:ascii="Times New Roman" w:hAnsi="Times New Roman"/>
        </w:rPr>
        <w:t xml:space="preserve">s to </w:t>
      </w:r>
      <w:r w:rsidR="003622EC">
        <w:rPr>
          <w:rFonts w:ascii="Times New Roman" w:hAnsi="Times New Roman"/>
        </w:rPr>
        <w:t xml:space="preserve">investigate whether </w:t>
      </w:r>
      <w:r w:rsidR="003079CB">
        <w:rPr>
          <w:rFonts w:ascii="Times New Roman" w:hAnsi="Times New Roman"/>
        </w:rPr>
        <w:t>abo-BoNT-A</w:t>
      </w:r>
      <w:r w:rsidR="003622EC">
        <w:rPr>
          <w:rFonts w:ascii="Times New Roman" w:hAnsi="Times New Roman"/>
        </w:rPr>
        <w:t xml:space="preserve"> has a longer waning time than </w:t>
      </w:r>
      <w:r w:rsidR="003079CB">
        <w:rPr>
          <w:rFonts w:ascii="Times New Roman" w:hAnsi="Times New Roman"/>
        </w:rPr>
        <w:t>inco-BoNT-A</w:t>
      </w:r>
      <w:r w:rsidR="003622EC">
        <w:rPr>
          <w:rFonts w:ascii="Times New Roman" w:hAnsi="Times New Roman"/>
        </w:rPr>
        <w:t>/</w:t>
      </w:r>
      <w:r w:rsidR="003079CB">
        <w:rPr>
          <w:rFonts w:ascii="Times New Roman" w:hAnsi="Times New Roman"/>
        </w:rPr>
        <w:t>ona-BoNT-A</w:t>
      </w:r>
      <w:r w:rsidR="003622EC">
        <w:rPr>
          <w:rFonts w:ascii="Times New Roman" w:hAnsi="Times New Roman"/>
        </w:rPr>
        <w:t xml:space="preserve"> formulations </w:t>
      </w:r>
      <w:r w:rsidR="009B4B2F">
        <w:rPr>
          <w:rFonts w:ascii="Times New Roman" w:hAnsi="Times New Roman"/>
        </w:rPr>
        <w:t xml:space="preserve">by converting CD patients with a waning time of ≤ 8 weeks to </w:t>
      </w:r>
      <w:r w:rsidR="003079CB">
        <w:rPr>
          <w:rFonts w:ascii="Times New Roman" w:hAnsi="Times New Roman"/>
        </w:rPr>
        <w:t>abo-BoNT-A</w:t>
      </w:r>
      <w:r w:rsidR="00CE754E">
        <w:rPr>
          <w:rFonts w:ascii="Times New Roman" w:hAnsi="Times New Roman"/>
        </w:rPr>
        <w:t xml:space="preserve"> using a 1:2.5 ratio</w:t>
      </w:r>
      <w:r w:rsidR="003622EC">
        <w:rPr>
          <w:rFonts w:ascii="Times New Roman" w:hAnsi="Times New Roman"/>
        </w:rPr>
        <w:t xml:space="preserve">. </w:t>
      </w:r>
      <w:r w:rsidR="00CE754E">
        <w:rPr>
          <w:rFonts w:ascii="Times New Roman" w:hAnsi="Times New Roman"/>
        </w:rPr>
        <w:t xml:space="preserve">As </w:t>
      </w:r>
      <w:r w:rsidR="0005743E">
        <w:rPr>
          <w:rFonts w:ascii="Times New Roman" w:hAnsi="Times New Roman"/>
        </w:rPr>
        <w:t xml:space="preserve">an </w:t>
      </w:r>
      <w:r w:rsidR="00CE754E">
        <w:rPr>
          <w:rFonts w:ascii="Times New Roman" w:hAnsi="Times New Roman"/>
        </w:rPr>
        <w:t>optimal selection of muscles and dosages is an important treatment outcome factor</w:t>
      </w:r>
      <w:r w:rsidR="004C5851">
        <w:rPr>
          <w:rFonts w:ascii="Times New Roman" w:hAnsi="Times New Roman"/>
        </w:rPr>
        <w:t>,</w:t>
      </w:r>
      <w:r w:rsidR="00EA6CA0">
        <w:rPr>
          <w:rFonts w:ascii="Times New Roman" w:hAnsi="Times New Roman"/>
        </w:rPr>
        <w:t>[</w:t>
      </w:r>
      <w:r w:rsidR="004C5851">
        <w:rPr>
          <w:rFonts w:ascii="Times New Roman" w:hAnsi="Times New Roman"/>
        </w:rPr>
        <w:t>1</w:t>
      </w:r>
      <w:r w:rsidR="00D20373">
        <w:rPr>
          <w:rFonts w:ascii="Times New Roman" w:hAnsi="Times New Roman"/>
        </w:rPr>
        <w:t>2</w:t>
      </w:r>
      <w:r w:rsidR="00EA6CA0">
        <w:rPr>
          <w:rFonts w:ascii="Times New Roman" w:hAnsi="Times New Roman"/>
        </w:rPr>
        <w:t>]</w:t>
      </w:r>
      <w:r w:rsidR="00CE754E">
        <w:rPr>
          <w:rFonts w:ascii="Times New Roman" w:hAnsi="Times New Roman"/>
        </w:rPr>
        <w:t xml:space="preserve"> kinematic technology</w:t>
      </w:r>
      <w:r w:rsidR="00EA6CA0">
        <w:rPr>
          <w:rFonts w:ascii="Times New Roman" w:hAnsi="Times New Roman"/>
        </w:rPr>
        <w:t>[</w:t>
      </w:r>
      <w:r w:rsidR="004C5851">
        <w:rPr>
          <w:rFonts w:ascii="Times New Roman" w:hAnsi="Times New Roman"/>
        </w:rPr>
        <w:t>13</w:t>
      </w:r>
      <w:r w:rsidR="00EA6CA0">
        <w:rPr>
          <w:rFonts w:ascii="Times New Roman" w:hAnsi="Times New Roman"/>
        </w:rPr>
        <w:t>]</w:t>
      </w:r>
      <w:r w:rsidR="00CE754E">
        <w:rPr>
          <w:rFonts w:ascii="Times New Roman" w:hAnsi="Times New Roman"/>
        </w:rPr>
        <w:t xml:space="preserve"> </w:t>
      </w:r>
      <w:r w:rsidR="0005743E">
        <w:rPr>
          <w:rFonts w:ascii="Times New Roman" w:hAnsi="Times New Roman"/>
        </w:rPr>
        <w:t>was utilized to optimize injection patterns at the 2</w:t>
      </w:r>
      <w:r w:rsidR="0005743E" w:rsidRPr="0005743E">
        <w:rPr>
          <w:rFonts w:ascii="Times New Roman" w:hAnsi="Times New Roman"/>
          <w:vertAlign w:val="superscript"/>
        </w:rPr>
        <w:t>nd</w:t>
      </w:r>
      <w:r w:rsidR="0005743E">
        <w:rPr>
          <w:rFonts w:ascii="Times New Roman" w:hAnsi="Times New Roman"/>
        </w:rPr>
        <w:t xml:space="preserve"> and 3</w:t>
      </w:r>
      <w:r w:rsidR="0005743E" w:rsidRPr="0005743E">
        <w:rPr>
          <w:rFonts w:ascii="Times New Roman" w:hAnsi="Times New Roman"/>
          <w:vertAlign w:val="superscript"/>
        </w:rPr>
        <w:t>rd</w:t>
      </w:r>
      <w:r w:rsidR="0005743E">
        <w:rPr>
          <w:rFonts w:ascii="Times New Roman" w:hAnsi="Times New Roman"/>
        </w:rPr>
        <w:t xml:space="preserve"> </w:t>
      </w:r>
      <w:r w:rsidR="003079CB">
        <w:rPr>
          <w:rFonts w:ascii="Times New Roman" w:hAnsi="Times New Roman"/>
        </w:rPr>
        <w:t>abo-BoNT-A</w:t>
      </w:r>
      <w:r w:rsidR="0005743E">
        <w:rPr>
          <w:rFonts w:ascii="Times New Roman" w:hAnsi="Times New Roman"/>
        </w:rPr>
        <w:t xml:space="preserve"> cycles. The 4</w:t>
      </w:r>
      <w:r w:rsidR="0005743E" w:rsidRPr="0005743E">
        <w:rPr>
          <w:rFonts w:ascii="Times New Roman" w:hAnsi="Times New Roman"/>
          <w:vertAlign w:val="superscript"/>
        </w:rPr>
        <w:t>th</w:t>
      </w:r>
      <w:r w:rsidR="0005743E">
        <w:rPr>
          <w:rFonts w:ascii="Times New Roman" w:hAnsi="Times New Roman"/>
        </w:rPr>
        <w:t xml:space="preserve"> injection converted patients back to</w:t>
      </w:r>
      <w:r w:rsidR="00145CB0">
        <w:rPr>
          <w:rFonts w:ascii="Times New Roman" w:hAnsi="Times New Roman"/>
        </w:rPr>
        <w:t xml:space="preserve"> their original BoNT-A formulation</w:t>
      </w:r>
      <w:r w:rsidR="00DD5F47">
        <w:rPr>
          <w:rFonts w:ascii="Times New Roman" w:hAnsi="Times New Roman"/>
        </w:rPr>
        <w:t xml:space="preserve"> using the same dosing pattern as the 3</w:t>
      </w:r>
      <w:r w:rsidR="00DD5F47" w:rsidRPr="00DD5F47">
        <w:rPr>
          <w:rFonts w:ascii="Times New Roman" w:hAnsi="Times New Roman"/>
          <w:vertAlign w:val="superscript"/>
        </w:rPr>
        <w:t>rd</w:t>
      </w:r>
      <w:r w:rsidR="00DD5F47">
        <w:rPr>
          <w:rFonts w:ascii="Times New Roman" w:hAnsi="Times New Roman"/>
        </w:rPr>
        <w:t xml:space="preserve"> injection</w:t>
      </w:r>
      <w:r w:rsidR="00636A39">
        <w:rPr>
          <w:rFonts w:ascii="Times New Roman" w:hAnsi="Times New Roman"/>
        </w:rPr>
        <w:t xml:space="preserve">. </w:t>
      </w:r>
      <w:r w:rsidR="00903E58">
        <w:rPr>
          <w:rFonts w:ascii="Times New Roman" w:hAnsi="Times New Roman"/>
        </w:rPr>
        <w:t xml:space="preserve">Secondary efficacy endpoints including clinical scales and kinematic measures of CD were collected at all visits. </w:t>
      </w:r>
    </w:p>
    <w:p w14:paraId="400C252B" w14:textId="15478E57" w:rsidR="00ED2EED" w:rsidRDefault="00ED2EED" w:rsidP="006F2109">
      <w:pPr>
        <w:tabs>
          <w:tab w:val="left" w:pos="3227"/>
        </w:tabs>
        <w:spacing w:line="480" w:lineRule="auto"/>
        <w:rPr>
          <w:rFonts w:ascii="Times New Roman" w:hAnsi="Times New Roman"/>
        </w:rPr>
      </w:pPr>
    </w:p>
    <w:p w14:paraId="752C589F" w14:textId="68C3EFF3" w:rsidR="00397FB2" w:rsidRPr="00397FB2" w:rsidRDefault="00397FB2" w:rsidP="006F2109">
      <w:pPr>
        <w:tabs>
          <w:tab w:val="left" w:pos="3227"/>
        </w:tabs>
        <w:spacing w:line="480" w:lineRule="auto"/>
        <w:rPr>
          <w:rFonts w:ascii="Times New Roman" w:hAnsi="Times New Roman"/>
          <w:b/>
          <w:bCs/>
        </w:rPr>
      </w:pPr>
      <w:r w:rsidRPr="00397FB2">
        <w:rPr>
          <w:rFonts w:ascii="Times New Roman" w:hAnsi="Times New Roman"/>
          <w:b/>
          <w:bCs/>
        </w:rPr>
        <w:t>Study workflow</w:t>
      </w:r>
    </w:p>
    <w:p w14:paraId="77E9A5A6" w14:textId="39578861" w:rsidR="00EF5AF6" w:rsidRDefault="007A6644" w:rsidP="006F2109">
      <w:pPr>
        <w:tabs>
          <w:tab w:val="left" w:pos="3227"/>
        </w:tabs>
        <w:spacing w:line="480" w:lineRule="auto"/>
        <w:rPr>
          <w:rFonts w:ascii="Times New Roman" w:hAnsi="Times New Roman"/>
          <w:i/>
          <w:iCs/>
        </w:rPr>
      </w:pPr>
      <w:r>
        <w:rPr>
          <w:rFonts w:ascii="Times New Roman" w:hAnsi="Times New Roman"/>
          <w:i/>
          <w:iCs/>
        </w:rPr>
        <w:t>Study population</w:t>
      </w:r>
    </w:p>
    <w:p w14:paraId="6E17C59B" w14:textId="24AB2DD5" w:rsidR="007A6644" w:rsidRDefault="000A4303" w:rsidP="006F2109">
      <w:pPr>
        <w:tabs>
          <w:tab w:val="left" w:pos="3227"/>
        </w:tabs>
        <w:spacing w:line="480" w:lineRule="auto"/>
        <w:rPr>
          <w:rFonts w:ascii="Times New Roman" w:hAnsi="Times New Roman"/>
        </w:rPr>
      </w:pPr>
      <w:r>
        <w:rPr>
          <w:rFonts w:ascii="Times New Roman" w:hAnsi="Times New Roman"/>
        </w:rPr>
        <w:t>Eligible</w:t>
      </w:r>
      <w:r w:rsidR="00FC56BE">
        <w:rPr>
          <w:rFonts w:ascii="Times New Roman" w:hAnsi="Times New Roman"/>
        </w:rPr>
        <w:t xml:space="preserve"> </w:t>
      </w:r>
      <w:r>
        <w:rPr>
          <w:rFonts w:ascii="Times New Roman" w:hAnsi="Times New Roman"/>
        </w:rPr>
        <w:t xml:space="preserve">participants for enrollment </w:t>
      </w:r>
      <w:r w:rsidR="00FC56BE">
        <w:rPr>
          <w:rFonts w:ascii="Times New Roman" w:hAnsi="Times New Roman"/>
        </w:rPr>
        <w:t>in this pilot study were recruited from the London Movement Disorders Centre clinic</w:t>
      </w:r>
      <w:r w:rsidR="00C667D2">
        <w:rPr>
          <w:rFonts w:ascii="Times New Roman" w:hAnsi="Times New Roman"/>
        </w:rPr>
        <w:t>. Inclusion criteria included</w:t>
      </w:r>
      <w:r w:rsidR="00AF47FA">
        <w:rPr>
          <w:rFonts w:ascii="Times New Roman" w:hAnsi="Times New Roman"/>
        </w:rPr>
        <w:t xml:space="preserve"> </w:t>
      </w:r>
      <w:r w:rsidR="00FC56BE">
        <w:rPr>
          <w:rFonts w:ascii="Times New Roman" w:hAnsi="Times New Roman"/>
        </w:rPr>
        <w:t>a</w:t>
      </w:r>
      <w:r w:rsidR="007A6644">
        <w:rPr>
          <w:rFonts w:ascii="Times New Roman" w:hAnsi="Times New Roman"/>
        </w:rPr>
        <w:t>dult patients diagnosed with isolated CD</w:t>
      </w:r>
      <w:r>
        <w:rPr>
          <w:rFonts w:ascii="Times New Roman" w:hAnsi="Times New Roman"/>
        </w:rPr>
        <w:t>,</w:t>
      </w:r>
      <w:r w:rsidR="007A6644">
        <w:rPr>
          <w:rFonts w:ascii="Times New Roman" w:hAnsi="Times New Roman"/>
        </w:rPr>
        <w:t xml:space="preserve"> must have received at least 3 serial BoNT-A treatments using the same injection pattern (muscles</w:t>
      </w:r>
      <w:r>
        <w:rPr>
          <w:rFonts w:ascii="Times New Roman" w:hAnsi="Times New Roman"/>
        </w:rPr>
        <w:t>, dosages and BoNT-A formulation</w:t>
      </w:r>
      <w:r w:rsidR="007A6644">
        <w:rPr>
          <w:rFonts w:ascii="Times New Roman" w:hAnsi="Times New Roman"/>
        </w:rPr>
        <w:t>) prior to enrollment</w:t>
      </w:r>
      <w:r w:rsidR="00552317">
        <w:rPr>
          <w:rFonts w:ascii="Times New Roman" w:hAnsi="Times New Roman"/>
        </w:rPr>
        <w:t>,</w:t>
      </w:r>
      <w:r w:rsidR="000E7F56">
        <w:rPr>
          <w:rFonts w:ascii="Times New Roman" w:hAnsi="Times New Roman"/>
        </w:rPr>
        <w:t xml:space="preserve"> perceive</w:t>
      </w:r>
      <w:r w:rsidR="00185FA5">
        <w:rPr>
          <w:rFonts w:ascii="Times New Roman" w:hAnsi="Times New Roman"/>
        </w:rPr>
        <w:t>d</w:t>
      </w:r>
      <w:r w:rsidR="000E7F56">
        <w:rPr>
          <w:rFonts w:ascii="Times New Roman" w:hAnsi="Times New Roman"/>
        </w:rPr>
        <w:t xml:space="preserve"> a waning time (the start of wearing off) of ≤ 8 week</w:t>
      </w:r>
      <w:r w:rsidR="000846D0">
        <w:rPr>
          <w:rFonts w:ascii="Times New Roman" w:hAnsi="Times New Roman"/>
        </w:rPr>
        <w:t>s</w:t>
      </w:r>
      <w:r w:rsidR="00050893">
        <w:rPr>
          <w:rFonts w:ascii="Times New Roman" w:hAnsi="Times New Roman"/>
        </w:rPr>
        <w:t xml:space="preserve"> post-injection, w</w:t>
      </w:r>
      <w:r w:rsidR="00114A74">
        <w:rPr>
          <w:rFonts w:ascii="Times New Roman" w:hAnsi="Times New Roman"/>
        </w:rPr>
        <w:t>anted</w:t>
      </w:r>
      <w:r w:rsidR="00050893">
        <w:rPr>
          <w:rFonts w:ascii="Times New Roman" w:hAnsi="Times New Roman"/>
        </w:rPr>
        <w:t xml:space="preserve"> to convert to </w:t>
      </w:r>
      <w:r w:rsidR="003079CB">
        <w:rPr>
          <w:rFonts w:ascii="Times New Roman" w:hAnsi="Times New Roman"/>
        </w:rPr>
        <w:t>abo-BoNT-A</w:t>
      </w:r>
      <w:r w:rsidR="00AF47FA">
        <w:rPr>
          <w:rFonts w:ascii="Times New Roman" w:hAnsi="Times New Roman"/>
        </w:rPr>
        <w:t xml:space="preserve">, and </w:t>
      </w:r>
      <w:r w:rsidR="00185FA5">
        <w:rPr>
          <w:rFonts w:ascii="Times New Roman" w:hAnsi="Times New Roman"/>
        </w:rPr>
        <w:t xml:space="preserve">were </w:t>
      </w:r>
      <w:r w:rsidR="00AF47FA">
        <w:rPr>
          <w:rFonts w:ascii="Times New Roman" w:hAnsi="Times New Roman"/>
        </w:rPr>
        <w:t>able to give their informed consent to participate</w:t>
      </w:r>
      <w:r w:rsidR="007A6644">
        <w:rPr>
          <w:rFonts w:ascii="Times New Roman" w:hAnsi="Times New Roman"/>
        </w:rPr>
        <w:t xml:space="preserve">. </w:t>
      </w:r>
      <w:r w:rsidR="00395753">
        <w:rPr>
          <w:rFonts w:ascii="Times New Roman" w:hAnsi="Times New Roman"/>
        </w:rPr>
        <w:t>Exclusion criteria include</w:t>
      </w:r>
      <w:r w:rsidR="00552317">
        <w:rPr>
          <w:rFonts w:ascii="Times New Roman" w:hAnsi="Times New Roman"/>
        </w:rPr>
        <w:t xml:space="preserve">d the </w:t>
      </w:r>
      <w:r w:rsidR="00395753">
        <w:rPr>
          <w:rFonts w:ascii="Times New Roman" w:hAnsi="Times New Roman"/>
        </w:rPr>
        <w:t xml:space="preserve">inability to </w:t>
      </w:r>
      <w:r w:rsidR="00395753">
        <w:rPr>
          <w:rFonts w:ascii="Times New Roman" w:hAnsi="Times New Roman"/>
        </w:rPr>
        <w:lastRenderedPageBreak/>
        <w:t xml:space="preserve">complete study visits, no interest in switching to </w:t>
      </w:r>
      <w:r w:rsidR="003079CB">
        <w:rPr>
          <w:rFonts w:ascii="Times New Roman" w:hAnsi="Times New Roman"/>
        </w:rPr>
        <w:t>abo-BoNT-A</w:t>
      </w:r>
      <w:r w:rsidR="00395753">
        <w:rPr>
          <w:rFonts w:ascii="Times New Roman" w:hAnsi="Times New Roman"/>
        </w:rPr>
        <w:t xml:space="preserve"> formulation, pregnancy, known resistance to any BoNT-A, </w:t>
      </w:r>
      <w:r w:rsidR="002C5D8B">
        <w:rPr>
          <w:rFonts w:ascii="Times New Roman" w:hAnsi="Times New Roman"/>
        </w:rPr>
        <w:t xml:space="preserve">and </w:t>
      </w:r>
      <w:r w:rsidR="00395753">
        <w:rPr>
          <w:rFonts w:ascii="Times New Roman" w:hAnsi="Times New Roman"/>
        </w:rPr>
        <w:t>known hypersensitivity to BoNT-A or related compounds</w:t>
      </w:r>
      <w:r w:rsidR="000E7F56">
        <w:rPr>
          <w:rFonts w:ascii="Times New Roman" w:hAnsi="Times New Roman"/>
        </w:rPr>
        <w:t>.</w:t>
      </w:r>
      <w:r w:rsidR="00AE6945" w:rsidRPr="00AE6945">
        <w:t xml:space="preserve"> </w:t>
      </w:r>
      <w:r w:rsidR="00AE6945" w:rsidRPr="00AE6945">
        <w:rPr>
          <w:rFonts w:ascii="Times New Roman" w:hAnsi="Times New Roman"/>
        </w:rPr>
        <w:t>This study</w:t>
      </w:r>
      <w:r w:rsidR="00AE6945">
        <w:rPr>
          <w:rFonts w:ascii="Times New Roman" w:hAnsi="Times New Roman"/>
        </w:rPr>
        <w:t xml:space="preserve"> was approved</w:t>
      </w:r>
      <w:r w:rsidR="00AE6945" w:rsidRPr="00AE6945">
        <w:rPr>
          <w:rFonts w:ascii="Times New Roman" w:hAnsi="Times New Roman"/>
        </w:rPr>
        <w:t xml:space="preserve"> </w:t>
      </w:r>
      <w:r w:rsidR="00AE6945">
        <w:rPr>
          <w:rFonts w:ascii="Times New Roman" w:hAnsi="Times New Roman"/>
        </w:rPr>
        <w:t>by the Western University Health Sciences Research Ethics Board (REB#</w:t>
      </w:r>
      <w:r w:rsidR="00AE6945" w:rsidRPr="00AE6945">
        <w:t xml:space="preserve"> </w:t>
      </w:r>
      <w:r w:rsidR="00AE6945" w:rsidRPr="00AE6945">
        <w:rPr>
          <w:rFonts w:ascii="Times New Roman" w:hAnsi="Times New Roman"/>
        </w:rPr>
        <w:t>115308</w:t>
      </w:r>
      <w:r w:rsidR="00AE6945">
        <w:rPr>
          <w:rFonts w:ascii="Times New Roman" w:hAnsi="Times New Roman"/>
        </w:rPr>
        <w:t>)</w:t>
      </w:r>
      <w:r w:rsidR="00C86F87">
        <w:rPr>
          <w:rFonts w:ascii="Times New Roman" w:hAnsi="Times New Roman"/>
        </w:rPr>
        <w:t>,</w:t>
      </w:r>
      <w:r w:rsidR="00AE6945">
        <w:rPr>
          <w:rFonts w:ascii="Times New Roman" w:hAnsi="Times New Roman"/>
        </w:rPr>
        <w:t xml:space="preserve"> registered on the ClinicalTrials.gov registry (</w:t>
      </w:r>
      <w:r w:rsidR="00AE6945" w:rsidRPr="00AE6945">
        <w:rPr>
          <w:rFonts w:ascii="Times New Roman" w:hAnsi="Times New Roman"/>
        </w:rPr>
        <w:t>NCT04270214</w:t>
      </w:r>
      <w:r w:rsidR="00AE6945">
        <w:rPr>
          <w:rFonts w:ascii="Times New Roman" w:hAnsi="Times New Roman"/>
        </w:rPr>
        <w:t>)</w:t>
      </w:r>
      <w:r w:rsidR="00AE6945" w:rsidRPr="00AE6945">
        <w:rPr>
          <w:rFonts w:ascii="Times New Roman" w:hAnsi="Times New Roman"/>
        </w:rPr>
        <w:t xml:space="preserve"> and conducted under the provisions of the Declaration of Helsinki.</w:t>
      </w:r>
    </w:p>
    <w:p w14:paraId="61070770" w14:textId="65B53C23" w:rsidR="002C5D8B" w:rsidRDefault="002C5D8B" w:rsidP="006F2109">
      <w:pPr>
        <w:tabs>
          <w:tab w:val="left" w:pos="3227"/>
        </w:tabs>
        <w:spacing w:line="480" w:lineRule="auto"/>
        <w:rPr>
          <w:rFonts w:ascii="Times New Roman" w:hAnsi="Times New Roman"/>
        </w:rPr>
      </w:pPr>
    </w:p>
    <w:p w14:paraId="74D0EC7E" w14:textId="30FDE170" w:rsidR="002C5D8B" w:rsidRPr="002C5D8B" w:rsidRDefault="002C5D8B" w:rsidP="006F2109">
      <w:pPr>
        <w:tabs>
          <w:tab w:val="left" w:pos="3227"/>
        </w:tabs>
        <w:spacing w:line="480" w:lineRule="auto"/>
        <w:rPr>
          <w:rFonts w:ascii="Times New Roman" w:hAnsi="Times New Roman"/>
          <w:i/>
          <w:iCs/>
        </w:rPr>
      </w:pPr>
      <w:r w:rsidRPr="002C5D8B">
        <w:rPr>
          <w:rFonts w:ascii="Times New Roman" w:hAnsi="Times New Roman"/>
          <w:i/>
          <w:iCs/>
        </w:rPr>
        <w:t>BoNT-A treatments</w:t>
      </w:r>
    </w:p>
    <w:p w14:paraId="16BE5963" w14:textId="0572FAA0" w:rsidR="002C5D8B" w:rsidRDefault="00A57C94" w:rsidP="006F2109">
      <w:pPr>
        <w:tabs>
          <w:tab w:val="left" w:pos="3227"/>
        </w:tabs>
        <w:spacing w:line="480" w:lineRule="auto"/>
        <w:rPr>
          <w:rFonts w:ascii="Times New Roman" w:hAnsi="Times New Roman"/>
        </w:rPr>
      </w:pPr>
      <w:r>
        <w:rPr>
          <w:rFonts w:ascii="Times New Roman" w:hAnsi="Times New Roman"/>
        </w:rPr>
        <w:t xml:space="preserve">A total of 4 serial BoNT-A injections every 12-weeks were administered by the expert injector (Dr. Jog) under electromyographic (EMG) guidance (Clavis®, Natus Medical Incorporated, Pleasanton, California, USA) with an 1” long x 30G injectable EMG needle. </w:t>
      </w:r>
      <w:r w:rsidR="00F2252F">
        <w:rPr>
          <w:rFonts w:ascii="Times New Roman" w:hAnsi="Times New Roman"/>
        </w:rPr>
        <w:t xml:space="preserve">Muscle targeting using surface landmarking and EMG with proper activation was utilized for all treatments. </w:t>
      </w:r>
      <w:r w:rsidR="00482E9D">
        <w:rPr>
          <w:rFonts w:ascii="Times New Roman" w:hAnsi="Times New Roman"/>
        </w:rPr>
        <w:t xml:space="preserve">The same injector had been injecting these patients chronically. </w:t>
      </w:r>
      <w:r>
        <w:rPr>
          <w:rFonts w:ascii="Times New Roman" w:hAnsi="Times New Roman"/>
        </w:rPr>
        <w:t>The 1</w:t>
      </w:r>
      <w:r w:rsidRPr="00A57C94">
        <w:rPr>
          <w:rFonts w:ascii="Times New Roman" w:hAnsi="Times New Roman"/>
          <w:vertAlign w:val="superscript"/>
        </w:rPr>
        <w:t>st</w:t>
      </w:r>
      <w:r>
        <w:rPr>
          <w:rFonts w:ascii="Times New Roman" w:hAnsi="Times New Roman"/>
        </w:rPr>
        <w:t xml:space="preserve"> injection </w:t>
      </w:r>
      <w:r w:rsidR="00CD2309">
        <w:rPr>
          <w:rFonts w:ascii="Times New Roman" w:hAnsi="Times New Roman"/>
        </w:rPr>
        <w:t xml:space="preserve">applied </w:t>
      </w:r>
      <w:r>
        <w:rPr>
          <w:rFonts w:ascii="Times New Roman" w:hAnsi="Times New Roman"/>
        </w:rPr>
        <w:t>the</w:t>
      </w:r>
      <w:r w:rsidR="00CD2309">
        <w:rPr>
          <w:rFonts w:ascii="Times New Roman" w:hAnsi="Times New Roman"/>
        </w:rPr>
        <w:t xml:space="preserve"> same</w:t>
      </w:r>
      <w:r>
        <w:rPr>
          <w:rFonts w:ascii="Times New Roman" w:hAnsi="Times New Roman"/>
        </w:rPr>
        <w:t xml:space="preserve"> injection pattern </w:t>
      </w:r>
      <w:r w:rsidR="00CD2309">
        <w:rPr>
          <w:rFonts w:ascii="Times New Roman" w:hAnsi="Times New Roman"/>
        </w:rPr>
        <w:t xml:space="preserve">(muscles and dosages) </w:t>
      </w:r>
      <w:r>
        <w:rPr>
          <w:rFonts w:ascii="Times New Roman" w:hAnsi="Times New Roman"/>
        </w:rPr>
        <w:t>from the clinic and</w:t>
      </w:r>
      <w:r w:rsidR="00830C4C">
        <w:rPr>
          <w:rFonts w:ascii="Times New Roman" w:hAnsi="Times New Roman"/>
        </w:rPr>
        <w:t xml:space="preserve"> converted participants to </w:t>
      </w:r>
      <w:r w:rsidR="003079CB">
        <w:rPr>
          <w:rFonts w:ascii="Times New Roman" w:hAnsi="Times New Roman"/>
        </w:rPr>
        <w:t>abo-BoNT-A</w:t>
      </w:r>
      <w:r w:rsidR="00830C4C">
        <w:rPr>
          <w:rFonts w:ascii="Times New Roman" w:hAnsi="Times New Roman"/>
        </w:rPr>
        <w:t xml:space="preserve"> (</w:t>
      </w:r>
      <w:r>
        <w:rPr>
          <w:rFonts w:ascii="Times New Roman" w:hAnsi="Times New Roman"/>
        </w:rPr>
        <w:t>a conversion dose ratio of 1 U (ona/</w:t>
      </w:r>
      <w:r w:rsidR="003079CB">
        <w:rPr>
          <w:rFonts w:ascii="Times New Roman" w:hAnsi="Times New Roman"/>
        </w:rPr>
        <w:t>inco-BoNT-A</w:t>
      </w:r>
      <w:r>
        <w:rPr>
          <w:rFonts w:ascii="Times New Roman" w:hAnsi="Times New Roman"/>
        </w:rPr>
        <w:t>): 2.5 U (</w:t>
      </w:r>
      <w:r w:rsidR="003079CB">
        <w:rPr>
          <w:rFonts w:ascii="Times New Roman" w:hAnsi="Times New Roman"/>
        </w:rPr>
        <w:t>abo-BoNT-A</w:t>
      </w:r>
      <w:r>
        <w:rPr>
          <w:rFonts w:ascii="Times New Roman" w:hAnsi="Times New Roman"/>
        </w:rPr>
        <w:t>)</w:t>
      </w:r>
      <w:r w:rsidR="00830C4C">
        <w:rPr>
          <w:rFonts w:ascii="Times New Roman" w:hAnsi="Times New Roman"/>
        </w:rPr>
        <w:t>)</w:t>
      </w:r>
      <w:r>
        <w:rPr>
          <w:rFonts w:ascii="Times New Roman" w:hAnsi="Times New Roman"/>
        </w:rPr>
        <w:t>. The 2</w:t>
      </w:r>
      <w:r w:rsidRPr="00A57C94">
        <w:rPr>
          <w:rFonts w:ascii="Times New Roman" w:hAnsi="Times New Roman"/>
          <w:vertAlign w:val="superscript"/>
        </w:rPr>
        <w:t>nd</w:t>
      </w:r>
      <w:r>
        <w:rPr>
          <w:rFonts w:ascii="Times New Roman" w:hAnsi="Times New Roman"/>
        </w:rPr>
        <w:t xml:space="preserve"> and 3</w:t>
      </w:r>
      <w:r>
        <w:rPr>
          <w:rFonts w:ascii="Times New Roman" w:hAnsi="Times New Roman"/>
          <w:vertAlign w:val="superscript"/>
        </w:rPr>
        <w:t>rd</w:t>
      </w:r>
      <w:r>
        <w:rPr>
          <w:rFonts w:ascii="Times New Roman" w:hAnsi="Times New Roman"/>
        </w:rPr>
        <w:t xml:space="preserve"> injections administered </w:t>
      </w:r>
      <w:r w:rsidR="003079CB">
        <w:rPr>
          <w:rFonts w:ascii="Times New Roman" w:hAnsi="Times New Roman"/>
        </w:rPr>
        <w:t>abo-BoNT-A</w:t>
      </w:r>
      <w:r>
        <w:rPr>
          <w:rFonts w:ascii="Times New Roman" w:hAnsi="Times New Roman"/>
        </w:rPr>
        <w:t xml:space="preserve"> and injection patterns </w:t>
      </w:r>
      <w:r w:rsidR="00482E9D">
        <w:rPr>
          <w:rFonts w:ascii="Times New Roman" w:hAnsi="Times New Roman"/>
        </w:rPr>
        <w:t>were</w:t>
      </w:r>
      <w:r>
        <w:rPr>
          <w:rFonts w:ascii="Times New Roman" w:hAnsi="Times New Roman"/>
        </w:rPr>
        <w:t xml:space="preserve"> optimized based on kinematic assessments </w:t>
      </w:r>
      <w:r w:rsidR="00D47765">
        <w:rPr>
          <w:rFonts w:ascii="Times New Roman" w:hAnsi="Times New Roman"/>
        </w:rPr>
        <w:t>(changes in</w:t>
      </w:r>
      <w:r w:rsidR="00830C4C">
        <w:rPr>
          <w:rFonts w:ascii="Times New Roman" w:hAnsi="Times New Roman"/>
        </w:rPr>
        <w:t xml:space="preserve"> CD</w:t>
      </w:r>
      <w:r w:rsidR="00D47765">
        <w:rPr>
          <w:rFonts w:ascii="Times New Roman" w:hAnsi="Times New Roman"/>
        </w:rPr>
        <w:t xml:space="preserve"> severity) </w:t>
      </w:r>
      <w:r>
        <w:rPr>
          <w:rFonts w:ascii="Times New Roman" w:hAnsi="Times New Roman"/>
        </w:rPr>
        <w:t>and participant feedback. The 4</w:t>
      </w:r>
      <w:r w:rsidRPr="00A57C94">
        <w:rPr>
          <w:rFonts w:ascii="Times New Roman" w:hAnsi="Times New Roman"/>
          <w:vertAlign w:val="superscript"/>
        </w:rPr>
        <w:t>th</w:t>
      </w:r>
      <w:r>
        <w:rPr>
          <w:rFonts w:ascii="Times New Roman" w:hAnsi="Times New Roman"/>
        </w:rPr>
        <w:t xml:space="preserve"> injection </w:t>
      </w:r>
      <w:r w:rsidR="00482E9D">
        <w:rPr>
          <w:rFonts w:ascii="Times New Roman" w:hAnsi="Times New Roman"/>
        </w:rPr>
        <w:t xml:space="preserve">used </w:t>
      </w:r>
      <w:r>
        <w:rPr>
          <w:rFonts w:ascii="Times New Roman" w:hAnsi="Times New Roman"/>
        </w:rPr>
        <w:t>the participants</w:t>
      </w:r>
      <w:r w:rsidR="00A379AA">
        <w:rPr>
          <w:rFonts w:ascii="Times New Roman" w:hAnsi="Times New Roman"/>
        </w:rPr>
        <w:t>’</w:t>
      </w:r>
      <w:r>
        <w:rPr>
          <w:rFonts w:ascii="Times New Roman" w:hAnsi="Times New Roman"/>
        </w:rPr>
        <w:t xml:space="preserve"> original BoNT-A </w:t>
      </w:r>
      <w:r w:rsidR="00482E9D">
        <w:rPr>
          <w:rFonts w:ascii="Times New Roman" w:hAnsi="Times New Roman"/>
        </w:rPr>
        <w:t xml:space="preserve">formulation </w:t>
      </w:r>
      <w:r>
        <w:rPr>
          <w:rFonts w:ascii="Times New Roman" w:hAnsi="Times New Roman"/>
        </w:rPr>
        <w:t>from the clinic, requiring a dose conversion (ratio 1</w:t>
      </w:r>
      <w:r w:rsidR="00830C4C">
        <w:rPr>
          <w:rFonts w:ascii="Times New Roman" w:hAnsi="Times New Roman"/>
        </w:rPr>
        <w:t>:</w:t>
      </w:r>
      <w:r>
        <w:rPr>
          <w:rFonts w:ascii="Times New Roman" w:hAnsi="Times New Roman"/>
        </w:rPr>
        <w:t xml:space="preserve"> 2.5 U), </w:t>
      </w:r>
      <w:r w:rsidR="00482E9D">
        <w:rPr>
          <w:rFonts w:ascii="Times New Roman" w:hAnsi="Times New Roman"/>
        </w:rPr>
        <w:t>but the injection</w:t>
      </w:r>
      <w:r>
        <w:rPr>
          <w:rFonts w:ascii="Times New Roman" w:hAnsi="Times New Roman"/>
        </w:rPr>
        <w:t xml:space="preserve"> pattern </w:t>
      </w:r>
      <w:r w:rsidR="00482E9D">
        <w:rPr>
          <w:rFonts w:ascii="Times New Roman" w:hAnsi="Times New Roman"/>
        </w:rPr>
        <w:t xml:space="preserve">used was from the kinematically optimized </w:t>
      </w:r>
      <w:r>
        <w:rPr>
          <w:rFonts w:ascii="Times New Roman" w:hAnsi="Times New Roman"/>
        </w:rPr>
        <w:t>3</w:t>
      </w:r>
      <w:r w:rsidRPr="00A57C94">
        <w:rPr>
          <w:rFonts w:ascii="Times New Roman" w:hAnsi="Times New Roman"/>
          <w:vertAlign w:val="superscript"/>
        </w:rPr>
        <w:t>rd</w:t>
      </w:r>
      <w:r>
        <w:rPr>
          <w:rFonts w:ascii="Times New Roman" w:hAnsi="Times New Roman"/>
        </w:rPr>
        <w:t xml:space="preserve"> injection</w:t>
      </w:r>
      <w:r w:rsidR="00482E9D">
        <w:rPr>
          <w:rFonts w:ascii="Times New Roman" w:hAnsi="Times New Roman"/>
        </w:rPr>
        <w:t xml:space="preserve"> that used </w:t>
      </w:r>
      <w:r w:rsidR="003079CB">
        <w:rPr>
          <w:rFonts w:ascii="Times New Roman" w:hAnsi="Times New Roman"/>
        </w:rPr>
        <w:t>abo-BoNT-A</w:t>
      </w:r>
      <w:r>
        <w:rPr>
          <w:rFonts w:ascii="Times New Roman" w:hAnsi="Times New Roman"/>
        </w:rPr>
        <w:t>.</w:t>
      </w:r>
      <w:r w:rsidR="002220F2">
        <w:rPr>
          <w:rFonts w:ascii="Times New Roman" w:hAnsi="Times New Roman"/>
        </w:rPr>
        <w:t xml:space="preserve"> Peak effect of BoNT-A was collected 4-weeks following the last </w:t>
      </w:r>
      <w:r w:rsidR="00482E9D">
        <w:rPr>
          <w:rFonts w:ascii="Times New Roman" w:hAnsi="Times New Roman"/>
        </w:rPr>
        <w:t xml:space="preserve">standard </w:t>
      </w:r>
      <w:r w:rsidR="002220F2">
        <w:rPr>
          <w:rFonts w:ascii="Times New Roman" w:hAnsi="Times New Roman"/>
        </w:rPr>
        <w:t>clinic injection (1</w:t>
      </w:r>
      <w:r w:rsidR="002220F2" w:rsidRPr="002220F2">
        <w:rPr>
          <w:rFonts w:ascii="Times New Roman" w:hAnsi="Times New Roman"/>
          <w:vertAlign w:val="superscript"/>
        </w:rPr>
        <w:t>st</w:t>
      </w:r>
      <w:r w:rsidR="002220F2">
        <w:rPr>
          <w:rFonts w:ascii="Times New Roman" w:hAnsi="Times New Roman"/>
        </w:rPr>
        <w:t xml:space="preserve"> study visit), </w:t>
      </w:r>
      <w:r w:rsidR="00460B57">
        <w:rPr>
          <w:rFonts w:ascii="Times New Roman" w:hAnsi="Times New Roman"/>
        </w:rPr>
        <w:t>3</w:t>
      </w:r>
      <w:r w:rsidR="00460B57" w:rsidRPr="00460B57">
        <w:rPr>
          <w:rFonts w:ascii="Times New Roman" w:hAnsi="Times New Roman"/>
          <w:vertAlign w:val="superscript"/>
        </w:rPr>
        <w:t>rd</w:t>
      </w:r>
      <w:r w:rsidR="00460B57">
        <w:rPr>
          <w:rFonts w:ascii="Times New Roman" w:hAnsi="Times New Roman"/>
        </w:rPr>
        <w:t xml:space="preserve"> </w:t>
      </w:r>
      <w:r w:rsidR="003079CB">
        <w:rPr>
          <w:rFonts w:ascii="Times New Roman" w:hAnsi="Times New Roman"/>
        </w:rPr>
        <w:t>abo-BoNT-A</w:t>
      </w:r>
      <w:r w:rsidR="00460B57">
        <w:rPr>
          <w:rFonts w:ascii="Times New Roman" w:hAnsi="Times New Roman"/>
        </w:rPr>
        <w:t xml:space="preserve"> injection, and 4</w:t>
      </w:r>
      <w:r w:rsidR="00460B57" w:rsidRPr="00460B57">
        <w:rPr>
          <w:rFonts w:ascii="Times New Roman" w:hAnsi="Times New Roman"/>
          <w:vertAlign w:val="superscript"/>
        </w:rPr>
        <w:t>th</w:t>
      </w:r>
      <w:r w:rsidR="00460B57">
        <w:rPr>
          <w:rFonts w:ascii="Times New Roman" w:hAnsi="Times New Roman"/>
        </w:rPr>
        <w:t xml:space="preserve"> original BoNT-A formulation injection. </w:t>
      </w:r>
      <w:r w:rsidR="001B0C9D">
        <w:rPr>
          <w:rFonts w:ascii="Times New Roman" w:hAnsi="Times New Roman"/>
        </w:rPr>
        <w:t>Thus, a total of 7 study visits were completed</w:t>
      </w:r>
      <w:r w:rsidR="00F52F6C">
        <w:rPr>
          <w:rFonts w:ascii="Times New Roman" w:hAnsi="Times New Roman"/>
        </w:rPr>
        <w:t xml:space="preserve"> (4 re-injection visits and 3 peak effect visits)</w:t>
      </w:r>
      <w:r w:rsidR="001B0C9D">
        <w:rPr>
          <w:rFonts w:ascii="Times New Roman" w:hAnsi="Times New Roman"/>
        </w:rPr>
        <w:t xml:space="preserve">. </w:t>
      </w:r>
    </w:p>
    <w:p w14:paraId="4D6466A2" w14:textId="77777777" w:rsidR="00A57C94" w:rsidRDefault="00A57C94" w:rsidP="006F2109">
      <w:pPr>
        <w:tabs>
          <w:tab w:val="left" w:pos="3227"/>
        </w:tabs>
        <w:spacing w:line="480" w:lineRule="auto"/>
        <w:rPr>
          <w:rFonts w:ascii="Times New Roman" w:hAnsi="Times New Roman"/>
        </w:rPr>
      </w:pPr>
    </w:p>
    <w:p w14:paraId="53FF4DD6" w14:textId="41E465F1" w:rsidR="002C5D8B" w:rsidRDefault="002C5D8B" w:rsidP="006F2109">
      <w:pPr>
        <w:tabs>
          <w:tab w:val="left" w:pos="3227"/>
        </w:tabs>
        <w:spacing w:line="480" w:lineRule="auto"/>
        <w:rPr>
          <w:rFonts w:ascii="Times New Roman" w:hAnsi="Times New Roman"/>
          <w:i/>
          <w:iCs/>
        </w:rPr>
      </w:pPr>
      <w:r>
        <w:rPr>
          <w:rFonts w:ascii="Times New Roman" w:hAnsi="Times New Roman"/>
          <w:i/>
          <w:iCs/>
        </w:rPr>
        <w:lastRenderedPageBreak/>
        <w:t>Assessments</w:t>
      </w:r>
    </w:p>
    <w:p w14:paraId="6C945D5D" w14:textId="1BF63803" w:rsidR="00A40C3A" w:rsidRDefault="00FE580C" w:rsidP="00F52F6C">
      <w:pPr>
        <w:spacing w:line="480" w:lineRule="auto"/>
        <w:rPr>
          <w:rFonts w:ascii="Times New Roman" w:hAnsi="Times New Roman"/>
        </w:rPr>
      </w:pPr>
      <w:r>
        <w:rPr>
          <w:rFonts w:ascii="Times New Roman" w:hAnsi="Times New Roman"/>
        </w:rPr>
        <w:t>The primary endpoint was the w</w:t>
      </w:r>
      <w:r w:rsidR="00817A1E">
        <w:rPr>
          <w:rFonts w:ascii="Times New Roman" w:hAnsi="Times New Roman"/>
        </w:rPr>
        <w:t>aning time</w:t>
      </w:r>
      <w:r>
        <w:rPr>
          <w:rFonts w:ascii="Times New Roman" w:hAnsi="Times New Roman"/>
        </w:rPr>
        <w:t xml:space="preserve">, defined as participant perception of treatment effects starting to wear off, </w:t>
      </w:r>
      <w:r w:rsidR="00830C4C">
        <w:rPr>
          <w:rFonts w:ascii="Times New Roman" w:hAnsi="Times New Roman"/>
        </w:rPr>
        <w:t xml:space="preserve">that </w:t>
      </w:r>
      <w:r w:rsidR="00BE160F">
        <w:rPr>
          <w:rFonts w:ascii="Times New Roman" w:hAnsi="Times New Roman"/>
        </w:rPr>
        <w:t xml:space="preserve">was reported following each injection (last treatment received in the clinic and the 4 injection cycles </w:t>
      </w:r>
      <w:r w:rsidR="007E3987">
        <w:rPr>
          <w:rFonts w:ascii="Times New Roman" w:hAnsi="Times New Roman"/>
        </w:rPr>
        <w:t>in</w:t>
      </w:r>
      <w:r w:rsidR="00BE160F">
        <w:rPr>
          <w:rFonts w:ascii="Times New Roman" w:hAnsi="Times New Roman"/>
        </w:rPr>
        <w:t xml:space="preserve"> the study</w:t>
      </w:r>
      <w:r w:rsidR="00F52F6C">
        <w:rPr>
          <w:rFonts w:ascii="Times New Roman" w:hAnsi="Times New Roman"/>
        </w:rPr>
        <w:t>, totaling 5 waning times</w:t>
      </w:r>
      <w:r w:rsidR="00BE160F">
        <w:rPr>
          <w:rFonts w:ascii="Times New Roman" w:hAnsi="Times New Roman"/>
        </w:rPr>
        <w:t xml:space="preserve">). </w:t>
      </w:r>
      <w:r w:rsidR="00F52F6C" w:rsidRPr="00F52F6C">
        <w:rPr>
          <w:rFonts w:ascii="Times New Roman" w:hAnsi="Times New Roman"/>
        </w:rPr>
        <w:t xml:space="preserve">Participants noted the date of waning and called, texted, or emailed </w:t>
      </w:r>
      <w:r w:rsidR="00F52F6C">
        <w:rPr>
          <w:rFonts w:ascii="Times New Roman" w:hAnsi="Times New Roman"/>
        </w:rPr>
        <w:t xml:space="preserve">the </w:t>
      </w:r>
      <w:r w:rsidR="00F52F6C" w:rsidRPr="00F52F6C">
        <w:rPr>
          <w:rFonts w:ascii="Times New Roman" w:hAnsi="Times New Roman"/>
        </w:rPr>
        <w:t>research coordinator (RC)</w:t>
      </w:r>
      <w:r w:rsidR="00F52F6C">
        <w:rPr>
          <w:rFonts w:ascii="Times New Roman" w:hAnsi="Times New Roman"/>
        </w:rPr>
        <w:t xml:space="preserve">. </w:t>
      </w:r>
      <w:r w:rsidR="00F52F6C" w:rsidRPr="00F52F6C">
        <w:rPr>
          <w:rFonts w:ascii="Times New Roman" w:hAnsi="Times New Roman"/>
        </w:rPr>
        <w:t>Alternatively, if the RC did not hear from the participant</w:t>
      </w:r>
      <w:r w:rsidR="00F52F6C">
        <w:rPr>
          <w:rFonts w:ascii="Times New Roman" w:hAnsi="Times New Roman"/>
        </w:rPr>
        <w:t xml:space="preserve">, </w:t>
      </w:r>
      <w:r w:rsidR="00F52F6C" w:rsidRPr="00F52F6C">
        <w:rPr>
          <w:rFonts w:ascii="Times New Roman" w:hAnsi="Times New Roman"/>
        </w:rPr>
        <w:t>the RC contacted participants at the 8-week mark</w:t>
      </w:r>
      <w:r w:rsidR="00F52F6C">
        <w:rPr>
          <w:rFonts w:ascii="Times New Roman" w:hAnsi="Times New Roman"/>
        </w:rPr>
        <w:t xml:space="preserve">. </w:t>
      </w:r>
      <w:r>
        <w:rPr>
          <w:rFonts w:ascii="Times New Roman" w:hAnsi="Times New Roman"/>
        </w:rPr>
        <w:t xml:space="preserve">The </w:t>
      </w:r>
      <w:r w:rsidR="007E3987">
        <w:rPr>
          <w:rFonts w:ascii="Times New Roman" w:hAnsi="Times New Roman"/>
        </w:rPr>
        <w:t>secondary</w:t>
      </w:r>
      <w:r>
        <w:rPr>
          <w:rFonts w:ascii="Times New Roman" w:hAnsi="Times New Roman"/>
        </w:rPr>
        <w:t xml:space="preserve"> efficacy endpoint</w:t>
      </w:r>
      <w:r w:rsidR="007E3987">
        <w:rPr>
          <w:rFonts w:ascii="Times New Roman" w:hAnsi="Times New Roman"/>
        </w:rPr>
        <w:t>s</w:t>
      </w:r>
      <w:r>
        <w:rPr>
          <w:rFonts w:ascii="Times New Roman" w:hAnsi="Times New Roman"/>
        </w:rPr>
        <w:t xml:space="preserve"> </w:t>
      </w:r>
      <w:r w:rsidR="007E3987">
        <w:rPr>
          <w:rFonts w:ascii="Times New Roman" w:hAnsi="Times New Roman"/>
        </w:rPr>
        <w:t xml:space="preserve">were </w:t>
      </w:r>
      <w:r>
        <w:rPr>
          <w:rFonts w:ascii="Times New Roman" w:hAnsi="Times New Roman"/>
        </w:rPr>
        <w:t>c</w:t>
      </w:r>
      <w:r w:rsidR="00817A1E">
        <w:rPr>
          <w:rFonts w:ascii="Times New Roman" w:hAnsi="Times New Roman"/>
        </w:rPr>
        <w:t>linical scores, Toronto Western Spasmodic Torticollis Rating Scale (TWSTRS)</w:t>
      </w:r>
      <w:r>
        <w:rPr>
          <w:rFonts w:ascii="Times New Roman" w:hAnsi="Times New Roman"/>
        </w:rPr>
        <w:t>, and kinematic assessment of dystonic neck movements (</w:t>
      </w:r>
      <w:r w:rsidR="00674567">
        <w:rPr>
          <w:rFonts w:ascii="Times New Roman" w:hAnsi="Times New Roman"/>
        </w:rPr>
        <w:t>tonic</w:t>
      </w:r>
      <w:r w:rsidR="007E3987">
        <w:rPr>
          <w:rFonts w:ascii="Times New Roman" w:hAnsi="Times New Roman"/>
        </w:rPr>
        <w:t>/static</w:t>
      </w:r>
      <w:r w:rsidR="00674567">
        <w:rPr>
          <w:rFonts w:ascii="Times New Roman" w:hAnsi="Times New Roman"/>
        </w:rPr>
        <w:t xml:space="preserve"> deviation</w:t>
      </w:r>
      <w:r>
        <w:rPr>
          <w:rFonts w:ascii="Times New Roman" w:hAnsi="Times New Roman"/>
        </w:rPr>
        <w:t xml:space="preserve"> and dynamic tremulous movements in each degree of freedom </w:t>
      </w:r>
      <w:r w:rsidR="007E3987">
        <w:rPr>
          <w:rFonts w:ascii="Times New Roman" w:hAnsi="Times New Roman"/>
        </w:rPr>
        <w:t xml:space="preserve">(DOF; </w:t>
      </w:r>
      <w:r>
        <w:rPr>
          <w:rFonts w:ascii="Times New Roman" w:hAnsi="Times New Roman"/>
        </w:rPr>
        <w:t xml:space="preserve">vertical (up/down), lateral </w:t>
      </w:r>
      <w:r w:rsidR="00051444">
        <w:rPr>
          <w:rFonts w:ascii="Times New Roman" w:hAnsi="Times New Roman"/>
        </w:rPr>
        <w:t xml:space="preserve">(left/right) </w:t>
      </w:r>
      <w:r>
        <w:rPr>
          <w:rFonts w:ascii="Times New Roman" w:hAnsi="Times New Roman"/>
        </w:rPr>
        <w:t>and rotational</w:t>
      </w:r>
      <w:r w:rsidR="00051444">
        <w:rPr>
          <w:rFonts w:ascii="Times New Roman" w:hAnsi="Times New Roman"/>
        </w:rPr>
        <w:t xml:space="preserve"> (left/right)</w:t>
      </w:r>
      <w:r>
        <w:rPr>
          <w:rFonts w:ascii="Times New Roman" w:hAnsi="Times New Roman"/>
        </w:rPr>
        <w:t>)</w:t>
      </w:r>
      <w:r w:rsidR="00505602">
        <w:rPr>
          <w:rFonts w:ascii="Times New Roman" w:hAnsi="Times New Roman"/>
        </w:rPr>
        <w:t xml:space="preserve"> as described previously</w:t>
      </w:r>
      <w:r w:rsidR="00EA6CA0">
        <w:rPr>
          <w:rFonts w:ascii="Times New Roman" w:hAnsi="Times New Roman"/>
        </w:rPr>
        <w:t>.</w:t>
      </w:r>
      <w:r w:rsidR="00505602">
        <w:rPr>
          <w:rFonts w:ascii="Times New Roman" w:hAnsi="Times New Roman"/>
        </w:rPr>
        <w:t xml:space="preserve"> </w:t>
      </w:r>
      <w:r w:rsidR="00F52F6C">
        <w:rPr>
          <w:rFonts w:ascii="Times New Roman" w:hAnsi="Times New Roman"/>
        </w:rPr>
        <w:t xml:space="preserve">Clinical and kinematic measures were collected </w:t>
      </w:r>
      <w:r w:rsidR="009E4FA7">
        <w:rPr>
          <w:rFonts w:ascii="Times New Roman" w:hAnsi="Times New Roman"/>
        </w:rPr>
        <w:t xml:space="preserve">by the RC </w:t>
      </w:r>
      <w:r w:rsidR="00F52F6C">
        <w:rPr>
          <w:rFonts w:ascii="Times New Roman" w:hAnsi="Times New Roman"/>
        </w:rPr>
        <w:t xml:space="preserve">at all 7 study visits. </w:t>
      </w:r>
    </w:p>
    <w:p w14:paraId="1AC1CB87" w14:textId="77777777" w:rsidR="00A40C3A" w:rsidRDefault="00A40C3A" w:rsidP="00505602">
      <w:pPr>
        <w:spacing w:line="480" w:lineRule="auto"/>
        <w:rPr>
          <w:rFonts w:ascii="Times New Roman" w:hAnsi="Times New Roman"/>
        </w:rPr>
      </w:pPr>
    </w:p>
    <w:p w14:paraId="7227A730" w14:textId="309C1C25" w:rsidR="002C5D8B" w:rsidRDefault="009E4FA7" w:rsidP="00505602">
      <w:pPr>
        <w:spacing w:line="480" w:lineRule="auto"/>
        <w:rPr>
          <w:rFonts w:ascii="Times New Roman" w:hAnsi="Times New Roman"/>
        </w:rPr>
      </w:pPr>
      <w:r>
        <w:rPr>
          <w:rFonts w:ascii="Times New Roman" w:hAnsi="Times New Roman"/>
        </w:rPr>
        <w:t xml:space="preserve">The RC attached a </w:t>
      </w:r>
      <w:r w:rsidR="00505602">
        <w:rPr>
          <w:rFonts w:ascii="Times New Roman" w:hAnsi="Times New Roman"/>
        </w:rPr>
        <w:t xml:space="preserve">goniometer and a torsiometer (W180 and Z180, Biometrics Ltd., Newport, United Kingdom) </w:t>
      </w:r>
      <w:r w:rsidR="007E3987">
        <w:rPr>
          <w:rFonts w:ascii="Times New Roman" w:hAnsi="Times New Roman"/>
        </w:rPr>
        <w:t xml:space="preserve">to the back of each participant’s head at the inion and at the spinal segments C5-C6 using </w:t>
      </w:r>
      <w:r w:rsidR="00C349A5">
        <w:rPr>
          <w:rFonts w:ascii="Times New Roman" w:hAnsi="Times New Roman"/>
        </w:rPr>
        <w:t>Velcro</w:t>
      </w:r>
      <w:r w:rsidR="007E3987">
        <w:rPr>
          <w:rFonts w:ascii="Times New Roman" w:hAnsi="Times New Roman"/>
        </w:rPr>
        <w:t xml:space="preserve"> straps </w:t>
      </w:r>
      <w:r w:rsidR="00505602">
        <w:rPr>
          <w:rFonts w:ascii="Times New Roman" w:hAnsi="Times New Roman"/>
        </w:rPr>
        <w:t xml:space="preserve">were utilized to capture dystonic neck/head movements. </w:t>
      </w:r>
      <w:r w:rsidR="00A40C3A">
        <w:rPr>
          <w:rFonts w:ascii="Times New Roman" w:hAnsi="Times New Roman"/>
        </w:rPr>
        <w:t xml:space="preserve">Kinematic assessment tasks involved participants to be at rest, seated and </w:t>
      </w:r>
      <w:r w:rsidR="003F7C97">
        <w:rPr>
          <w:rFonts w:ascii="Times New Roman" w:hAnsi="Times New Roman"/>
        </w:rPr>
        <w:t xml:space="preserve">were instructed to not </w:t>
      </w:r>
      <w:r w:rsidR="00A40C3A">
        <w:rPr>
          <w:rFonts w:ascii="Times New Roman" w:hAnsi="Times New Roman"/>
        </w:rPr>
        <w:t>suppress</w:t>
      </w:r>
      <w:r w:rsidR="003F7C97">
        <w:rPr>
          <w:rFonts w:ascii="Times New Roman" w:hAnsi="Times New Roman"/>
        </w:rPr>
        <w:t xml:space="preserve"> their</w:t>
      </w:r>
      <w:r w:rsidR="00A40C3A">
        <w:rPr>
          <w:rFonts w:ascii="Times New Roman" w:hAnsi="Times New Roman"/>
        </w:rPr>
        <w:t xml:space="preserve"> dystonic movements. Participants performed</w:t>
      </w:r>
      <w:r w:rsidR="00716B78">
        <w:rPr>
          <w:rFonts w:ascii="Times New Roman" w:hAnsi="Times New Roman"/>
        </w:rPr>
        <w:t xml:space="preserve"> </w:t>
      </w:r>
      <w:r w:rsidR="00A40C3A">
        <w:rPr>
          <w:rFonts w:ascii="Times New Roman" w:hAnsi="Times New Roman"/>
        </w:rPr>
        <w:t>eyes open (10 sec</w:t>
      </w:r>
      <w:r w:rsidR="00A43A15">
        <w:rPr>
          <w:rFonts w:ascii="Times New Roman" w:hAnsi="Times New Roman"/>
        </w:rPr>
        <w:t>onds</w:t>
      </w:r>
      <w:r w:rsidR="00A40C3A">
        <w:rPr>
          <w:rFonts w:ascii="Times New Roman" w:hAnsi="Times New Roman"/>
        </w:rPr>
        <w:t>)</w:t>
      </w:r>
      <w:r w:rsidR="00AE24BC">
        <w:rPr>
          <w:rFonts w:ascii="Times New Roman" w:hAnsi="Times New Roman"/>
        </w:rPr>
        <w:t xml:space="preserve"> and </w:t>
      </w:r>
      <w:r w:rsidR="00716B78">
        <w:rPr>
          <w:rFonts w:ascii="Times New Roman" w:hAnsi="Times New Roman"/>
        </w:rPr>
        <w:t xml:space="preserve">eyes </w:t>
      </w:r>
      <w:r w:rsidR="00A40C3A">
        <w:rPr>
          <w:rFonts w:ascii="Times New Roman" w:hAnsi="Times New Roman"/>
        </w:rPr>
        <w:t>closed (1-minute)</w:t>
      </w:r>
      <w:r w:rsidR="00A417CC">
        <w:rPr>
          <w:rFonts w:ascii="Times New Roman" w:hAnsi="Times New Roman"/>
        </w:rPr>
        <w:t xml:space="preserve"> </w:t>
      </w:r>
      <w:r w:rsidR="00551171">
        <w:rPr>
          <w:rFonts w:ascii="Times New Roman" w:hAnsi="Times New Roman"/>
        </w:rPr>
        <w:t xml:space="preserve">tasks </w:t>
      </w:r>
      <w:r w:rsidR="00A417CC">
        <w:rPr>
          <w:rFonts w:ascii="Times New Roman" w:hAnsi="Times New Roman"/>
        </w:rPr>
        <w:t xml:space="preserve">over </w:t>
      </w:r>
      <w:r w:rsidR="00A40C3A">
        <w:rPr>
          <w:rFonts w:ascii="Times New Roman" w:hAnsi="Times New Roman"/>
        </w:rPr>
        <w:t xml:space="preserve">4-trials. </w:t>
      </w:r>
      <w:r w:rsidR="00A417CC">
        <w:rPr>
          <w:rFonts w:ascii="Times New Roman" w:hAnsi="Times New Roman"/>
        </w:rPr>
        <w:t xml:space="preserve">Two calibration tasks </w:t>
      </w:r>
      <w:r w:rsidR="00A43A15">
        <w:rPr>
          <w:rFonts w:ascii="Times New Roman" w:hAnsi="Times New Roman"/>
        </w:rPr>
        <w:t xml:space="preserve">were conducted, </w:t>
      </w:r>
      <w:r w:rsidR="00A417CC">
        <w:rPr>
          <w:rFonts w:ascii="Times New Roman" w:hAnsi="Times New Roman"/>
        </w:rPr>
        <w:t xml:space="preserve">where the assessor held the participant’s head in neutral position. </w:t>
      </w:r>
      <w:r w:rsidR="00505602">
        <w:rPr>
          <w:rFonts w:ascii="Times New Roman" w:hAnsi="Times New Roman"/>
        </w:rPr>
        <w:t>Raw data was captured using DataLITE sensor acquisition software (PC software version 8.7, Biometrics Ltd., Newport, United Kingdom) and analyzed using a custom algorithm written in MatLab® (R2014b,</w:t>
      </w:r>
      <w:r w:rsidR="00505602" w:rsidRPr="003D6733">
        <w:rPr>
          <w:rFonts w:ascii="Times New Roman" w:hAnsi="Times New Roman"/>
        </w:rPr>
        <w:t xml:space="preserve"> MathWorks, Natick, MA, USA</w:t>
      </w:r>
      <w:r w:rsidR="00505602">
        <w:rPr>
          <w:rFonts w:ascii="Times New Roman" w:hAnsi="Times New Roman"/>
        </w:rPr>
        <w:t xml:space="preserve">) software. </w:t>
      </w:r>
      <w:r w:rsidR="00FE580C">
        <w:rPr>
          <w:rFonts w:ascii="Times New Roman" w:hAnsi="Times New Roman"/>
        </w:rPr>
        <w:t>D</w:t>
      </w:r>
      <w:r w:rsidR="00BE160F">
        <w:rPr>
          <w:rFonts w:ascii="Times New Roman" w:hAnsi="Times New Roman"/>
        </w:rPr>
        <w:t xml:space="preserve">ocumentation </w:t>
      </w:r>
      <w:r w:rsidR="00817A1E">
        <w:rPr>
          <w:rFonts w:ascii="Times New Roman" w:hAnsi="Times New Roman"/>
        </w:rPr>
        <w:t xml:space="preserve">of </w:t>
      </w:r>
      <w:r w:rsidR="00BE160F">
        <w:rPr>
          <w:rFonts w:ascii="Times New Roman" w:hAnsi="Times New Roman"/>
        </w:rPr>
        <w:t xml:space="preserve">any </w:t>
      </w:r>
      <w:r w:rsidR="00817A1E">
        <w:rPr>
          <w:rFonts w:ascii="Times New Roman" w:hAnsi="Times New Roman"/>
        </w:rPr>
        <w:t>treatment-related side effects</w:t>
      </w:r>
      <w:r w:rsidR="00BE160F">
        <w:rPr>
          <w:rFonts w:ascii="Times New Roman" w:hAnsi="Times New Roman"/>
        </w:rPr>
        <w:t xml:space="preserve"> </w:t>
      </w:r>
      <w:r w:rsidR="00674567">
        <w:rPr>
          <w:rFonts w:ascii="Times New Roman" w:hAnsi="Times New Roman"/>
        </w:rPr>
        <w:t xml:space="preserve">and notable changes were </w:t>
      </w:r>
      <w:r w:rsidR="00FE580C">
        <w:rPr>
          <w:rFonts w:ascii="Times New Roman" w:hAnsi="Times New Roman"/>
        </w:rPr>
        <w:t>conducted</w:t>
      </w:r>
      <w:r w:rsidR="00BE160F">
        <w:rPr>
          <w:rFonts w:ascii="Times New Roman" w:hAnsi="Times New Roman"/>
        </w:rPr>
        <w:t xml:space="preserve"> at each visit</w:t>
      </w:r>
      <w:r>
        <w:rPr>
          <w:rFonts w:ascii="Times New Roman" w:hAnsi="Times New Roman"/>
        </w:rPr>
        <w:t xml:space="preserve"> by the RC</w:t>
      </w:r>
      <w:r w:rsidR="00BE160F">
        <w:rPr>
          <w:rFonts w:ascii="Times New Roman" w:hAnsi="Times New Roman"/>
        </w:rPr>
        <w:t xml:space="preserve">. </w:t>
      </w:r>
    </w:p>
    <w:p w14:paraId="394788F1" w14:textId="77777777" w:rsidR="00BE160F" w:rsidRDefault="00BE160F" w:rsidP="006F2109">
      <w:pPr>
        <w:tabs>
          <w:tab w:val="left" w:pos="3227"/>
        </w:tabs>
        <w:spacing w:line="480" w:lineRule="auto"/>
        <w:rPr>
          <w:rFonts w:ascii="Times New Roman" w:hAnsi="Times New Roman"/>
        </w:rPr>
      </w:pPr>
    </w:p>
    <w:p w14:paraId="707EF949" w14:textId="03AB9024" w:rsidR="002C5D8B" w:rsidRPr="002C5D8B" w:rsidRDefault="002C5D8B" w:rsidP="006F2109">
      <w:pPr>
        <w:tabs>
          <w:tab w:val="left" w:pos="3227"/>
        </w:tabs>
        <w:spacing w:line="480" w:lineRule="auto"/>
        <w:rPr>
          <w:rFonts w:ascii="Times New Roman" w:hAnsi="Times New Roman"/>
          <w:i/>
          <w:iCs/>
        </w:rPr>
      </w:pPr>
      <w:r>
        <w:rPr>
          <w:rFonts w:ascii="Times New Roman" w:hAnsi="Times New Roman"/>
          <w:i/>
          <w:iCs/>
        </w:rPr>
        <w:t>Statistical analysis</w:t>
      </w:r>
    </w:p>
    <w:p w14:paraId="1BE94D90" w14:textId="262B63DF" w:rsidR="00EF5AF6" w:rsidRDefault="0050054E" w:rsidP="006F2109">
      <w:pPr>
        <w:tabs>
          <w:tab w:val="left" w:pos="3227"/>
        </w:tabs>
        <w:spacing w:line="480" w:lineRule="auto"/>
        <w:rPr>
          <w:rFonts w:ascii="Times New Roman" w:hAnsi="Times New Roman"/>
        </w:rPr>
      </w:pPr>
      <w:r>
        <w:rPr>
          <w:rFonts w:ascii="Times New Roman" w:hAnsi="Times New Roman"/>
        </w:rPr>
        <w:t>A repeated measure</w:t>
      </w:r>
      <w:r w:rsidR="00A40C3A">
        <w:rPr>
          <w:rFonts w:ascii="Times New Roman" w:hAnsi="Times New Roman"/>
        </w:rPr>
        <w:t>s</w:t>
      </w:r>
      <w:r>
        <w:rPr>
          <w:rFonts w:ascii="Times New Roman" w:hAnsi="Times New Roman"/>
        </w:rPr>
        <w:t xml:space="preserve"> </w:t>
      </w:r>
      <w:r w:rsidR="00685CBD">
        <w:rPr>
          <w:rFonts w:ascii="Times New Roman" w:hAnsi="Times New Roman"/>
        </w:rPr>
        <w:t>a</w:t>
      </w:r>
      <w:r w:rsidR="00A40C3A" w:rsidRPr="00A40C3A">
        <w:rPr>
          <w:rFonts w:ascii="Times New Roman" w:hAnsi="Times New Roman"/>
        </w:rPr>
        <w:t xml:space="preserve">nalysis of variance </w:t>
      </w:r>
      <w:r w:rsidR="00A40C3A">
        <w:rPr>
          <w:rFonts w:ascii="Times New Roman" w:hAnsi="Times New Roman"/>
        </w:rPr>
        <w:t>(</w:t>
      </w:r>
      <w:r>
        <w:rPr>
          <w:rFonts w:ascii="Times New Roman" w:hAnsi="Times New Roman"/>
        </w:rPr>
        <w:t>ANOVA</w:t>
      </w:r>
      <w:r w:rsidR="00A40C3A">
        <w:rPr>
          <w:rFonts w:ascii="Times New Roman" w:hAnsi="Times New Roman"/>
        </w:rPr>
        <w:t>)</w:t>
      </w:r>
      <w:r>
        <w:rPr>
          <w:rFonts w:ascii="Times New Roman" w:hAnsi="Times New Roman"/>
        </w:rPr>
        <w:t xml:space="preserve"> with Bonferroni corrections </w:t>
      </w:r>
      <w:r w:rsidR="00A40C3A">
        <w:rPr>
          <w:rFonts w:ascii="Times New Roman" w:hAnsi="Times New Roman"/>
        </w:rPr>
        <w:t>(SPSS® version 21.0</w:t>
      </w:r>
      <w:r w:rsidR="00C349A5">
        <w:rPr>
          <w:rFonts w:ascii="Times New Roman" w:hAnsi="Times New Roman"/>
        </w:rPr>
        <w:t>, IBM, Armonk, NY, USA</w:t>
      </w:r>
      <w:r w:rsidR="00A40C3A">
        <w:rPr>
          <w:rFonts w:ascii="Times New Roman" w:hAnsi="Times New Roman"/>
        </w:rPr>
        <w:t xml:space="preserve">) </w:t>
      </w:r>
      <w:r>
        <w:rPr>
          <w:rFonts w:ascii="Times New Roman" w:hAnsi="Times New Roman"/>
        </w:rPr>
        <w:t>was utilized to determine statistically significant (</w:t>
      </w:r>
      <w:r>
        <w:rPr>
          <w:rFonts w:ascii="Times New Roman" w:hAnsi="Times New Roman"/>
          <w:i/>
          <w:iCs/>
        </w:rPr>
        <w:t xml:space="preserve">p </w:t>
      </w:r>
      <w:r>
        <w:rPr>
          <w:rFonts w:ascii="Times New Roman" w:hAnsi="Times New Roman"/>
        </w:rPr>
        <w:t>&lt; 0.05) changes in w</w:t>
      </w:r>
      <w:r w:rsidR="00ED6DC7">
        <w:rPr>
          <w:rFonts w:ascii="Times New Roman" w:hAnsi="Times New Roman"/>
        </w:rPr>
        <w:t>aning time, TWSTRS total score and sub-scores (</w:t>
      </w:r>
      <w:r w:rsidR="007E3987">
        <w:rPr>
          <w:rFonts w:ascii="Times New Roman" w:hAnsi="Times New Roman"/>
        </w:rPr>
        <w:t>I</w:t>
      </w:r>
      <w:r w:rsidR="00ED6DC7">
        <w:rPr>
          <w:rFonts w:ascii="Times New Roman" w:hAnsi="Times New Roman"/>
        </w:rPr>
        <w:t>-III)</w:t>
      </w:r>
      <w:r>
        <w:rPr>
          <w:rFonts w:ascii="Times New Roman" w:hAnsi="Times New Roman"/>
        </w:rPr>
        <w:t xml:space="preserve">, mean </w:t>
      </w:r>
      <w:r w:rsidR="00051444">
        <w:rPr>
          <w:rFonts w:ascii="Times New Roman" w:hAnsi="Times New Roman"/>
        </w:rPr>
        <w:t>tonic deviation</w:t>
      </w:r>
      <w:r>
        <w:rPr>
          <w:rFonts w:ascii="Times New Roman" w:hAnsi="Times New Roman"/>
        </w:rPr>
        <w:t xml:space="preserve"> (degrees from neutral head position</w:t>
      </w:r>
      <w:r w:rsidR="007E3987">
        <w:rPr>
          <w:rFonts w:ascii="Times New Roman" w:hAnsi="Times New Roman"/>
        </w:rPr>
        <w:t xml:space="preserve"> per DOF</w:t>
      </w:r>
      <w:r>
        <w:rPr>
          <w:rFonts w:ascii="Times New Roman" w:hAnsi="Times New Roman"/>
        </w:rPr>
        <w:t>) and dynamic tremulous movements (root mean square (RMS) degrees</w:t>
      </w:r>
      <w:r w:rsidR="00551171">
        <w:rPr>
          <w:rFonts w:ascii="Times New Roman" w:hAnsi="Times New Roman"/>
        </w:rPr>
        <w:t xml:space="preserve"> per DOF</w:t>
      </w:r>
      <w:r>
        <w:rPr>
          <w:rFonts w:ascii="Times New Roman" w:hAnsi="Times New Roman"/>
        </w:rPr>
        <w:t xml:space="preserve">) between re-injection </w:t>
      </w:r>
      <w:r w:rsidR="0004355E">
        <w:rPr>
          <w:rFonts w:ascii="Times New Roman" w:hAnsi="Times New Roman"/>
        </w:rPr>
        <w:t xml:space="preserve">and </w:t>
      </w:r>
      <w:r w:rsidR="00630A05">
        <w:rPr>
          <w:rFonts w:ascii="Times New Roman" w:hAnsi="Times New Roman"/>
        </w:rPr>
        <w:t xml:space="preserve">peak </w:t>
      </w:r>
      <w:r w:rsidR="0004355E">
        <w:rPr>
          <w:rFonts w:ascii="Times New Roman" w:hAnsi="Times New Roman"/>
        </w:rPr>
        <w:t xml:space="preserve">BoNT-A </w:t>
      </w:r>
      <w:r w:rsidR="00630A05">
        <w:rPr>
          <w:rFonts w:ascii="Times New Roman" w:hAnsi="Times New Roman"/>
        </w:rPr>
        <w:t xml:space="preserve">effect </w:t>
      </w:r>
      <w:r w:rsidR="0004355E">
        <w:rPr>
          <w:rFonts w:ascii="Times New Roman" w:hAnsi="Times New Roman"/>
        </w:rPr>
        <w:t xml:space="preserve">time-points. </w:t>
      </w:r>
      <w:r>
        <w:rPr>
          <w:rFonts w:ascii="Times New Roman" w:hAnsi="Times New Roman"/>
        </w:rPr>
        <w:t>Collected</w:t>
      </w:r>
      <w:r w:rsidR="00ED6DC7">
        <w:rPr>
          <w:rFonts w:ascii="Times New Roman" w:hAnsi="Times New Roman"/>
        </w:rPr>
        <w:t xml:space="preserve"> data </w:t>
      </w:r>
      <w:r>
        <w:rPr>
          <w:rFonts w:ascii="Times New Roman" w:hAnsi="Times New Roman"/>
        </w:rPr>
        <w:t xml:space="preserve">was </w:t>
      </w:r>
      <w:r w:rsidR="00ED6DC7">
        <w:rPr>
          <w:rFonts w:ascii="Times New Roman" w:hAnsi="Times New Roman"/>
        </w:rPr>
        <w:t xml:space="preserve">summarized by mean, </w:t>
      </w:r>
      <w:r w:rsidR="00551171">
        <w:rPr>
          <w:rFonts w:ascii="Times New Roman" w:hAnsi="Times New Roman"/>
        </w:rPr>
        <w:t>standard deviation (</w:t>
      </w:r>
      <w:r w:rsidR="00ED6DC7">
        <w:rPr>
          <w:rFonts w:ascii="Times New Roman" w:hAnsi="Times New Roman"/>
        </w:rPr>
        <w:t>SD</w:t>
      </w:r>
      <w:r w:rsidR="00551171">
        <w:rPr>
          <w:rFonts w:ascii="Times New Roman" w:hAnsi="Times New Roman"/>
        </w:rPr>
        <w:t>)</w:t>
      </w:r>
      <w:r w:rsidR="00ED6DC7">
        <w:rPr>
          <w:rFonts w:ascii="Times New Roman" w:hAnsi="Times New Roman"/>
        </w:rPr>
        <w:t xml:space="preserve">, and median. </w:t>
      </w:r>
    </w:p>
    <w:p w14:paraId="1B7BF1EF" w14:textId="77777777" w:rsidR="004A5840" w:rsidRPr="00EF5AF6" w:rsidRDefault="004A5840" w:rsidP="006F2109">
      <w:pPr>
        <w:tabs>
          <w:tab w:val="left" w:pos="3227"/>
        </w:tabs>
        <w:spacing w:line="480" w:lineRule="auto"/>
        <w:rPr>
          <w:rFonts w:ascii="Times New Roman" w:hAnsi="Times New Roman"/>
        </w:rPr>
      </w:pPr>
    </w:p>
    <w:p w14:paraId="63B542EE" w14:textId="18FFAAA3" w:rsidR="006F2109" w:rsidRDefault="003F6F8D" w:rsidP="006F2109">
      <w:pPr>
        <w:tabs>
          <w:tab w:val="left" w:pos="3227"/>
        </w:tabs>
        <w:spacing w:line="480" w:lineRule="auto"/>
        <w:rPr>
          <w:rFonts w:ascii="Times New Roman" w:hAnsi="Times New Roman"/>
          <w:b/>
          <w:bCs/>
        </w:rPr>
      </w:pPr>
      <w:r>
        <w:rPr>
          <w:rFonts w:ascii="Times New Roman" w:hAnsi="Times New Roman"/>
          <w:b/>
          <w:bCs/>
        </w:rPr>
        <w:t xml:space="preserve">Analysis outcome </w:t>
      </w:r>
    </w:p>
    <w:p w14:paraId="5CF5EA50" w14:textId="6FA50093" w:rsidR="00EF5AF6" w:rsidRDefault="00662D0B" w:rsidP="006F2109">
      <w:pPr>
        <w:tabs>
          <w:tab w:val="left" w:pos="3227"/>
        </w:tabs>
        <w:spacing w:line="480" w:lineRule="auto"/>
        <w:rPr>
          <w:rFonts w:ascii="Times New Roman" w:hAnsi="Times New Roman"/>
          <w:i/>
          <w:iCs/>
        </w:rPr>
      </w:pPr>
      <w:r>
        <w:rPr>
          <w:rFonts w:ascii="Times New Roman" w:hAnsi="Times New Roman"/>
          <w:i/>
          <w:iCs/>
        </w:rPr>
        <w:t>Demographics</w:t>
      </w:r>
    </w:p>
    <w:p w14:paraId="2813FF70" w14:textId="14734A4E" w:rsidR="00662D0B" w:rsidRDefault="00320F6D" w:rsidP="006F2109">
      <w:pPr>
        <w:tabs>
          <w:tab w:val="left" w:pos="3227"/>
        </w:tabs>
        <w:spacing w:line="480" w:lineRule="auto"/>
        <w:rPr>
          <w:rFonts w:ascii="Times New Roman" w:hAnsi="Times New Roman"/>
        </w:rPr>
      </w:pPr>
      <w:r>
        <w:rPr>
          <w:rFonts w:ascii="Times New Roman" w:hAnsi="Times New Roman"/>
        </w:rPr>
        <w:t xml:space="preserve">Twenty-seven </w:t>
      </w:r>
      <w:r w:rsidR="00F96E4F">
        <w:rPr>
          <w:rFonts w:ascii="Times New Roman" w:hAnsi="Times New Roman"/>
        </w:rPr>
        <w:t xml:space="preserve">out of the consented 33 </w:t>
      </w:r>
      <w:r>
        <w:rPr>
          <w:rFonts w:ascii="Times New Roman" w:hAnsi="Times New Roman"/>
        </w:rPr>
        <w:t>s</w:t>
      </w:r>
      <w:r w:rsidR="00662D0B">
        <w:rPr>
          <w:rFonts w:ascii="Times New Roman" w:hAnsi="Times New Roman"/>
        </w:rPr>
        <w:t xml:space="preserve">tudy participants </w:t>
      </w:r>
      <w:r w:rsidR="00B572A7">
        <w:rPr>
          <w:rFonts w:ascii="Times New Roman" w:hAnsi="Times New Roman"/>
        </w:rPr>
        <w:t>(</w:t>
      </w:r>
      <w:r w:rsidR="00E26763">
        <w:rPr>
          <w:rFonts w:ascii="Times New Roman" w:hAnsi="Times New Roman"/>
        </w:rPr>
        <w:t>mean</w:t>
      </w:r>
      <w:r w:rsidR="00F328F5">
        <w:rPr>
          <w:rFonts w:ascii="Times New Roman" w:hAnsi="Times New Roman"/>
        </w:rPr>
        <w:t xml:space="preserve"> </w:t>
      </w:r>
      <w:r w:rsidR="00B572A7">
        <w:rPr>
          <w:rFonts w:ascii="Times New Roman" w:hAnsi="Times New Roman"/>
        </w:rPr>
        <w:t xml:space="preserve">age of </w:t>
      </w:r>
      <w:r w:rsidR="00662D0B">
        <w:rPr>
          <w:rFonts w:ascii="Times New Roman" w:hAnsi="Times New Roman"/>
        </w:rPr>
        <w:t xml:space="preserve">59 </w:t>
      </w:r>
      <w:r w:rsidR="00662D0B" w:rsidRPr="00662D0B">
        <w:rPr>
          <w:rFonts w:ascii="Times New Roman" w:hAnsi="Times New Roman"/>
        </w:rPr>
        <w:t>±</w:t>
      </w:r>
      <w:r w:rsidR="00662D0B">
        <w:rPr>
          <w:rFonts w:ascii="Times New Roman" w:hAnsi="Times New Roman"/>
        </w:rPr>
        <w:t>12 years</w:t>
      </w:r>
      <w:r w:rsidR="00B572A7">
        <w:rPr>
          <w:rFonts w:ascii="Times New Roman" w:hAnsi="Times New Roman"/>
        </w:rPr>
        <w:t xml:space="preserve">, </w:t>
      </w:r>
      <w:r w:rsidR="00662D0B">
        <w:rPr>
          <w:rFonts w:ascii="Times New Roman" w:hAnsi="Times New Roman"/>
        </w:rPr>
        <w:t xml:space="preserve">5 males and 22 females) with a mean disease duration of 12 </w:t>
      </w:r>
      <w:r w:rsidR="00662D0B" w:rsidRPr="00662D0B">
        <w:rPr>
          <w:rFonts w:ascii="Times New Roman" w:hAnsi="Times New Roman"/>
        </w:rPr>
        <w:t>±</w:t>
      </w:r>
      <w:r w:rsidR="00662D0B">
        <w:rPr>
          <w:rFonts w:ascii="Times New Roman" w:hAnsi="Times New Roman"/>
        </w:rPr>
        <w:t xml:space="preserve"> 8 years (median: 11</w:t>
      </w:r>
      <w:r w:rsidR="00662D0B">
        <w:rPr>
          <w:rFonts w:cs="Calibri"/>
        </w:rPr>
        <w:t xml:space="preserve"> </w:t>
      </w:r>
      <w:r w:rsidR="00662D0B" w:rsidRPr="00662D0B">
        <w:rPr>
          <w:rFonts w:ascii="Times New Roman" w:hAnsi="Times New Roman"/>
        </w:rPr>
        <w:t>years)</w:t>
      </w:r>
      <w:r w:rsidR="00B93661">
        <w:rPr>
          <w:rFonts w:ascii="Times New Roman" w:hAnsi="Times New Roman"/>
        </w:rPr>
        <w:t xml:space="preserve"> </w:t>
      </w:r>
      <w:r w:rsidR="00F96E4F">
        <w:rPr>
          <w:rFonts w:ascii="Times New Roman" w:hAnsi="Times New Roman"/>
        </w:rPr>
        <w:t>completed this study</w:t>
      </w:r>
      <w:r w:rsidR="00662D0B">
        <w:rPr>
          <w:rFonts w:ascii="Times New Roman" w:hAnsi="Times New Roman"/>
        </w:rPr>
        <w:t xml:space="preserve">. Thirteen (48%), </w:t>
      </w:r>
      <w:r w:rsidR="004E1D2D">
        <w:rPr>
          <w:rFonts w:ascii="Times New Roman" w:hAnsi="Times New Roman"/>
        </w:rPr>
        <w:t>9</w:t>
      </w:r>
      <w:r w:rsidR="00662D0B">
        <w:rPr>
          <w:rFonts w:ascii="Times New Roman" w:hAnsi="Times New Roman"/>
        </w:rPr>
        <w:t xml:space="preserve"> (33%) and</w:t>
      </w:r>
      <w:r w:rsidR="004E1D2D">
        <w:rPr>
          <w:rFonts w:ascii="Times New Roman" w:hAnsi="Times New Roman"/>
        </w:rPr>
        <w:t xml:space="preserve"> 5 (19%)</w:t>
      </w:r>
      <w:r w:rsidR="00662D0B">
        <w:rPr>
          <w:rFonts w:ascii="Times New Roman" w:hAnsi="Times New Roman"/>
        </w:rPr>
        <w:t xml:space="preserve"> participants had tremor dominant</w:t>
      </w:r>
      <w:r w:rsidR="0065232A">
        <w:rPr>
          <w:rFonts w:ascii="Times New Roman" w:hAnsi="Times New Roman"/>
        </w:rPr>
        <w:t xml:space="preserve"> (no tonic deviations)</w:t>
      </w:r>
      <w:r w:rsidR="004E1D2D">
        <w:rPr>
          <w:rFonts w:ascii="Times New Roman" w:hAnsi="Times New Roman"/>
        </w:rPr>
        <w:t xml:space="preserve">, </w:t>
      </w:r>
      <w:r w:rsidR="00051444">
        <w:rPr>
          <w:rFonts w:ascii="Times New Roman" w:hAnsi="Times New Roman"/>
        </w:rPr>
        <w:t>tonic deviation</w:t>
      </w:r>
      <w:r w:rsidR="004E1D2D">
        <w:rPr>
          <w:rFonts w:ascii="Times New Roman" w:hAnsi="Times New Roman"/>
        </w:rPr>
        <w:t xml:space="preserve"> dominant</w:t>
      </w:r>
      <w:r w:rsidR="0065232A">
        <w:rPr>
          <w:rFonts w:ascii="Times New Roman" w:hAnsi="Times New Roman"/>
        </w:rPr>
        <w:t xml:space="preserve"> (no tremor)</w:t>
      </w:r>
      <w:r w:rsidR="004E1D2D">
        <w:rPr>
          <w:rFonts w:ascii="Times New Roman" w:hAnsi="Times New Roman"/>
        </w:rPr>
        <w:t xml:space="preserve">, and complex (mix of both </w:t>
      </w:r>
      <w:r w:rsidR="00051444">
        <w:rPr>
          <w:rFonts w:ascii="Times New Roman" w:hAnsi="Times New Roman"/>
        </w:rPr>
        <w:t>tonic deviation</w:t>
      </w:r>
      <w:r w:rsidR="004E1D2D">
        <w:rPr>
          <w:rFonts w:ascii="Times New Roman" w:hAnsi="Times New Roman"/>
        </w:rPr>
        <w:t xml:space="preserve"> and </w:t>
      </w:r>
      <w:r w:rsidR="0044007A">
        <w:rPr>
          <w:rFonts w:ascii="Times New Roman" w:hAnsi="Times New Roman"/>
        </w:rPr>
        <w:t>dynamic dystonia</w:t>
      </w:r>
      <w:r w:rsidR="004E1D2D">
        <w:rPr>
          <w:rFonts w:ascii="Times New Roman" w:hAnsi="Times New Roman"/>
        </w:rPr>
        <w:t>)</w:t>
      </w:r>
      <w:r w:rsidR="00662D0B">
        <w:rPr>
          <w:rFonts w:ascii="Times New Roman" w:hAnsi="Times New Roman"/>
        </w:rPr>
        <w:t xml:space="preserve"> CD phenotype</w:t>
      </w:r>
      <w:r w:rsidR="004E1D2D">
        <w:rPr>
          <w:rFonts w:ascii="Times New Roman" w:hAnsi="Times New Roman"/>
        </w:rPr>
        <w:t>s, respectively</w:t>
      </w:r>
      <w:r w:rsidR="00662D0B">
        <w:rPr>
          <w:rFonts w:ascii="Times New Roman" w:hAnsi="Times New Roman"/>
        </w:rPr>
        <w:t xml:space="preserve">. </w:t>
      </w:r>
      <w:r w:rsidR="00F328F5">
        <w:rPr>
          <w:rFonts w:ascii="Times New Roman" w:hAnsi="Times New Roman"/>
        </w:rPr>
        <w:t xml:space="preserve">Twenty-one (78%) and 6 (22%) participants received </w:t>
      </w:r>
      <w:r w:rsidR="003079CB">
        <w:rPr>
          <w:rFonts w:ascii="Times New Roman" w:hAnsi="Times New Roman"/>
        </w:rPr>
        <w:t>ona-BoNT-A</w:t>
      </w:r>
      <w:r w:rsidR="00F328F5">
        <w:rPr>
          <w:rFonts w:ascii="Times New Roman" w:hAnsi="Times New Roman"/>
        </w:rPr>
        <w:t xml:space="preserve"> or </w:t>
      </w:r>
      <w:r w:rsidR="003079CB">
        <w:rPr>
          <w:rFonts w:ascii="Times New Roman" w:hAnsi="Times New Roman"/>
        </w:rPr>
        <w:t>inco-BoNT-A</w:t>
      </w:r>
      <w:r w:rsidR="00F328F5">
        <w:rPr>
          <w:rFonts w:ascii="Times New Roman" w:hAnsi="Times New Roman"/>
        </w:rPr>
        <w:t>, respectively</w:t>
      </w:r>
      <w:r w:rsidR="00CF3FC8">
        <w:rPr>
          <w:rFonts w:ascii="Times New Roman" w:hAnsi="Times New Roman"/>
        </w:rPr>
        <w:t>, in the clinic</w:t>
      </w:r>
      <w:r w:rsidR="00C62AC4">
        <w:rPr>
          <w:rFonts w:ascii="Times New Roman" w:hAnsi="Times New Roman"/>
        </w:rPr>
        <w:t>, prior to study initiation</w:t>
      </w:r>
      <w:r w:rsidR="00CF3FC8">
        <w:rPr>
          <w:rFonts w:ascii="Times New Roman" w:hAnsi="Times New Roman"/>
        </w:rPr>
        <w:t xml:space="preserve">. </w:t>
      </w:r>
    </w:p>
    <w:p w14:paraId="0A618B66" w14:textId="5B2D75C2" w:rsidR="004E1D2D" w:rsidRDefault="004E1D2D" w:rsidP="006F2109">
      <w:pPr>
        <w:tabs>
          <w:tab w:val="left" w:pos="3227"/>
        </w:tabs>
        <w:spacing w:line="480" w:lineRule="auto"/>
        <w:rPr>
          <w:rFonts w:ascii="Times New Roman" w:hAnsi="Times New Roman"/>
        </w:rPr>
      </w:pPr>
    </w:p>
    <w:p w14:paraId="7A0B8C08" w14:textId="4966D598" w:rsidR="004E1D2D" w:rsidRDefault="004E1D2D" w:rsidP="006F2109">
      <w:pPr>
        <w:tabs>
          <w:tab w:val="left" w:pos="3227"/>
        </w:tabs>
        <w:spacing w:line="480" w:lineRule="auto"/>
        <w:rPr>
          <w:rFonts w:ascii="Times New Roman" w:hAnsi="Times New Roman"/>
        </w:rPr>
      </w:pPr>
      <w:r>
        <w:rPr>
          <w:rFonts w:ascii="Times New Roman" w:hAnsi="Times New Roman"/>
          <w:i/>
          <w:iCs/>
        </w:rPr>
        <w:t>Waning time</w:t>
      </w:r>
    </w:p>
    <w:p w14:paraId="01C88CAB" w14:textId="57A4F85F" w:rsidR="00DC3B28" w:rsidRDefault="007E4C7C" w:rsidP="007E4C7C">
      <w:pPr>
        <w:tabs>
          <w:tab w:val="left" w:pos="3227"/>
        </w:tabs>
        <w:spacing w:line="480" w:lineRule="auto"/>
        <w:rPr>
          <w:rFonts w:ascii="Times New Roman" w:hAnsi="Times New Roman"/>
        </w:rPr>
      </w:pPr>
      <w:r w:rsidRPr="007E4C7C">
        <w:rPr>
          <w:rFonts w:ascii="Times New Roman" w:hAnsi="Times New Roman"/>
        </w:rPr>
        <w:t>Waning time significantly increased by 26% (57±16 days</w:t>
      </w:r>
      <w:r w:rsidR="00905B4B">
        <w:rPr>
          <w:rFonts w:ascii="Times New Roman" w:hAnsi="Times New Roman"/>
        </w:rPr>
        <w:t>; median: 61.5 days</w:t>
      </w:r>
      <w:r w:rsidR="009D7C67">
        <w:rPr>
          <w:rFonts w:ascii="Times New Roman" w:hAnsi="Times New Roman"/>
        </w:rPr>
        <w:t xml:space="preserve">; </w:t>
      </w:r>
      <w:r w:rsidR="009D7C67">
        <w:rPr>
          <w:rFonts w:ascii="Times New Roman" w:hAnsi="Times New Roman"/>
          <w:i/>
          <w:iCs/>
        </w:rPr>
        <w:t xml:space="preserve">p </w:t>
      </w:r>
      <w:r w:rsidR="009D7C67">
        <w:rPr>
          <w:rFonts w:ascii="Times New Roman" w:hAnsi="Times New Roman"/>
        </w:rPr>
        <w:t>= 0.01, [95% CI -21.7, -2.2]</w:t>
      </w:r>
      <w:r w:rsidRPr="007E4C7C">
        <w:rPr>
          <w:rFonts w:ascii="Times New Roman" w:hAnsi="Times New Roman"/>
        </w:rPr>
        <w:t>), 37% (63±12 days</w:t>
      </w:r>
      <w:r w:rsidR="009D7C67">
        <w:rPr>
          <w:rFonts w:ascii="Times New Roman" w:hAnsi="Times New Roman"/>
        </w:rPr>
        <w:t>;</w:t>
      </w:r>
      <w:r w:rsidR="009D7C67" w:rsidRPr="009D7C67">
        <w:rPr>
          <w:rFonts w:ascii="Times New Roman" w:hAnsi="Times New Roman"/>
          <w:i/>
          <w:iCs/>
        </w:rPr>
        <w:t xml:space="preserve"> </w:t>
      </w:r>
      <w:r w:rsidR="00905B4B">
        <w:rPr>
          <w:rFonts w:ascii="Times New Roman" w:hAnsi="Times New Roman"/>
        </w:rPr>
        <w:t xml:space="preserve">median: 63 days; </w:t>
      </w:r>
      <w:r w:rsidR="009D7C67">
        <w:rPr>
          <w:rFonts w:ascii="Times New Roman" w:hAnsi="Times New Roman"/>
          <w:i/>
          <w:iCs/>
        </w:rPr>
        <w:t xml:space="preserve">p </w:t>
      </w:r>
      <w:r w:rsidR="009D7C67">
        <w:rPr>
          <w:rFonts w:ascii="Times New Roman" w:hAnsi="Times New Roman"/>
        </w:rPr>
        <w:t>&lt; 0.005, [95% CI -25.1, -10.0]</w:t>
      </w:r>
      <w:r w:rsidRPr="007E4C7C">
        <w:rPr>
          <w:rFonts w:ascii="Times New Roman" w:hAnsi="Times New Roman"/>
        </w:rPr>
        <w:t>), 49% (68±19 days</w:t>
      </w:r>
      <w:r w:rsidR="009D7C67">
        <w:rPr>
          <w:rFonts w:ascii="Times New Roman" w:hAnsi="Times New Roman"/>
        </w:rPr>
        <w:t xml:space="preserve">; </w:t>
      </w:r>
      <w:r w:rsidR="00905B4B">
        <w:rPr>
          <w:rFonts w:ascii="Times New Roman" w:hAnsi="Times New Roman"/>
        </w:rPr>
        <w:t xml:space="preserve">median: 68 days; </w:t>
      </w:r>
      <w:r w:rsidR="009D7C67">
        <w:rPr>
          <w:rFonts w:ascii="Times New Roman" w:hAnsi="Times New Roman"/>
          <w:i/>
          <w:iCs/>
        </w:rPr>
        <w:t xml:space="preserve">p </w:t>
      </w:r>
      <w:r w:rsidR="009D7C67">
        <w:rPr>
          <w:rFonts w:ascii="Times New Roman" w:hAnsi="Times New Roman"/>
        </w:rPr>
        <w:t>&lt; 0.005, [95% CI -33.3, -11.7]</w:t>
      </w:r>
      <w:r w:rsidRPr="007E4C7C">
        <w:rPr>
          <w:rFonts w:ascii="Times New Roman" w:hAnsi="Times New Roman"/>
        </w:rPr>
        <w:t>) following the 1</w:t>
      </w:r>
      <w:r w:rsidRPr="006003F3">
        <w:rPr>
          <w:rFonts w:ascii="Times New Roman" w:hAnsi="Times New Roman"/>
          <w:vertAlign w:val="superscript"/>
        </w:rPr>
        <w:t>st</w:t>
      </w:r>
      <w:r w:rsidRPr="007E4C7C">
        <w:rPr>
          <w:rFonts w:ascii="Times New Roman" w:hAnsi="Times New Roman"/>
        </w:rPr>
        <w:t>, 2</w:t>
      </w:r>
      <w:r w:rsidRPr="006003F3">
        <w:rPr>
          <w:rFonts w:ascii="Times New Roman" w:hAnsi="Times New Roman"/>
          <w:vertAlign w:val="superscript"/>
        </w:rPr>
        <w:t>nd</w:t>
      </w:r>
      <w:r w:rsidRPr="007E4C7C">
        <w:rPr>
          <w:rFonts w:ascii="Times New Roman" w:hAnsi="Times New Roman"/>
        </w:rPr>
        <w:t xml:space="preserve"> and 3</w:t>
      </w:r>
      <w:r w:rsidRPr="006003F3">
        <w:rPr>
          <w:rFonts w:ascii="Times New Roman" w:hAnsi="Times New Roman"/>
          <w:vertAlign w:val="superscript"/>
        </w:rPr>
        <w:t>rd</w:t>
      </w:r>
      <w:r w:rsidRPr="007E4C7C">
        <w:rPr>
          <w:rFonts w:ascii="Times New Roman" w:hAnsi="Times New Roman"/>
        </w:rPr>
        <w:t xml:space="preserve"> </w:t>
      </w:r>
      <w:r w:rsidR="003079CB">
        <w:rPr>
          <w:rFonts w:ascii="Times New Roman" w:hAnsi="Times New Roman"/>
        </w:rPr>
        <w:t>abo-BoNT-A</w:t>
      </w:r>
      <w:r w:rsidRPr="007E4C7C">
        <w:rPr>
          <w:rFonts w:ascii="Times New Roman" w:hAnsi="Times New Roman"/>
        </w:rPr>
        <w:t xml:space="preserve"> treatments, respectively, compared to </w:t>
      </w:r>
      <w:r w:rsidR="009D7C67">
        <w:rPr>
          <w:rFonts w:ascii="Times New Roman" w:hAnsi="Times New Roman"/>
        </w:rPr>
        <w:t xml:space="preserve">the </w:t>
      </w:r>
      <w:r w:rsidRPr="007E4C7C">
        <w:rPr>
          <w:rFonts w:ascii="Times New Roman" w:hAnsi="Times New Roman"/>
        </w:rPr>
        <w:t xml:space="preserve">waning time of </w:t>
      </w:r>
      <w:r w:rsidR="006003F3">
        <w:rPr>
          <w:rFonts w:ascii="Times New Roman" w:hAnsi="Times New Roman"/>
        </w:rPr>
        <w:t xml:space="preserve">the </w:t>
      </w:r>
      <w:r w:rsidRPr="007E4C7C">
        <w:rPr>
          <w:rFonts w:ascii="Times New Roman" w:hAnsi="Times New Roman"/>
        </w:rPr>
        <w:t xml:space="preserve">original BoNT-A from </w:t>
      </w:r>
      <w:r w:rsidRPr="007E4C7C">
        <w:rPr>
          <w:rFonts w:ascii="Times New Roman" w:hAnsi="Times New Roman"/>
        </w:rPr>
        <w:lastRenderedPageBreak/>
        <w:t>clinic (45±12 days</w:t>
      </w:r>
      <w:r w:rsidR="00905B4B">
        <w:rPr>
          <w:rFonts w:ascii="Times New Roman" w:hAnsi="Times New Roman"/>
        </w:rPr>
        <w:t>; median: 47 days</w:t>
      </w:r>
      <w:r w:rsidRPr="007E4C7C">
        <w:rPr>
          <w:rFonts w:ascii="Times New Roman" w:hAnsi="Times New Roman"/>
        </w:rPr>
        <w:t>)</w:t>
      </w:r>
      <w:r>
        <w:rPr>
          <w:rFonts w:ascii="Times New Roman" w:hAnsi="Times New Roman"/>
        </w:rPr>
        <w:t xml:space="preserve"> </w:t>
      </w:r>
      <w:r w:rsidR="001D0DF2">
        <w:rPr>
          <w:rFonts w:ascii="Times New Roman" w:hAnsi="Times New Roman"/>
        </w:rPr>
        <w:t>The waning time following the 4</w:t>
      </w:r>
      <w:r w:rsidR="001D0DF2" w:rsidRPr="001D0DF2">
        <w:rPr>
          <w:rFonts w:ascii="Times New Roman" w:hAnsi="Times New Roman"/>
          <w:vertAlign w:val="superscript"/>
        </w:rPr>
        <w:t>th</w:t>
      </w:r>
      <w:r w:rsidR="001D0DF2">
        <w:rPr>
          <w:rFonts w:ascii="Times New Roman" w:hAnsi="Times New Roman"/>
        </w:rPr>
        <w:t xml:space="preserve"> injection (c</w:t>
      </w:r>
      <w:r w:rsidRPr="007E4C7C">
        <w:rPr>
          <w:rFonts w:ascii="Times New Roman" w:hAnsi="Times New Roman"/>
        </w:rPr>
        <w:t xml:space="preserve">onversion back to original BoNT-A </w:t>
      </w:r>
      <w:r w:rsidR="001D0DF2">
        <w:rPr>
          <w:rFonts w:ascii="Times New Roman" w:hAnsi="Times New Roman"/>
        </w:rPr>
        <w:t>using the 3</w:t>
      </w:r>
      <w:r w:rsidR="001D0DF2" w:rsidRPr="001D0DF2">
        <w:rPr>
          <w:rFonts w:ascii="Times New Roman" w:hAnsi="Times New Roman"/>
          <w:vertAlign w:val="superscript"/>
        </w:rPr>
        <w:t>rd</w:t>
      </w:r>
      <w:r w:rsidR="001D0DF2">
        <w:rPr>
          <w:rFonts w:ascii="Times New Roman" w:hAnsi="Times New Roman"/>
        </w:rPr>
        <w:t xml:space="preserve"> </w:t>
      </w:r>
      <w:r w:rsidR="003079CB">
        <w:rPr>
          <w:rFonts w:ascii="Times New Roman" w:hAnsi="Times New Roman"/>
        </w:rPr>
        <w:t>abo-BoNT-A</w:t>
      </w:r>
      <w:r w:rsidR="006003F3">
        <w:rPr>
          <w:rFonts w:ascii="Times New Roman" w:hAnsi="Times New Roman"/>
        </w:rPr>
        <w:t xml:space="preserve"> </w:t>
      </w:r>
      <w:r w:rsidR="001D0DF2">
        <w:rPr>
          <w:rFonts w:ascii="Times New Roman" w:hAnsi="Times New Roman"/>
        </w:rPr>
        <w:t xml:space="preserve">injection pattern) </w:t>
      </w:r>
      <w:r w:rsidRPr="007E4C7C">
        <w:rPr>
          <w:rFonts w:ascii="Times New Roman" w:hAnsi="Times New Roman"/>
        </w:rPr>
        <w:t xml:space="preserve">was statistically </w:t>
      </w:r>
      <w:r w:rsidR="001D0DF2">
        <w:rPr>
          <w:rFonts w:ascii="Times New Roman" w:hAnsi="Times New Roman"/>
        </w:rPr>
        <w:t>comparable</w:t>
      </w:r>
      <w:r w:rsidRPr="007E4C7C">
        <w:rPr>
          <w:rFonts w:ascii="Times New Roman" w:hAnsi="Times New Roman"/>
        </w:rPr>
        <w:t xml:space="preserve"> to the waning time from clinic</w:t>
      </w:r>
      <w:r w:rsidR="001D0DF2">
        <w:rPr>
          <w:rFonts w:ascii="Times New Roman" w:hAnsi="Times New Roman"/>
        </w:rPr>
        <w:t xml:space="preserve"> </w:t>
      </w:r>
      <w:r w:rsidR="001D0DF2" w:rsidRPr="007E4C7C">
        <w:rPr>
          <w:rFonts w:ascii="Times New Roman" w:hAnsi="Times New Roman"/>
        </w:rPr>
        <w:t>(41±14 days</w:t>
      </w:r>
      <w:r w:rsidR="00905B4B">
        <w:rPr>
          <w:rFonts w:ascii="Times New Roman" w:hAnsi="Times New Roman"/>
        </w:rPr>
        <w:t>; median: 38.5 days</w:t>
      </w:r>
      <w:r w:rsidR="001D0DF2" w:rsidRPr="007E4C7C">
        <w:rPr>
          <w:rFonts w:ascii="Times New Roman" w:hAnsi="Times New Roman"/>
        </w:rPr>
        <w:t>)</w:t>
      </w:r>
      <w:r w:rsidRPr="007E4C7C">
        <w:rPr>
          <w:rFonts w:ascii="Times New Roman" w:hAnsi="Times New Roman"/>
        </w:rPr>
        <w:t>.</w:t>
      </w:r>
      <w:r w:rsidR="001F0EA5">
        <w:rPr>
          <w:rFonts w:ascii="Times New Roman" w:hAnsi="Times New Roman"/>
        </w:rPr>
        <w:t xml:space="preserve"> </w:t>
      </w:r>
    </w:p>
    <w:p w14:paraId="5C9CBC4F" w14:textId="77777777" w:rsidR="009D7C67" w:rsidRPr="007E4C7C" w:rsidRDefault="009D7C67" w:rsidP="009D7C67">
      <w:pPr>
        <w:tabs>
          <w:tab w:val="left" w:pos="3227"/>
        </w:tabs>
        <w:spacing w:line="480" w:lineRule="auto"/>
        <w:jc w:val="center"/>
        <w:rPr>
          <w:rFonts w:ascii="Times New Roman" w:hAnsi="Times New Roman"/>
          <w:lang w:val="en-CA"/>
        </w:rPr>
      </w:pPr>
    </w:p>
    <w:p w14:paraId="522BE4C8" w14:textId="41F9D89C" w:rsidR="00AB5FF4" w:rsidRPr="009D7C67" w:rsidRDefault="007E4102" w:rsidP="006F2109">
      <w:pPr>
        <w:tabs>
          <w:tab w:val="left" w:pos="3227"/>
        </w:tabs>
        <w:spacing w:line="480" w:lineRule="auto"/>
        <w:rPr>
          <w:rFonts w:ascii="Times New Roman" w:hAnsi="Times New Roman"/>
          <w:i/>
          <w:iCs/>
          <w:lang w:val="en-CA"/>
        </w:rPr>
      </w:pPr>
      <w:r w:rsidRPr="009D7C67">
        <w:rPr>
          <w:rFonts w:ascii="Times New Roman" w:hAnsi="Times New Roman"/>
          <w:i/>
          <w:iCs/>
          <w:lang w:val="en-CA"/>
        </w:rPr>
        <w:t>Efficacy endpoints</w:t>
      </w:r>
    </w:p>
    <w:p w14:paraId="3AA70104" w14:textId="58EDD578" w:rsidR="003D3578" w:rsidRDefault="003C3148" w:rsidP="006F2109">
      <w:pPr>
        <w:tabs>
          <w:tab w:val="left" w:pos="3227"/>
        </w:tabs>
        <w:spacing w:line="480" w:lineRule="auto"/>
        <w:rPr>
          <w:rFonts w:ascii="Times New Roman" w:hAnsi="Times New Roman"/>
          <w:lang w:val="en-CA"/>
        </w:rPr>
      </w:pPr>
      <w:r>
        <w:rPr>
          <w:rFonts w:ascii="Times New Roman" w:hAnsi="Times New Roman"/>
          <w:lang w:val="en-CA"/>
        </w:rPr>
        <w:t xml:space="preserve">Mean TWSTRS total score significantly reduced </w:t>
      </w:r>
      <w:r w:rsidR="00E02DB8">
        <w:rPr>
          <w:rFonts w:ascii="Times New Roman" w:hAnsi="Times New Roman"/>
          <w:lang w:val="en-CA"/>
        </w:rPr>
        <w:t>by a mean of 29% (</w:t>
      </w:r>
      <w:r w:rsidR="00E02DB8">
        <w:rPr>
          <w:rFonts w:ascii="Times New Roman" w:hAnsi="Times New Roman"/>
        </w:rPr>
        <w:t>28</w:t>
      </w:r>
      <w:r w:rsidR="00E02DB8" w:rsidRPr="007E4C7C">
        <w:rPr>
          <w:rFonts w:ascii="Times New Roman" w:hAnsi="Times New Roman"/>
        </w:rPr>
        <w:t>±1</w:t>
      </w:r>
      <w:r w:rsidR="00E02DB8">
        <w:rPr>
          <w:rFonts w:ascii="Times New Roman" w:hAnsi="Times New Roman"/>
        </w:rPr>
        <w:t>2</w:t>
      </w:r>
      <w:r w:rsidR="00E02DB8" w:rsidRPr="007E4C7C">
        <w:rPr>
          <w:rFonts w:ascii="Times New Roman" w:hAnsi="Times New Roman"/>
        </w:rPr>
        <w:t xml:space="preserve"> </w:t>
      </w:r>
      <w:r w:rsidR="00E02DB8">
        <w:rPr>
          <w:rFonts w:ascii="Times New Roman" w:hAnsi="Times New Roman"/>
        </w:rPr>
        <w:t>TWSTRS point</w:t>
      </w:r>
      <w:r w:rsidR="00E02DB8" w:rsidRPr="007E4C7C">
        <w:rPr>
          <w:rFonts w:ascii="Times New Roman" w:hAnsi="Times New Roman"/>
        </w:rPr>
        <w:t>s</w:t>
      </w:r>
      <w:r w:rsidR="00E02DB8">
        <w:rPr>
          <w:rFonts w:ascii="Times New Roman" w:hAnsi="Times New Roman"/>
        </w:rPr>
        <w:t>;</w:t>
      </w:r>
      <w:r w:rsidR="008B20C8">
        <w:rPr>
          <w:rFonts w:ascii="Times New Roman" w:hAnsi="Times New Roman"/>
        </w:rPr>
        <w:t xml:space="preserve"> median: </w:t>
      </w:r>
      <w:r w:rsidR="00990396">
        <w:rPr>
          <w:rFonts w:ascii="Times New Roman" w:hAnsi="Times New Roman"/>
        </w:rPr>
        <w:t>28 points;</w:t>
      </w:r>
      <w:r w:rsidR="00E02DB8">
        <w:rPr>
          <w:rFonts w:ascii="Times New Roman" w:hAnsi="Times New Roman"/>
        </w:rPr>
        <w:t xml:space="preserve"> </w:t>
      </w:r>
      <w:r w:rsidR="00E02DB8">
        <w:rPr>
          <w:rFonts w:ascii="Times New Roman" w:hAnsi="Times New Roman"/>
          <w:i/>
          <w:iCs/>
        </w:rPr>
        <w:t>p</w:t>
      </w:r>
      <w:r w:rsidR="00E02DB8">
        <w:rPr>
          <w:rFonts w:ascii="Times New Roman" w:hAnsi="Times New Roman"/>
        </w:rPr>
        <w:t xml:space="preserve"> &lt; 0.001, [95% CI 8.4, 19.9]</w:t>
      </w:r>
      <w:r w:rsidR="00E02DB8" w:rsidRPr="007E4C7C">
        <w:rPr>
          <w:rFonts w:ascii="Times New Roman" w:hAnsi="Times New Roman"/>
        </w:rPr>
        <w:t>)</w:t>
      </w:r>
      <w:r w:rsidR="00E02DB8">
        <w:rPr>
          <w:rFonts w:ascii="Times New Roman" w:hAnsi="Times New Roman"/>
        </w:rPr>
        <w:t xml:space="preserve"> </w:t>
      </w:r>
      <w:r w:rsidR="00E02DB8">
        <w:rPr>
          <w:rFonts w:ascii="Times New Roman" w:hAnsi="Times New Roman"/>
          <w:lang w:val="en-CA"/>
        </w:rPr>
        <w:t xml:space="preserve">12-weeks following all 3 </w:t>
      </w:r>
      <w:r w:rsidR="003079CB">
        <w:rPr>
          <w:rFonts w:ascii="Times New Roman" w:hAnsi="Times New Roman"/>
          <w:lang w:val="en-CA"/>
        </w:rPr>
        <w:t>abo-BoNT-A</w:t>
      </w:r>
      <w:r w:rsidR="00E02DB8">
        <w:rPr>
          <w:rFonts w:ascii="Times New Roman" w:hAnsi="Times New Roman"/>
          <w:lang w:val="en-CA"/>
        </w:rPr>
        <w:t xml:space="preserve"> treatments compared to 12-weeks following the </w:t>
      </w:r>
      <w:r w:rsidR="00E1226B">
        <w:rPr>
          <w:rFonts w:ascii="Times New Roman" w:hAnsi="Times New Roman"/>
          <w:lang w:val="en-CA"/>
        </w:rPr>
        <w:t xml:space="preserve">last </w:t>
      </w:r>
      <w:r w:rsidR="002A1B74">
        <w:rPr>
          <w:rFonts w:ascii="Times New Roman" w:hAnsi="Times New Roman"/>
          <w:lang w:val="en-CA"/>
        </w:rPr>
        <w:t xml:space="preserve">clinic </w:t>
      </w:r>
      <w:r w:rsidR="008A7E81">
        <w:rPr>
          <w:rFonts w:ascii="Times New Roman" w:hAnsi="Times New Roman"/>
          <w:lang w:val="en-CA"/>
        </w:rPr>
        <w:t>treatment</w:t>
      </w:r>
      <w:r w:rsidR="00E1226B">
        <w:rPr>
          <w:rFonts w:ascii="Times New Roman" w:hAnsi="Times New Roman"/>
          <w:lang w:val="en-CA"/>
        </w:rPr>
        <w:t xml:space="preserve"> </w:t>
      </w:r>
      <w:r w:rsidR="00E02DB8">
        <w:rPr>
          <w:rFonts w:ascii="Times New Roman" w:hAnsi="Times New Roman"/>
          <w:lang w:val="en-CA"/>
        </w:rPr>
        <w:t>(</w:t>
      </w:r>
      <w:r w:rsidR="00E02DB8">
        <w:rPr>
          <w:rFonts w:ascii="Times New Roman" w:hAnsi="Times New Roman"/>
        </w:rPr>
        <w:t>40</w:t>
      </w:r>
      <w:r w:rsidR="00E02DB8" w:rsidRPr="007E4C7C">
        <w:rPr>
          <w:rFonts w:ascii="Times New Roman" w:hAnsi="Times New Roman"/>
        </w:rPr>
        <w:t>±</w:t>
      </w:r>
      <w:r w:rsidR="00E02DB8">
        <w:rPr>
          <w:rFonts w:ascii="Times New Roman" w:hAnsi="Times New Roman"/>
        </w:rPr>
        <w:t>8</w:t>
      </w:r>
      <w:r w:rsidR="00E02DB8" w:rsidRPr="007E4C7C">
        <w:rPr>
          <w:rFonts w:ascii="Times New Roman" w:hAnsi="Times New Roman"/>
        </w:rPr>
        <w:t xml:space="preserve"> </w:t>
      </w:r>
      <w:r w:rsidR="00E02DB8">
        <w:rPr>
          <w:rFonts w:ascii="Times New Roman" w:hAnsi="Times New Roman"/>
        </w:rPr>
        <w:t>point</w:t>
      </w:r>
      <w:r w:rsidR="00E02DB8" w:rsidRPr="007E4C7C">
        <w:rPr>
          <w:rFonts w:ascii="Times New Roman" w:hAnsi="Times New Roman"/>
        </w:rPr>
        <w:t>s</w:t>
      </w:r>
      <w:r w:rsidR="00990396">
        <w:rPr>
          <w:rFonts w:ascii="Times New Roman" w:hAnsi="Times New Roman"/>
        </w:rPr>
        <w:t>; median: 40.8 points</w:t>
      </w:r>
      <w:r w:rsidR="00E02DB8">
        <w:rPr>
          <w:rFonts w:ascii="Times New Roman" w:hAnsi="Times New Roman"/>
        </w:rPr>
        <w:t>).</w:t>
      </w:r>
      <w:r w:rsidR="00E02DB8" w:rsidRPr="007E4C7C">
        <w:rPr>
          <w:rFonts w:ascii="Times New Roman" w:hAnsi="Times New Roman"/>
        </w:rPr>
        <w:t xml:space="preserve"> </w:t>
      </w:r>
      <w:r w:rsidR="00577876">
        <w:rPr>
          <w:rFonts w:ascii="Times New Roman" w:hAnsi="Times New Roman"/>
          <w:lang w:val="en-CA"/>
        </w:rPr>
        <w:t xml:space="preserve">Mean </w:t>
      </w:r>
      <w:r w:rsidR="00DC3B28" w:rsidRPr="009D7C67">
        <w:rPr>
          <w:rFonts w:ascii="Times New Roman" w:hAnsi="Times New Roman"/>
          <w:lang w:val="en-CA"/>
        </w:rPr>
        <w:t>TWSTRS</w:t>
      </w:r>
      <w:r w:rsidR="00577876">
        <w:rPr>
          <w:rFonts w:ascii="Times New Roman" w:hAnsi="Times New Roman"/>
          <w:lang w:val="en-CA"/>
        </w:rPr>
        <w:t xml:space="preserve"> sub-score</w:t>
      </w:r>
      <w:r w:rsidR="001B01BC">
        <w:rPr>
          <w:rFonts w:ascii="Times New Roman" w:hAnsi="Times New Roman"/>
          <w:lang w:val="en-CA"/>
        </w:rPr>
        <w:t>s</w:t>
      </w:r>
      <w:r w:rsidR="00577876">
        <w:rPr>
          <w:rFonts w:ascii="Times New Roman" w:hAnsi="Times New Roman"/>
          <w:lang w:val="en-CA"/>
        </w:rPr>
        <w:t xml:space="preserve"> for motor severity (part I)</w:t>
      </w:r>
      <w:r w:rsidR="001B01BC">
        <w:rPr>
          <w:rFonts w:ascii="Times New Roman" w:hAnsi="Times New Roman"/>
          <w:lang w:val="en-CA"/>
        </w:rPr>
        <w:t>, disability (part II), and pain (part III)</w:t>
      </w:r>
      <w:r w:rsidR="00577876">
        <w:rPr>
          <w:rFonts w:ascii="Times New Roman" w:hAnsi="Times New Roman"/>
          <w:lang w:val="en-CA"/>
        </w:rPr>
        <w:t xml:space="preserve"> w</w:t>
      </w:r>
      <w:r w:rsidR="001B01BC">
        <w:rPr>
          <w:rFonts w:ascii="Times New Roman" w:hAnsi="Times New Roman"/>
          <w:lang w:val="en-CA"/>
        </w:rPr>
        <w:t>ere</w:t>
      </w:r>
      <w:r w:rsidR="00577876">
        <w:rPr>
          <w:rFonts w:ascii="Times New Roman" w:hAnsi="Times New Roman"/>
          <w:lang w:val="en-CA"/>
        </w:rPr>
        <w:t xml:space="preserve"> significantly reduced </w:t>
      </w:r>
      <w:r w:rsidR="003D3578">
        <w:rPr>
          <w:rFonts w:ascii="Times New Roman" w:hAnsi="Times New Roman"/>
          <w:lang w:val="en-CA"/>
        </w:rPr>
        <w:t xml:space="preserve">by a mean of </w:t>
      </w:r>
      <w:r w:rsidR="00534914">
        <w:rPr>
          <w:rFonts w:ascii="Times New Roman" w:hAnsi="Times New Roman"/>
          <w:lang w:val="en-CA"/>
        </w:rPr>
        <w:t>27</w:t>
      </w:r>
      <w:r w:rsidR="003D3578">
        <w:rPr>
          <w:rFonts w:ascii="Times New Roman" w:hAnsi="Times New Roman"/>
          <w:lang w:val="en-CA"/>
        </w:rPr>
        <w:t>%</w:t>
      </w:r>
      <w:r w:rsidR="003B7F6F">
        <w:rPr>
          <w:rFonts w:ascii="Times New Roman" w:hAnsi="Times New Roman"/>
          <w:lang w:val="en-CA"/>
        </w:rPr>
        <w:t xml:space="preserve"> (11.9</w:t>
      </w:r>
      <w:r w:rsidR="003B7F6F" w:rsidRPr="007E4C7C">
        <w:rPr>
          <w:rFonts w:ascii="Times New Roman" w:hAnsi="Times New Roman"/>
        </w:rPr>
        <w:t>±</w:t>
      </w:r>
      <w:r w:rsidR="009E105C">
        <w:rPr>
          <w:rFonts w:ascii="Times New Roman" w:hAnsi="Times New Roman"/>
        </w:rPr>
        <w:t>4.7</w:t>
      </w:r>
      <w:r w:rsidR="003B7F6F">
        <w:rPr>
          <w:rFonts w:ascii="Times New Roman" w:hAnsi="Times New Roman"/>
          <w:lang w:val="en-CA"/>
        </w:rPr>
        <w:t xml:space="preserve"> TWSTRS points</w:t>
      </w:r>
      <w:r w:rsidR="009F285F">
        <w:rPr>
          <w:rFonts w:ascii="Times New Roman" w:hAnsi="Times New Roman"/>
          <w:lang w:val="en-CA"/>
        </w:rPr>
        <w:t>,</w:t>
      </w:r>
      <w:r w:rsidR="00E84B41">
        <w:rPr>
          <w:rFonts w:ascii="Times New Roman" w:hAnsi="Times New Roman"/>
          <w:lang w:val="en-CA"/>
        </w:rPr>
        <w:t xml:space="preserve"> median: 11.3 points;</w:t>
      </w:r>
      <w:r w:rsidR="009F285F">
        <w:rPr>
          <w:rFonts w:ascii="Times New Roman" w:hAnsi="Times New Roman"/>
          <w:lang w:val="en-CA"/>
        </w:rPr>
        <w:t xml:space="preserve"> </w:t>
      </w:r>
      <w:r w:rsidR="009F285F">
        <w:rPr>
          <w:rFonts w:ascii="Times New Roman" w:hAnsi="Times New Roman"/>
          <w:i/>
          <w:iCs/>
          <w:lang w:val="en-CA"/>
        </w:rPr>
        <w:t xml:space="preserve">p </w:t>
      </w:r>
      <w:r w:rsidR="009F285F">
        <w:rPr>
          <w:rFonts w:ascii="Times New Roman" w:hAnsi="Times New Roman"/>
          <w:lang w:val="en-CA"/>
        </w:rPr>
        <w:t>&lt; 0.0001, [95% CI 3.1, 7.7]</w:t>
      </w:r>
      <w:r w:rsidR="003B7F6F">
        <w:rPr>
          <w:rFonts w:ascii="Times New Roman" w:hAnsi="Times New Roman"/>
          <w:lang w:val="en-CA"/>
        </w:rPr>
        <w:t>)</w:t>
      </w:r>
      <w:r w:rsidR="001B01BC">
        <w:rPr>
          <w:rFonts w:ascii="Times New Roman" w:hAnsi="Times New Roman"/>
          <w:lang w:val="en-CA"/>
        </w:rPr>
        <w:t>,</w:t>
      </w:r>
      <w:r w:rsidR="003D3578">
        <w:rPr>
          <w:rFonts w:ascii="Times New Roman" w:hAnsi="Times New Roman"/>
          <w:lang w:val="en-CA"/>
        </w:rPr>
        <w:t xml:space="preserve"> </w:t>
      </w:r>
      <w:r w:rsidR="001B01BC">
        <w:rPr>
          <w:rFonts w:ascii="Times New Roman" w:hAnsi="Times New Roman"/>
          <w:lang w:val="en-CA"/>
        </w:rPr>
        <w:t>38% (7.1</w:t>
      </w:r>
      <w:r w:rsidR="001B01BC" w:rsidRPr="007E4C7C">
        <w:rPr>
          <w:rFonts w:ascii="Times New Roman" w:hAnsi="Times New Roman"/>
        </w:rPr>
        <w:t>±</w:t>
      </w:r>
      <w:r w:rsidR="001B01BC">
        <w:rPr>
          <w:rFonts w:ascii="Times New Roman" w:hAnsi="Times New Roman"/>
        </w:rPr>
        <w:t>4.6 points,</w:t>
      </w:r>
      <w:r w:rsidR="00E84B41">
        <w:rPr>
          <w:rFonts w:ascii="Times New Roman" w:hAnsi="Times New Roman"/>
        </w:rPr>
        <w:t xml:space="preserve"> median: 7.7 points;</w:t>
      </w:r>
      <w:r w:rsidR="001B01BC" w:rsidRPr="009F285F">
        <w:rPr>
          <w:rFonts w:ascii="Times New Roman" w:hAnsi="Times New Roman"/>
          <w:i/>
          <w:iCs/>
          <w:lang w:val="en-CA"/>
        </w:rPr>
        <w:t xml:space="preserve"> </w:t>
      </w:r>
      <w:r w:rsidR="001B01BC">
        <w:rPr>
          <w:rFonts w:ascii="Times New Roman" w:hAnsi="Times New Roman"/>
          <w:i/>
          <w:iCs/>
          <w:lang w:val="en-CA"/>
        </w:rPr>
        <w:t xml:space="preserve">p </w:t>
      </w:r>
      <w:r w:rsidR="001B01BC">
        <w:rPr>
          <w:rFonts w:ascii="Times New Roman" w:hAnsi="Times New Roman"/>
          <w:lang w:val="en-CA"/>
        </w:rPr>
        <w:t xml:space="preserve">&lt; 0.0001, [95% CI 2.5, 7.0]), and </w:t>
      </w:r>
      <w:r w:rsidR="00DE3782">
        <w:rPr>
          <w:rFonts w:ascii="Times New Roman" w:hAnsi="Times New Roman"/>
          <w:lang w:val="en-CA"/>
        </w:rPr>
        <w:t>25% (9.2</w:t>
      </w:r>
      <w:r w:rsidR="00DE3782" w:rsidRPr="007E4C7C">
        <w:rPr>
          <w:rFonts w:ascii="Times New Roman" w:hAnsi="Times New Roman"/>
        </w:rPr>
        <w:t>±</w:t>
      </w:r>
      <w:r w:rsidR="00DE3782">
        <w:rPr>
          <w:rFonts w:ascii="Times New Roman" w:hAnsi="Times New Roman"/>
        </w:rPr>
        <w:t xml:space="preserve">4.5 points, </w:t>
      </w:r>
      <w:r w:rsidR="00E84B41">
        <w:rPr>
          <w:rFonts w:ascii="Times New Roman" w:hAnsi="Times New Roman"/>
        </w:rPr>
        <w:t xml:space="preserve">median: 9.3 points; </w:t>
      </w:r>
      <w:r w:rsidR="00DE3782">
        <w:rPr>
          <w:rFonts w:ascii="Times New Roman" w:hAnsi="Times New Roman"/>
          <w:i/>
          <w:iCs/>
          <w:lang w:val="en-CA"/>
        </w:rPr>
        <w:t xml:space="preserve">p </w:t>
      </w:r>
      <w:r w:rsidR="00DE3782">
        <w:rPr>
          <w:rFonts w:ascii="Times New Roman" w:hAnsi="Times New Roman"/>
          <w:lang w:val="en-CA"/>
        </w:rPr>
        <w:t xml:space="preserve">= 0.001, [95% CI 1.4, 6.3]) </w:t>
      </w:r>
      <w:r w:rsidR="00534914">
        <w:rPr>
          <w:rFonts w:ascii="Times New Roman" w:hAnsi="Times New Roman"/>
          <w:lang w:val="en-CA"/>
        </w:rPr>
        <w:t xml:space="preserve">12-weeks </w:t>
      </w:r>
      <w:r w:rsidR="00577876">
        <w:rPr>
          <w:rFonts w:ascii="Times New Roman" w:hAnsi="Times New Roman"/>
          <w:lang w:val="en-CA"/>
        </w:rPr>
        <w:t>following the 1</w:t>
      </w:r>
      <w:r w:rsidR="00577876" w:rsidRPr="00577876">
        <w:rPr>
          <w:rFonts w:ascii="Times New Roman" w:hAnsi="Times New Roman"/>
          <w:vertAlign w:val="superscript"/>
          <w:lang w:val="en-CA"/>
        </w:rPr>
        <w:t>st</w:t>
      </w:r>
      <w:r w:rsidR="00577876">
        <w:rPr>
          <w:rFonts w:ascii="Times New Roman" w:hAnsi="Times New Roman"/>
          <w:lang w:val="en-CA"/>
        </w:rPr>
        <w:t>, 2</w:t>
      </w:r>
      <w:r w:rsidR="00577876" w:rsidRPr="00577876">
        <w:rPr>
          <w:rFonts w:ascii="Times New Roman" w:hAnsi="Times New Roman"/>
          <w:vertAlign w:val="superscript"/>
          <w:lang w:val="en-CA"/>
        </w:rPr>
        <w:t>nd</w:t>
      </w:r>
      <w:r w:rsidR="00577876">
        <w:rPr>
          <w:rFonts w:ascii="Times New Roman" w:hAnsi="Times New Roman"/>
          <w:lang w:val="en-CA"/>
        </w:rPr>
        <w:t xml:space="preserve"> and 3</w:t>
      </w:r>
      <w:r w:rsidR="00577876" w:rsidRPr="00577876">
        <w:rPr>
          <w:rFonts w:ascii="Times New Roman" w:hAnsi="Times New Roman"/>
          <w:vertAlign w:val="superscript"/>
          <w:lang w:val="en-CA"/>
        </w:rPr>
        <w:t>rd</w:t>
      </w:r>
      <w:r w:rsidR="00577876">
        <w:rPr>
          <w:rFonts w:ascii="Times New Roman" w:hAnsi="Times New Roman"/>
          <w:lang w:val="en-CA"/>
        </w:rPr>
        <w:t xml:space="preserve"> </w:t>
      </w:r>
      <w:r w:rsidR="003079CB">
        <w:rPr>
          <w:rFonts w:ascii="Times New Roman" w:hAnsi="Times New Roman"/>
          <w:lang w:val="en-CA"/>
        </w:rPr>
        <w:t>abo-BoNT-A</w:t>
      </w:r>
      <w:r w:rsidR="00577876">
        <w:rPr>
          <w:rFonts w:ascii="Times New Roman" w:hAnsi="Times New Roman"/>
          <w:lang w:val="en-CA"/>
        </w:rPr>
        <w:t xml:space="preserve"> treatments compared to </w:t>
      </w:r>
      <w:r w:rsidR="004E3713">
        <w:rPr>
          <w:rFonts w:ascii="Times New Roman" w:hAnsi="Times New Roman"/>
          <w:lang w:val="en-CA"/>
        </w:rPr>
        <w:t xml:space="preserve">12-weeks </w:t>
      </w:r>
      <w:r w:rsidR="00577876">
        <w:rPr>
          <w:rFonts w:ascii="Times New Roman" w:hAnsi="Times New Roman"/>
          <w:lang w:val="en-CA"/>
        </w:rPr>
        <w:t xml:space="preserve">following the last clinic </w:t>
      </w:r>
      <w:r w:rsidR="008A7E81">
        <w:rPr>
          <w:rFonts w:ascii="Times New Roman" w:hAnsi="Times New Roman"/>
          <w:lang w:val="en-CA"/>
        </w:rPr>
        <w:t>treatment</w:t>
      </w:r>
      <w:r w:rsidR="003B7F6F">
        <w:rPr>
          <w:rFonts w:ascii="Times New Roman" w:hAnsi="Times New Roman"/>
          <w:lang w:val="en-CA"/>
        </w:rPr>
        <w:t xml:space="preserve"> (</w:t>
      </w:r>
      <w:r w:rsidR="00DE3782">
        <w:rPr>
          <w:rFonts w:ascii="Times New Roman" w:hAnsi="Times New Roman"/>
          <w:lang w:val="en-CA"/>
        </w:rPr>
        <w:t xml:space="preserve">I: </w:t>
      </w:r>
      <w:r w:rsidR="00E273A7">
        <w:rPr>
          <w:rFonts w:ascii="Times New Roman" w:hAnsi="Times New Roman"/>
          <w:lang w:val="en-CA"/>
        </w:rPr>
        <w:t>16.2</w:t>
      </w:r>
      <w:r w:rsidR="00E273A7" w:rsidRPr="007E4C7C">
        <w:rPr>
          <w:rFonts w:ascii="Times New Roman" w:hAnsi="Times New Roman"/>
        </w:rPr>
        <w:t>±</w:t>
      </w:r>
      <w:r w:rsidR="00E273A7">
        <w:rPr>
          <w:rFonts w:ascii="Times New Roman" w:hAnsi="Times New Roman"/>
        </w:rPr>
        <w:t>4.4</w:t>
      </w:r>
      <w:r w:rsidR="00E273A7">
        <w:rPr>
          <w:rFonts w:ascii="Times New Roman" w:hAnsi="Times New Roman"/>
          <w:lang w:val="en-CA"/>
        </w:rPr>
        <w:t xml:space="preserve"> </w:t>
      </w:r>
      <w:r w:rsidR="003B7F6F">
        <w:rPr>
          <w:rFonts w:ascii="Times New Roman" w:hAnsi="Times New Roman"/>
          <w:lang w:val="en-CA"/>
        </w:rPr>
        <w:t>TWSTRS points</w:t>
      </w:r>
      <w:r w:rsidR="00CF1ABC">
        <w:rPr>
          <w:rFonts w:ascii="Times New Roman" w:hAnsi="Times New Roman"/>
          <w:lang w:val="en-CA"/>
        </w:rPr>
        <w:t>; median: 15.0 points,</w:t>
      </w:r>
      <w:r w:rsidR="00DE3782">
        <w:rPr>
          <w:rFonts w:ascii="Times New Roman" w:hAnsi="Times New Roman"/>
          <w:lang w:val="en-CA"/>
        </w:rPr>
        <w:t xml:space="preserve"> II:</w:t>
      </w:r>
      <w:r w:rsidR="00DE3782" w:rsidRPr="00DE3782">
        <w:rPr>
          <w:rFonts w:ascii="Times New Roman" w:hAnsi="Times New Roman"/>
          <w:lang w:val="en-CA"/>
        </w:rPr>
        <w:t xml:space="preserve"> </w:t>
      </w:r>
      <w:r w:rsidR="00DE3782">
        <w:rPr>
          <w:rFonts w:ascii="Times New Roman" w:hAnsi="Times New Roman"/>
          <w:lang w:val="en-CA"/>
        </w:rPr>
        <w:t>11.5</w:t>
      </w:r>
      <w:r w:rsidR="00DE3782" w:rsidRPr="007E4C7C">
        <w:rPr>
          <w:rFonts w:ascii="Times New Roman" w:hAnsi="Times New Roman"/>
        </w:rPr>
        <w:t>±</w:t>
      </w:r>
      <w:r w:rsidR="00DE3782">
        <w:rPr>
          <w:rFonts w:ascii="Times New Roman" w:hAnsi="Times New Roman"/>
        </w:rPr>
        <w:t>4.0 points</w:t>
      </w:r>
      <w:r w:rsidR="00CF1ABC">
        <w:rPr>
          <w:rFonts w:ascii="Times New Roman" w:hAnsi="Times New Roman"/>
        </w:rPr>
        <w:t>; median: 11.0 points</w:t>
      </w:r>
      <w:r w:rsidR="00DE3782">
        <w:rPr>
          <w:rFonts w:ascii="Times New Roman" w:hAnsi="Times New Roman"/>
        </w:rPr>
        <w:t>, III:</w:t>
      </w:r>
      <w:r w:rsidR="00DE3782" w:rsidRPr="00DE3782">
        <w:rPr>
          <w:rFonts w:ascii="Times New Roman" w:hAnsi="Times New Roman"/>
          <w:lang w:val="en-CA"/>
        </w:rPr>
        <w:t xml:space="preserve"> </w:t>
      </w:r>
      <w:r w:rsidR="00DE3782">
        <w:rPr>
          <w:rFonts w:ascii="Times New Roman" w:hAnsi="Times New Roman"/>
          <w:lang w:val="en-CA"/>
        </w:rPr>
        <w:t>12.3</w:t>
      </w:r>
      <w:r w:rsidR="00DE3782" w:rsidRPr="007E4C7C">
        <w:rPr>
          <w:rFonts w:ascii="Times New Roman" w:hAnsi="Times New Roman"/>
        </w:rPr>
        <w:t>±</w:t>
      </w:r>
      <w:r w:rsidR="00DE3782">
        <w:rPr>
          <w:rFonts w:ascii="Times New Roman" w:hAnsi="Times New Roman"/>
        </w:rPr>
        <w:t>3.6 points</w:t>
      </w:r>
      <w:r w:rsidR="00CF1ABC">
        <w:rPr>
          <w:rFonts w:ascii="Times New Roman" w:hAnsi="Times New Roman"/>
        </w:rPr>
        <w:t>; median: 12.5 points</w:t>
      </w:r>
      <w:r w:rsidR="003B7F6F">
        <w:rPr>
          <w:rFonts w:ascii="Times New Roman" w:hAnsi="Times New Roman"/>
          <w:lang w:val="en-CA"/>
        </w:rPr>
        <w:t>)</w:t>
      </w:r>
      <w:r w:rsidR="00DE3782">
        <w:rPr>
          <w:rFonts w:ascii="Times New Roman" w:hAnsi="Times New Roman"/>
          <w:lang w:val="en-CA"/>
        </w:rPr>
        <w:t>, respectively</w:t>
      </w:r>
      <w:r w:rsidR="006F5363">
        <w:rPr>
          <w:rFonts w:ascii="Times New Roman" w:hAnsi="Times New Roman"/>
          <w:lang w:val="en-CA"/>
        </w:rPr>
        <w:t xml:space="preserve"> (Figure 2a)</w:t>
      </w:r>
      <w:r w:rsidR="00577876">
        <w:rPr>
          <w:rFonts w:ascii="Times New Roman" w:hAnsi="Times New Roman"/>
          <w:lang w:val="en-CA"/>
        </w:rPr>
        <w:t xml:space="preserve">. </w:t>
      </w:r>
      <w:r w:rsidR="00B631AD">
        <w:rPr>
          <w:rFonts w:ascii="Times New Roman" w:hAnsi="Times New Roman"/>
          <w:lang w:val="en-CA"/>
        </w:rPr>
        <w:t>Mean TWSTRS part I, II and III sub-scores were significantly reduced by a mean of 42% (6.1</w:t>
      </w:r>
      <w:r w:rsidR="00B631AD" w:rsidRPr="007E4C7C">
        <w:rPr>
          <w:rFonts w:ascii="Times New Roman" w:hAnsi="Times New Roman"/>
        </w:rPr>
        <w:t>±</w:t>
      </w:r>
      <w:r w:rsidR="00B631AD">
        <w:rPr>
          <w:rFonts w:ascii="Times New Roman" w:hAnsi="Times New Roman"/>
        </w:rPr>
        <w:t>4.8 points,</w:t>
      </w:r>
      <w:r w:rsidR="00663199">
        <w:rPr>
          <w:rFonts w:ascii="Times New Roman" w:hAnsi="Times New Roman"/>
        </w:rPr>
        <w:t xml:space="preserve"> median: 5.6 points;</w:t>
      </w:r>
      <w:r w:rsidR="00B631AD" w:rsidRPr="009F285F">
        <w:rPr>
          <w:rFonts w:ascii="Times New Roman" w:hAnsi="Times New Roman"/>
          <w:i/>
          <w:iCs/>
          <w:lang w:val="en-CA"/>
        </w:rPr>
        <w:t xml:space="preserve"> </w:t>
      </w:r>
      <w:r w:rsidR="00B631AD">
        <w:rPr>
          <w:rFonts w:ascii="Times New Roman" w:hAnsi="Times New Roman"/>
          <w:i/>
          <w:iCs/>
          <w:lang w:val="en-CA"/>
        </w:rPr>
        <w:t>p=</w:t>
      </w:r>
      <w:r w:rsidR="00B631AD">
        <w:rPr>
          <w:rFonts w:ascii="Times New Roman" w:hAnsi="Times New Roman"/>
          <w:lang w:val="en-CA"/>
        </w:rPr>
        <w:t xml:space="preserve"> 0.005, [95% CI </w:t>
      </w:r>
      <w:r w:rsidR="005A1877">
        <w:rPr>
          <w:rFonts w:ascii="Times New Roman" w:hAnsi="Times New Roman"/>
          <w:lang w:val="en-CA"/>
        </w:rPr>
        <w:t>0.99</w:t>
      </w:r>
      <w:r w:rsidR="00B631AD">
        <w:rPr>
          <w:rFonts w:ascii="Times New Roman" w:hAnsi="Times New Roman"/>
          <w:lang w:val="en-CA"/>
        </w:rPr>
        <w:t xml:space="preserve">, </w:t>
      </w:r>
      <w:r w:rsidR="005A1877">
        <w:rPr>
          <w:rFonts w:ascii="Times New Roman" w:hAnsi="Times New Roman"/>
          <w:lang w:val="en-CA"/>
        </w:rPr>
        <w:t>6.4</w:t>
      </w:r>
      <w:r w:rsidR="00B631AD">
        <w:rPr>
          <w:rFonts w:ascii="Times New Roman" w:hAnsi="Times New Roman"/>
          <w:lang w:val="en-CA"/>
        </w:rPr>
        <w:t>])</w:t>
      </w:r>
      <w:r w:rsidR="00B631AD">
        <w:rPr>
          <w:rFonts w:ascii="Times New Roman" w:hAnsi="Times New Roman"/>
        </w:rPr>
        <w:t xml:space="preserve"> </w:t>
      </w:r>
      <w:r w:rsidR="00B631AD">
        <w:rPr>
          <w:rFonts w:ascii="Times New Roman" w:hAnsi="Times New Roman"/>
          <w:lang w:val="en-CA"/>
        </w:rPr>
        <w:t xml:space="preserve">at the peak effect of </w:t>
      </w:r>
      <w:r w:rsidR="003079CB">
        <w:rPr>
          <w:rFonts w:ascii="Times New Roman" w:hAnsi="Times New Roman"/>
          <w:lang w:val="en-CA"/>
        </w:rPr>
        <w:t>abo-BoNT-A</w:t>
      </w:r>
      <w:r w:rsidR="005A1877">
        <w:rPr>
          <w:rFonts w:ascii="Times New Roman" w:hAnsi="Times New Roman"/>
          <w:lang w:val="en-CA"/>
        </w:rPr>
        <w:t xml:space="preserve"> compared to the peak effect following the last clinic </w:t>
      </w:r>
      <w:r w:rsidR="008A7E81">
        <w:rPr>
          <w:rFonts w:ascii="Times New Roman" w:hAnsi="Times New Roman"/>
          <w:lang w:val="en-CA"/>
        </w:rPr>
        <w:t>treatment</w:t>
      </w:r>
      <w:r w:rsidR="005A1877">
        <w:rPr>
          <w:rFonts w:ascii="Times New Roman" w:hAnsi="Times New Roman"/>
          <w:lang w:val="en-CA"/>
        </w:rPr>
        <w:t xml:space="preserve"> (10.5</w:t>
      </w:r>
      <w:r w:rsidR="005A1877" w:rsidRPr="007E4C7C">
        <w:rPr>
          <w:rFonts w:ascii="Times New Roman" w:hAnsi="Times New Roman"/>
        </w:rPr>
        <w:t>±</w:t>
      </w:r>
      <w:r w:rsidR="005A1877">
        <w:rPr>
          <w:rFonts w:ascii="Times New Roman" w:hAnsi="Times New Roman"/>
        </w:rPr>
        <w:t>3.7 points</w:t>
      </w:r>
      <w:r w:rsidR="001B5FCE">
        <w:rPr>
          <w:rFonts w:ascii="Times New Roman" w:hAnsi="Times New Roman"/>
        </w:rPr>
        <w:t>, median: 10.9 points</w:t>
      </w:r>
      <w:r w:rsidR="005A1877">
        <w:rPr>
          <w:rFonts w:ascii="Times New Roman" w:hAnsi="Times New Roman"/>
        </w:rPr>
        <w:t>)</w:t>
      </w:r>
      <w:r w:rsidR="006F5363">
        <w:rPr>
          <w:rFonts w:ascii="Times New Roman" w:hAnsi="Times New Roman"/>
        </w:rPr>
        <w:t xml:space="preserve"> (Figure 2b)</w:t>
      </w:r>
      <w:r w:rsidR="005A1877">
        <w:rPr>
          <w:rFonts w:ascii="Times New Roman" w:hAnsi="Times New Roman"/>
        </w:rPr>
        <w:t>.</w:t>
      </w:r>
      <w:r w:rsidR="000C75E6">
        <w:rPr>
          <w:rFonts w:ascii="Times New Roman" w:hAnsi="Times New Roman"/>
        </w:rPr>
        <w:t xml:space="preserve"> </w:t>
      </w:r>
      <w:r w:rsidR="0008660C">
        <w:rPr>
          <w:rFonts w:ascii="Times New Roman" w:hAnsi="Times New Roman"/>
        </w:rPr>
        <w:t xml:space="preserve">Mean TWSTRS part I and II sub-scores were significantly reduced by a mean of 35% </w:t>
      </w:r>
      <w:r w:rsidR="0008660C">
        <w:rPr>
          <w:rFonts w:ascii="Times New Roman" w:hAnsi="Times New Roman"/>
          <w:lang w:val="en-CA"/>
        </w:rPr>
        <w:t>(5.9</w:t>
      </w:r>
      <w:r w:rsidR="0008660C" w:rsidRPr="007E4C7C">
        <w:rPr>
          <w:rFonts w:ascii="Times New Roman" w:hAnsi="Times New Roman"/>
        </w:rPr>
        <w:t>±</w:t>
      </w:r>
      <w:r w:rsidR="0008660C">
        <w:rPr>
          <w:rFonts w:ascii="Times New Roman" w:hAnsi="Times New Roman"/>
        </w:rPr>
        <w:t>4.6 points</w:t>
      </w:r>
      <w:r w:rsidR="00001CC2">
        <w:rPr>
          <w:rFonts w:ascii="Times New Roman" w:hAnsi="Times New Roman"/>
        </w:rPr>
        <w:t>; median: 6.0 points,</w:t>
      </w:r>
      <w:r w:rsidR="0008660C" w:rsidRPr="009F285F">
        <w:rPr>
          <w:rFonts w:ascii="Times New Roman" w:hAnsi="Times New Roman"/>
          <w:i/>
          <w:iCs/>
          <w:lang w:val="en-CA"/>
        </w:rPr>
        <w:t xml:space="preserve"> </w:t>
      </w:r>
      <w:r w:rsidR="0008660C">
        <w:rPr>
          <w:rFonts w:ascii="Times New Roman" w:hAnsi="Times New Roman"/>
          <w:i/>
          <w:iCs/>
          <w:lang w:val="en-CA"/>
        </w:rPr>
        <w:t>p=</w:t>
      </w:r>
      <w:r w:rsidR="0008660C">
        <w:rPr>
          <w:rFonts w:ascii="Times New Roman" w:hAnsi="Times New Roman"/>
          <w:lang w:val="en-CA"/>
        </w:rPr>
        <w:t xml:space="preserve"> 0.04, [95% CI 0.1, 5.8])</w:t>
      </w:r>
      <w:r w:rsidR="0008660C">
        <w:rPr>
          <w:rFonts w:ascii="Times New Roman" w:hAnsi="Times New Roman"/>
        </w:rPr>
        <w:t xml:space="preserve"> at peak </w:t>
      </w:r>
      <w:r w:rsidR="003079CB">
        <w:rPr>
          <w:rFonts w:ascii="Times New Roman" w:hAnsi="Times New Roman"/>
        </w:rPr>
        <w:t>abo-BoNT-A</w:t>
      </w:r>
      <w:r w:rsidR="0008660C">
        <w:rPr>
          <w:rFonts w:ascii="Times New Roman" w:hAnsi="Times New Roman"/>
        </w:rPr>
        <w:t xml:space="preserve"> compared to the </w:t>
      </w:r>
      <w:r w:rsidR="00CA3F43">
        <w:rPr>
          <w:rFonts w:ascii="Times New Roman" w:hAnsi="Times New Roman"/>
        </w:rPr>
        <w:t xml:space="preserve">optimized, </w:t>
      </w:r>
      <w:r w:rsidR="0008660C">
        <w:rPr>
          <w:rFonts w:ascii="Times New Roman" w:hAnsi="Times New Roman"/>
        </w:rPr>
        <w:t xml:space="preserve">original BoNT-A </w:t>
      </w:r>
      <w:r w:rsidR="002B541B">
        <w:rPr>
          <w:rFonts w:ascii="Times New Roman" w:hAnsi="Times New Roman"/>
        </w:rPr>
        <w:t>4</w:t>
      </w:r>
      <w:r w:rsidR="002B541B" w:rsidRPr="002B541B">
        <w:rPr>
          <w:rFonts w:ascii="Times New Roman" w:hAnsi="Times New Roman"/>
          <w:vertAlign w:val="superscript"/>
        </w:rPr>
        <w:t>th</w:t>
      </w:r>
      <w:r w:rsidR="002B541B">
        <w:rPr>
          <w:rFonts w:ascii="Times New Roman" w:hAnsi="Times New Roman"/>
        </w:rPr>
        <w:t xml:space="preserve"> </w:t>
      </w:r>
      <w:r w:rsidR="00CA3F43">
        <w:rPr>
          <w:rFonts w:ascii="Times New Roman" w:hAnsi="Times New Roman"/>
        </w:rPr>
        <w:t xml:space="preserve">treatment </w:t>
      </w:r>
      <w:r w:rsidR="0008660C">
        <w:rPr>
          <w:rFonts w:ascii="Times New Roman" w:hAnsi="Times New Roman"/>
        </w:rPr>
        <w:t>(</w:t>
      </w:r>
      <w:r w:rsidR="00506F30">
        <w:rPr>
          <w:rFonts w:ascii="Times New Roman" w:hAnsi="Times New Roman"/>
        </w:rPr>
        <w:t>9.0</w:t>
      </w:r>
      <w:r w:rsidR="0008660C" w:rsidRPr="007E4C7C">
        <w:rPr>
          <w:rFonts w:ascii="Times New Roman" w:hAnsi="Times New Roman"/>
        </w:rPr>
        <w:t>±</w:t>
      </w:r>
      <w:r w:rsidR="0008660C">
        <w:rPr>
          <w:rFonts w:ascii="Times New Roman" w:hAnsi="Times New Roman"/>
        </w:rPr>
        <w:t>4.</w:t>
      </w:r>
      <w:r w:rsidR="00506F30">
        <w:rPr>
          <w:rFonts w:ascii="Times New Roman" w:hAnsi="Times New Roman"/>
        </w:rPr>
        <w:t>8</w:t>
      </w:r>
      <w:r w:rsidR="0008660C">
        <w:rPr>
          <w:rFonts w:ascii="Times New Roman" w:hAnsi="Times New Roman"/>
        </w:rPr>
        <w:t xml:space="preserve"> points</w:t>
      </w:r>
      <w:r w:rsidR="00001CC2">
        <w:rPr>
          <w:rFonts w:ascii="Times New Roman" w:hAnsi="Times New Roman"/>
        </w:rPr>
        <w:t>; median: 9.5 points</w:t>
      </w:r>
      <w:r w:rsidR="0008660C">
        <w:rPr>
          <w:rFonts w:ascii="Times New Roman" w:hAnsi="Times New Roman"/>
        </w:rPr>
        <w:t>).</w:t>
      </w:r>
      <w:r w:rsidR="00BD33E7">
        <w:rPr>
          <w:rFonts w:ascii="Times New Roman" w:hAnsi="Times New Roman"/>
        </w:rPr>
        <w:t xml:space="preserve"> </w:t>
      </w:r>
      <w:r w:rsidR="006F1CB3">
        <w:rPr>
          <w:rFonts w:ascii="Times New Roman" w:hAnsi="Times New Roman"/>
        </w:rPr>
        <w:t>Mean TWSTRS part I was significantly reduced by a mean of 20% (10.4</w:t>
      </w:r>
      <w:r w:rsidR="006F1CB3" w:rsidRPr="007E4C7C">
        <w:rPr>
          <w:rFonts w:ascii="Times New Roman" w:hAnsi="Times New Roman"/>
        </w:rPr>
        <w:t>±</w:t>
      </w:r>
      <w:r w:rsidR="006F1CB3">
        <w:rPr>
          <w:rFonts w:ascii="Times New Roman" w:hAnsi="Times New Roman"/>
        </w:rPr>
        <w:t>4.9 points</w:t>
      </w:r>
      <w:r w:rsidR="00C324F8">
        <w:rPr>
          <w:rFonts w:ascii="Times New Roman" w:hAnsi="Times New Roman"/>
        </w:rPr>
        <w:t xml:space="preserve">; median: 11.0 points, </w:t>
      </w:r>
      <w:r w:rsidR="006F1CB3">
        <w:rPr>
          <w:rFonts w:ascii="Times New Roman" w:hAnsi="Times New Roman"/>
          <w:i/>
          <w:iCs/>
          <w:lang w:val="en-CA"/>
        </w:rPr>
        <w:t>p=</w:t>
      </w:r>
      <w:r w:rsidR="006F1CB3">
        <w:rPr>
          <w:rFonts w:ascii="Times New Roman" w:hAnsi="Times New Roman"/>
          <w:lang w:val="en-CA"/>
        </w:rPr>
        <w:t xml:space="preserve"> 0.0</w:t>
      </w:r>
      <w:r w:rsidR="00CA3F43">
        <w:rPr>
          <w:rFonts w:ascii="Times New Roman" w:hAnsi="Times New Roman"/>
          <w:lang w:val="en-CA"/>
        </w:rPr>
        <w:t>19</w:t>
      </w:r>
      <w:r w:rsidR="006F1CB3">
        <w:rPr>
          <w:rFonts w:ascii="Times New Roman" w:hAnsi="Times New Roman"/>
          <w:lang w:val="en-CA"/>
        </w:rPr>
        <w:t>, [95% CI 0.</w:t>
      </w:r>
      <w:r w:rsidR="00CA3F43">
        <w:rPr>
          <w:rFonts w:ascii="Times New Roman" w:hAnsi="Times New Roman"/>
          <w:lang w:val="en-CA"/>
        </w:rPr>
        <w:t>4</w:t>
      </w:r>
      <w:r w:rsidR="006F1CB3">
        <w:rPr>
          <w:rFonts w:ascii="Times New Roman" w:hAnsi="Times New Roman"/>
          <w:lang w:val="en-CA"/>
        </w:rPr>
        <w:t>, 5.</w:t>
      </w:r>
      <w:r w:rsidR="00CA3F43">
        <w:rPr>
          <w:rFonts w:ascii="Times New Roman" w:hAnsi="Times New Roman"/>
          <w:lang w:val="en-CA"/>
        </w:rPr>
        <w:t>1</w:t>
      </w:r>
      <w:r w:rsidR="006F1CB3">
        <w:rPr>
          <w:rFonts w:ascii="Times New Roman" w:hAnsi="Times New Roman"/>
          <w:lang w:val="en-CA"/>
        </w:rPr>
        <w:t>])</w:t>
      </w:r>
      <w:r w:rsidR="00CA3F43">
        <w:rPr>
          <w:rFonts w:ascii="Times New Roman" w:hAnsi="Times New Roman"/>
          <w:lang w:val="en-CA"/>
        </w:rPr>
        <w:t xml:space="preserve"> at peak effect following the optimized original </w:t>
      </w:r>
      <w:r w:rsidR="00CA3F43">
        <w:rPr>
          <w:rFonts w:ascii="Times New Roman" w:hAnsi="Times New Roman"/>
          <w:lang w:val="en-CA"/>
        </w:rPr>
        <w:lastRenderedPageBreak/>
        <w:t>BoNT-A compared to following the peak effect of the last clinic injection (</w:t>
      </w:r>
      <w:r w:rsidR="00CA3F43">
        <w:rPr>
          <w:rFonts w:ascii="Times New Roman" w:hAnsi="Times New Roman"/>
        </w:rPr>
        <w:t>13.0</w:t>
      </w:r>
      <w:r w:rsidR="00CA3F43" w:rsidRPr="007E4C7C">
        <w:rPr>
          <w:rFonts w:ascii="Times New Roman" w:hAnsi="Times New Roman"/>
        </w:rPr>
        <w:t>±</w:t>
      </w:r>
      <w:r w:rsidR="00CA3F43">
        <w:rPr>
          <w:rFonts w:ascii="Times New Roman" w:hAnsi="Times New Roman"/>
        </w:rPr>
        <w:t>4.0 points</w:t>
      </w:r>
      <w:r w:rsidR="00C324F8">
        <w:rPr>
          <w:rFonts w:ascii="Times New Roman" w:hAnsi="Times New Roman"/>
        </w:rPr>
        <w:t>; median: 14.0 points</w:t>
      </w:r>
      <w:r w:rsidR="00CA3F43">
        <w:rPr>
          <w:rFonts w:ascii="Times New Roman" w:hAnsi="Times New Roman"/>
        </w:rPr>
        <w:t xml:space="preserve">). </w:t>
      </w:r>
    </w:p>
    <w:p w14:paraId="07B4A5C2" w14:textId="2B7FC4BE" w:rsidR="00DE3782" w:rsidRDefault="00DE3782" w:rsidP="006F2109">
      <w:pPr>
        <w:tabs>
          <w:tab w:val="left" w:pos="3227"/>
        </w:tabs>
        <w:spacing w:line="480" w:lineRule="auto"/>
        <w:rPr>
          <w:rFonts w:ascii="Times New Roman" w:hAnsi="Times New Roman"/>
          <w:lang w:val="en-CA"/>
        </w:rPr>
      </w:pPr>
    </w:p>
    <w:p w14:paraId="588FC972" w14:textId="30C04885" w:rsidR="00DC3B28" w:rsidRDefault="00A4791C" w:rsidP="006F2109">
      <w:pPr>
        <w:tabs>
          <w:tab w:val="left" w:pos="3227"/>
        </w:tabs>
        <w:spacing w:line="480" w:lineRule="auto"/>
        <w:rPr>
          <w:rFonts w:ascii="Times New Roman" w:hAnsi="Times New Roman"/>
        </w:rPr>
      </w:pPr>
      <w:r>
        <w:rPr>
          <w:rFonts w:ascii="Times New Roman" w:hAnsi="Times New Roman"/>
        </w:rPr>
        <w:t xml:space="preserve">Figure 1 </w:t>
      </w:r>
      <w:r w:rsidR="00BA242E">
        <w:rPr>
          <w:rFonts w:ascii="Times New Roman" w:hAnsi="Times New Roman"/>
          <w:lang w:val="en-CA"/>
        </w:rPr>
        <w:t xml:space="preserve">Seventeen out of the 27 participants had tremulous/dystonic movements in at least 1 </w:t>
      </w:r>
      <w:r w:rsidR="0017001A">
        <w:rPr>
          <w:rFonts w:ascii="Times New Roman" w:hAnsi="Times New Roman"/>
          <w:lang w:val="en-CA"/>
        </w:rPr>
        <w:t>DOF</w:t>
      </w:r>
      <w:r w:rsidR="00BA242E">
        <w:rPr>
          <w:rFonts w:ascii="Times New Roman" w:hAnsi="Times New Roman"/>
          <w:lang w:val="en-CA"/>
        </w:rPr>
        <w:t xml:space="preserve">. </w:t>
      </w:r>
      <w:r w:rsidR="006F1CB3">
        <w:rPr>
          <w:rFonts w:ascii="Times New Roman" w:hAnsi="Times New Roman"/>
          <w:lang w:val="en-CA"/>
        </w:rPr>
        <w:t>Mean</w:t>
      </w:r>
      <w:r w:rsidR="0002145C">
        <w:rPr>
          <w:rFonts w:ascii="Times New Roman" w:hAnsi="Times New Roman"/>
          <w:lang w:val="en-CA"/>
        </w:rPr>
        <w:t xml:space="preserve"> rotational</w:t>
      </w:r>
      <w:r w:rsidR="006F1CB3">
        <w:rPr>
          <w:rFonts w:ascii="Times New Roman" w:hAnsi="Times New Roman"/>
          <w:lang w:val="en-CA"/>
        </w:rPr>
        <w:t xml:space="preserve"> tremulous severity </w:t>
      </w:r>
      <w:r w:rsidR="006F5363" w:rsidRPr="006F5363">
        <w:rPr>
          <w:rFonts w:ascii="Times New Roman" w:hAnsi="Times New Roman"/>
        </w:rPr>
        <w:t>w</w:t>
      </w:r>
      <w:r w:rsidR="00381A59">
        <w:rPr>
          <w:rFonts w:ascii="Times New Roman" w:hAnsi="Times New Roman"/>
        </w:rPr>
        <w:t>as</w:t>
      </w:r>
      <w:r w:rsidR="006F5363" w:rsidRPr="006F5363">
        <w:rPr>
          <w:rFonts w:ascii="Times New Roman" w:hAnsi="Times New Roman"/>
        </w:rPr>
        <w:t xml:space="preserve"> significantly reduced </w:t>
      </w:r>
      <w:r w:rsidR="00F21C38">
        <w:rPr>
          <w:rFonts w:ascii="Times New Roman" w:hAnsi="Times New Roman"/>
        </w:rPr>
        <w:t>by a mean of 4</w:t>
      </w:r>
      <w:r w:rsidR="00381A59">
        <w:rPr>
          <w:rFonts w:ascii="Times New Roman" w:hAnsi="Times New Roman"/>
        </w:rPr>
        <w:t>3</w:t>
      </w:r>
      <w:r w:rsidR="00F21C38">
        <w:rPr>
          <w:rFonts w:ascii="Times New Roman" w:hAnsi="Times New Roman"/>
        </w:rPr>
        <w:t>% (0.</w:t>
      </w:r>
      <w:r w:rsidR="00381A59">
        <w:rPr>
          <w:rFonts w:ascii="Times New Roman" w:hAnsi="Times New Roman"/>
        </w:rPr>
        <w:t>4</w:t>
      </w:r>
      <w:r w:rsidR="00F21C38" w:rsidRPr="007E4C7C">
        <w:rPr>
          <w:rFonts w:ascii="Times New Roman" w:hAnsi="Times New Roman"/>
        </w:rPr>
        <w:t>±</w:t>
      </w:r>
      <w:r w:rsidR="00F21C38">
        <w:rPr>
          <w:rFonts w:ascii="Times New Roman" w:hAnsi="Times New Roman"/>
        </w:rPr>
        <w:t>0.</w:t>
      </w:r>
      <w:r w:rsidR="00381A59">
        <w:rPr>
          <w:rFonts w:ascii="Times New Roman" w:hAnsi="Times New Roman"/>
        </w:rPr>
        <w:t>4</w:t>
      </w:r>
      <w:r w:rsidR="00F21C38">
        <w:rPr>
          <w:rFonts w:ascii="Times New Roman" w:hAnsi="Times New Roman"/>
        </w:rPr>
        <w:t xml:space="preserve"> RMS degrees</w:t>
      </w:r>
      <w:r w:rsidR="00FC6458">
        <w:rPr>
          <w:rFonts w:ascii="Times New Roman" w:hAnsi="Times New Roman"/>
        </w:rPr>
        <w:t xml:space="preserve">; median: 0.3 RMS degrees, </w:t>
      </w:r>
      <w:r w:rsidR="00F21C38">
        <w:rPr>
          <w:rFonts w:ascii="Times New Roman" w:hAnsi="Times New Roman"/>
          <w:i/>
          <w:iCs/>
          <w:lang w:val="en-CA"/>
        </w:rPr>
        <w:t>p=</w:t>
      </w:r>
      <w:r w:rsidR="00F21C38">
        <w:rPr>
          <w:rFonts w:ascii="Times New Roman" w:hAnsi="Times New Roman"/>
          <w:lang w:val="en-CA"/>
        </w:rPr>
        <w:t xml:space="preserve"> 0.04</w:t>
      </w:r>
      <w:r w:rsidR="00381A59">
        <w:rPr>
          <w:rFonts w:ascii="Times New Roman" w:hAnsi="Times New Roman"/>
          <w:lang w:val="en-CA"/>
        </w:rPr>
        <w:t>1</w:t>
      </w:r>
      <w:r w:rsidR="00F21C38">
        <w:rPr>
          <w:rFonts w:ascii="Times New Roman" w:hAnsi="Times New Roman"/>
          <w:lang w:val="en-CA"/>
        </w:rPr>
        <w:t>, [95% CI 0.</w:t>
      </w:r>
      <w:r w:rsidR="00381A59">
        <w:rPr>
          <w:rFonts w:ascii="Times New Roman" w:hAnsi="Times New Roman"/>
          <w:lang w:val="en-CA"/>
        </w:rPr>
        <w:t>007</w:t>
      </w:r>
      <w:r w:rsidR="00F21C38">
        <w:rPr>
          <w:rFonts w:ascii="Times New Roman" w:hAnsi="Times New Roman"/>
          <w:lang w:val="en-CA"/>
        </w:rPr>
        <w:t xml:space="preserve">, </w:t>
      </w:r>
      <w:r w:rsidR="00381A59">
        <w:rPr>
          <w:rFonts w:ascii="Times New Roman" w:hAnsi="Times New Roman"/>
          <w:lang w:val="en-CA"/>
        </w:rPr>
        <w:t>0.46</w:t>
      </w:r>
      <w:r w:rsidR="00F21C38">
        <w:rPr>
          <w:rFonts w:ascii="Times New Roman" w:hAnsi="Times New Roman"/>
          <w:lang w:val="en-CA"/>
        </w:rPr>
        <w:t>])</w:t>
      </w:r>
      <w:r w:rsidR="00F21C38">
        <w:rPr>
          <w:rFonts w:ascii="Times New Roman" w:hAnsi="Times New Roman"/>
        </w:rPr>
        <w:t xml:space="preserve"> </w:t>
      </w:r>
      <w:r w:rsidR="006F5363">
        <w:rPr>
          <w:rFonts w:ascii="Times New Roman" w:hAnsi="Times New Roman"/>
        </w:rPr>
        <w:t>12-weeks</w:t>
      </w:r>
      <w:r w:rsidR="006F5363" w:rsidRPr="006F5363">
        <w:rPr>
          <w:rFonts w:ascii="Times New Roman" w:hAnsi="Times New Roman"/>
        </w:rPr>
        <w:t xml:space="preserve"> following the 1</w:t>
      </w:r>
      <w:r w:rsidR="006F5363" w:rsidRPr="006F5363">
        <w:rPr>
          <w:rFonts w:ascii="Times New Roman" w:hAnsi="Times New Roman"/>
          <w:vertAlign w:val="superscript"/>
        </w:rPr>
        <w:t>st</w:t>
      </w:r>
      <w:r w:rsidR="00381A59">
        <w:rPr>
          <w:rFonts w:ascii="Times New Roman" w:hAnsi="Times New Roman"/>
        </w:rPr>
        <w:t xml:space="preserve"> </w:t>
      </w:r>
      <w:r w:rsidR="003079CB">
        <w:rPr>
          <w:rFonts w:ascii="Times New Roman" w:hAnsi="Times New Roman"/>
        </w:rPr>
        <w:t>abo-BoNT-A</w:t>
      </w:r>
      <w:r w:rsidR="006F5363" w:rsidRPr="006F5363">
        <w:rPr>
          <w:rFonts w:ascii="Times New Roman" w:hAnsi="Times New Roman"/>
        </w:rPr>
        <w:t xml:space="preserve"> </w:t>
      </w:r>
      <w:r w:rsidR="002A1B74">
        <w:rPr>
          <w:rFonts w:ascii="Times New Roman" w:hAnsi="Times New Roman"/>
        </w:rPr>
        <w:t>treatment</w:t>
      </w:r>
      <w:r w:rsidR="006F5363" w:rsidRPr="006F5363">
        <w:rPr>
          <w:rFonts w:ascii="Times New Roman" w:hAnsi="Times New Roman"/>
        </w:rPr>
        <w:t xml:space="preserve"> compared to the original BoNT-A</w:t>
      </w:r>
      <w:r w:rsidR="006F5363">
        <w:rPr>
          <w:rFonts w:ascii="Times New Roman" w:hAnsi="Times New Roman"/>
        </w:rPr>
        <w:t xml:space="preserve"> </w:t>
      </w:r>
      <w:r w:rsidR="00F21C38">
        <w:rPr>
          <w:rFonts w:ascii="Times New Roman" w:hAnsi="Times New Roman"/>
        </w:rPr>
        <w:t>(0.</w:t>
      </w:r>
      <w:r w:rsidR="00381A59">
        <w:rPr>
          <w:rFonts w:ascii="Times New Roman" w:hAnsi="Times New Roman"/>
        </w:rPr>
        <w:t>7</w:t>
      </w:r>
      <w:r w:rsidR="00F21C38" w:rsidRPr="007E4C7C">
        <w:rPr>
          <w:rFonts w:ascii="Times New Roman" w:hAnsi="Times New Roman"/>
        </w:rPr>
        <w:t>±</w:t>
      </w:r>
      <w:r w:rsidR="00F21C38">
        <w:rPr>
          <w:rFonts w:ascii="Times New Roman" w:hAnsi="Times New Roman"/>
        </w:rPr>
        <w:t>0.</w:t>
      </w:r>
      <w:r w:rsidR="00381A59">
        <w:rPr>
          <w:rFonts w:ascii="Times New Roman" w:hAnsi="Times New Roman"/>
        </w:rPr>
        <w:t>7</w:t>
      </w:r>
      <w:r w:rsidR="00F21C38">
        <w:rPr>
          <w:rFonts w:ascii="Times New Roman" w:hAnsi="Times New Roman"/>
        </w:rPr>
        <w:t xml:space="preserve"> RMS degrees</w:t>
      </w:r>
      <w:r w:rsidR="00FC6458">
        <w:rPr>
          <w:rFonts w:ascii="Times New Roman" w:hAnsi="Times New Roman"/>
        </w:rPr>
        <w:t>; median: 0.31 RMS degrees</w:t>
      </w:r>
      <w:r w:rsidR="00F21C38">
        <w:rPr>
          <w:rFonts w:ascii="Times New Roman" w:hAnsi="Times New Roman"/>
        </w:rPr>
        <w:t xml:space="preserve">) </w:t>
      </w:r>
      <w:r w:rsidR="006F5363">
        <w:rPr>
          <w:rFonts w:ascii="Times New Roman" w:hAnsi="Times New Roman"/>
        </w:rPr>
        <w:t xml:space="preserve">(Figure </w:t>
      </w:r>
      <w:r w:rsidR="007C1CF0">
        <w:rPr>
          <w:rFonts w:ascii="Times New Roman" w:hAnsi="Times New Roman"/>
        </w:rPr>
        <w:t>3a</w:t>
      </w:r>
      <w:r w:rsidR="006F5363">
        <w:rPr>
          <w:rFonts w:ascii="Times New Roman" w:hAnsi="Times New Roman"/>
        </w:rPr>
        <w:t>)</w:t>
      </w:r>
      <w:r w:rsidR="00381A59">
        <w:rPr>
          <w:rFonts w:ascii="Times New Roman" w:hAnsi="Times New Roman"/>
        </w:rPr>
        <w:t>. Mean vertical tremulous severity was significantly reduced by a mean of 50% (0.2</w:t>
      </w:r>
      <w:r w:rsidR="00381A59" w:rsidRPr="007E4C7C">
        <w:rPr>
          <w:rFonts w:ascii="Times New Roman" w:hAnsi="Times New Roman"/>
        </w:rPr>
        <w:t>±</w:t>
      </w:r>
      <w:r w:rsidR="00381A59">
        <w:rPr>
          <w:rFonts w:ascii="Times New Roman" w:hAnsi="Times New Roman"/>
        </w:rPr>
        <w:t>0.1 RMS degrees</w:t>
      </w:r>
      <w:r w:rsidR="00FC6458">
        <w:rPr>
          <w:rFonts w:ascii="Times New Roman" w:hAnsi="Times New Roman"/>
        </w:rPr>
        <w:t xml:space="preserve">; median: 0.1 RMS degrees, </w:t>
      </w:r>
      <w:r w:rsidR="00381A59">
        <w:rPr>
          <w:rFonts w:ascii="Times New Roman" w:hAnsi="Times New Roman"/>
          <w:i/>
          <w:iCs/>
          <w:lang w:val="en-CA"/>
        </w:rPr>
        <w:t>p=</w:t>
      </w:r>
      <w:r w:rsidR="00381A59">
        <w:rPr>
          <w:rFonts w:ascii="Times New Roman" w:hAnsi="Times New Roman"/>
          <w:lang w:val="en-CA"/>
        </w:rPr>
        <w:t xml:space="preserve"> 0.037, [95% CI 0.017, 0.638])</w:t>
      </w:r>
      <w:r w:rsidR="00381A59">
        <w:rPr>
          <w:rFonts w:ascii="Times New Roman" w:hAnsi="Times New Roman"/>
        </w:rPr>
        <w:t xml:space="preserve"> 12-weeks</w:t>
      </w:r>
      <w:r w:rsidR="00381A59" w:rsidRPr="006F5363">
        <w:rPr>
          <w:rFonts w:ascii="Times New Roman" w:hAnsi="Times New Roman"/>
        </w:rPr>
        <w:t xml:space="preserve"> following the </w:t>
      </w:r>
      <w:r w:rsidR="0002145C">
        <w:rPr>
          <w:rFonts w:ascii="Times New Roman" w:hAnsi="Times New Roman"/>
        </w:rPr>
        <w:t>3</w:t>
      </w:r>
      <w:r w:rsidR="0002145C" w:rsidRPr="0002145C">
        <w:rPr>
          <w:rFonts w:ascii="Times New Roman" w:hAnsi="Times New Roman"/>
          <w:vertAlign w:val="superscript"/>
        </w:rPr>
        <w:t>rd</w:t>
      </w:r>
      <w:r w:rsidR="0002145C">
        <w:rPr>
          <w:rFonts w:ascii="Times New Roman" w:hAnsi="Times New Roman"/>
        </w:rPr>
        <w:t xml:space="preserve"> </w:t>
      </w:r>
      <w:r w:rsidR="003079CB">
        <w:rPr>
          <w:rFonts w:ascii="Times New Roman" w:hAnsi="Times New Roman"/>
        </w:rPr>
        <w:t>abo-BoNT-A</w:t>
      </w:r>
      <w:r w:rsidR="00381A59" w:rsidRPr="006F5363">
        <w:rPr>
          <w:rFonts w:ascii="Times New Roman" w:hAnsi="Times New Roman"/>
        </w:rPr>
        <w:t xml:space="preserve"> </w:t>
      </w:r>
      <w:r w:rsidR="002A1B74">
        <w:rPr>
          <w:rFonts w:ascii="Times New Roman" w:hAnsi="Times New Roman"/>
        </w:rPr>
        <w:t>treatment</w:t>
      </w:r>
      <w:r w:rsidR="00381A59" w:rsidRPr="006F5363">
        <w:rPr>
          <w:rFonts w:ascii="Times New Roman" w:hAnsi="Times New Roman"/>
        </w:rPr>
        <w:t xml:space="preserve"> compared to the original BoNT-A</w:t>
      </w:r>
      <w:r w:rsidR="00381A59">
        <w:rPr>
          <w:rFonts w:ascii="Times New Roman" w:hAnsi="Times New Roman"/>
        </w:rPr>
        <w:t xml:space="preserve"> (0.3</w:t>
      </w:r>
      <w:r w:rsidR="00381A59" w:rsidRPr="007E4C7C">
        <w:rPr>
          <w:rFonts w:ascii="Times New Roman" w:hAnsi="Times New Roman"/>
        </w:rPr>
        <w:t>±</w:t>
      </w:r>
      <w:r w:rsidR="00381A59">
        <w:rPr>
          <w:rFonts w:ascii="Times New Roman" w:hAnsi="Times New Roman"/>
        </w:rPr>
        <w:t>0.3 RMS degrees</w:t>
      </w:r>
      <w:r w:rsidR="00FC6458">
        <w:rPr>
          <w:rFonts w:ascii="Times New Roman" w:hAnsi="Times New Roman"/>
        </w:rPr>
        <w:t>; median: 0.14 RMS degrees</w:t>
      </w:r>
      <w:r w:rsidR="00381A59">
        <w:rPr>
          <w:rFonts w:ascii="Times New Roman" w:hAnsi="Times New Roman"/>
        </w:rPr>
        <w:t xml:space="preserve">). </w:t>
      </w:r>
      <w:r w:rsidR="00632F3B">
        <w:rPr>
          <w:rFonts w:ascii="Times New Roman" w:hAnsi="Times New Roman"/>
        </w:rPr>
        <w:t xml:space="preserve">Mean rotational tremulous severity was significantly reduced </w:t>
      </w:r>
      <w:r w:rsidR="0002145C">
        <w:rPr>
          <w:rFonts w:ascii="Times New Roman" w:hAnsi="Times New Roman"/>
        </w:rPr>
        <w:t>by a mean of 50% (0.3</w:t>
      </w:r>
      <w:r w:rsidR="0002145C" w:rsidRPr="007E4C7C">
        <w:rPr>
          <w:rFonts w:ascii="Times New Roman" w:hAnsi="Times New Roman"/>
        </w:rPr>
        <w:t>±</w:t>
      </w:r>
      <w:r w:rsidR="0002145C">
        <w:rPr>
          <w:rFonts w:ascii="Times New Roman" w:hAnsi="Times New Roman"/>
        </w:rPr>
        <w:t xml:space="preserve">0.4 RMS degrees, </w:t>
      </w:r>
      <w:r w:rsidR="008D7FA4">
        <w:rPr>
          <w:rFonts w:ascii="Times New Roman" w:hAnsi="Times New Roman"/>
        </w:rPr>
        <w:t xml:space="preserve">median: </w:t>
      </w:r>
      <w:r w:rsidR="008624FC">
        <w:rPr>
          <w:rFonts w:ascii="Times New Roman" w:hAnsi="Times New Roman"/>
        </w:rPr>
        <w:t xml:space="preserve">0.17 RMS degrees, </w:t>
      </w:r>
      <w:r w:rsidR="0002145C">
        <w:rPr>
          <w:rFonts w:ascii="Times New Roman" w:hAnsi="Times New Roman"/>
          <w:i/>
          <w:iCs/>
          <w:lang w:val="en-CA"/>
        </w:rPr>
        <w:t>p=</w:t>
      </w:r>
      <w:r w:rsidR="0002145C">
        <w:rPr>
          <w:rFonts w:ascii="Times New Roman" w:hAnsi="Times New Roman"/>
          <w:lang w:val="en-CA"/>
        </w:rPr>
        <w:t xml:space="preserve"> 0.04, [95% CI 0.01</w:t>
      </w:r>
      <w:r w:rsidR="004A6EAC">
        <w:rPr>
          <w:rFonts w:ascii="Times New Roman" w:hAnsi="Times New Roman"/>
          <w:lang w:val="en-CA"/>
        </w:rPr>
        <w:t>8</w:t>
      </w:r>
      <w:r w:rsidR="0002145C">
        <w:rPr>
          <w:rFonts w:ascii="Times New Roman" w:hAnsi="Times New Roman"/>
          <w:lang w:val="en-CA"/>
        </w:rPr>
        <w:t>, 0.</w:t>
      </w:r>
      <w:r w:rsidR="004A6EAC">
        <w:rPr>
          <w:rFonts w:ascii="Times New Roman" w:hAnsi="Times New Roman"/>
          <w:lang w:val="en-CA"/>
        </w:rPr>
        <w:t>550</w:t>
      </w:r>
      <w:r w:rsidR="0002145C">
        <w:rPr>
          <w:rFonts w:ascii="Times New Roman" w:hAnsi="Times New Roman"/>
          <w:lang w:val="en-CA"/>
        </w:rPr>
        <w:t>])</w:t>
      </w:r>
      <w:r w:rsidR="0002145C">
        <w:rPr>
          <w:rFonts w:ascii="Times New Roman" w:hAnsi="Times New Roman"/>
        </w:rPr>
        <w:t xml:space="preserve"> </w:t>
      </w:r>
      <w:r w:rsidR="00632F3B">
        <w:rPr>
          <w:rFonts w:ascii="Times New Roman" w:hAnsi="Times New Roman"/>
        </w:rPr>
        <w:t>at the peak effect of the 3</w:t>
      </w:r>
      <w:r w:rsidR="00632F3B" w:rsidRPr="00632F3B">
        <w:rPr>
          <w:rFonts w:ascii="Times New Roman" w:hAnsi="Times New Roman"/>
          <w:vertAlign w:val="superscript"/>
        </w:rPr>
        <w:t>rd</w:t>
      </w:r>
      <w:r w:rsidR="00632F3B">
        <w:rPr>
          <w:rFonts w:ascii="Times New Roman" w:hAnsi="Times New Roman"/>
        </w:rPr>
        <w:t xml:space="preserve"> </w:t>
      </w:r>
      <w:r w:rsidR="003079CB">
        <w:rPr>
          <w:rFonts w:ascii="Times New Roman" w:hAnsi="Times New Roman"/>
        </w:rPr>
        <w:t>abo-BoNT-A</w:t>
      </w:r>
      <w:r w:rsidR="00632F3B">
        <w:rPr>
          <w:rFonts w:ascii="Times New Roman" w:hAnsi="Times New Roman"/>
        </w:rPr>
        <w:t xml:space="preserve"> </w:t>
      </w:r>
      <w:r w:rsidR="002A1B74">
        <w:rPr>
          <w:rFonts w:ascii="Times New Roman" w:hAnsi="Times New Roman"/>
        </w:rPr>
        <w:t>treatment</w:t>
      </w:r>
      <w:r w:rsidR="00632F3B">
        <w:rPr>
          <w:rFonts w:ascii="Times New Roman" w:hAnsi="Times New Roman"/>
        </w:rPr>
        <w:t xml:space="preserve"> </w:t>
      </w:r>
      <w:r w:rsidR="0002145C">
        <w:rPr>
          <w:rFonts w:ascii="Times New Roman" w:hAnsi="Times New Roman"/>
        </w:rPr>
        <w:t xml:space="preserve">and </w:t>
      </w:r>
      <w:r w:rsidR="00BA242E">
        <w:rPr>
          <w:rFonts w:ascii="Times New Roman" w:hAnsi="Times New Roman"/>
        </w:rPr>
        <w:t xml:space="preserve">at </w:t>
      </w:r>
      <w:r w:rsidR="0002145C">
        <w:rPr>
          <w:rFonts w:ascii="Times New Roman" w:hAnsi="Times New Roman"/>
        </w:rPr>
        <w:t>the optimized original</w:t>
      </w:r>
      <w:r w:rsidR="008624FC">
        <w:rPr>
          <w:rFonts w:ascii="Times New Roman" w:hAnsi="Times New Roman"/>
        </w:rPr>
        <w:t xml:space="preserve"> </w:t>
      </w:r>
      <w:r w:rsidR="0002145C">
        <w:rPr>
          <w:rFonts w:ascii="Times New Roman" w:hAnsi="Times New Roman"/>
        </w:rPr>
        <w:t xml:space="preserve">BoNT-A </w:t>
      </w:r>
      <w:r w:rsidR="008624FC">
        <w:rPr>
          <w:rFonts w:ascii="Times New Roman" w:hAnsi="Times New Roman"/>
        </w:rPr>
        <w:t>(0.3</w:t>
      </w:r>
      <w:r w:rsidR="008624FC" w:rsidRPr="007E4C7C">
        <w:rPr>
          <w:rFonts w:ascii="Times New Roman" w:hAnsi="Times New Roman"/>
        </w:rPr>
        <w:t>±</w:t>
      </w:r>
      <w:r w:rsidR="008624FC">
        <w:rPr>
          <w:rFonts w:ascii="Times New Roman" w:hAnsi="Times New Roman"/>
        </w:rPr>
        <w:t xml:space="preserve">0.4 RMS degrees, median: 0.24 RMS degrees) </w:t>
      </w:r>
      <w:r w:rsidR="00632F3B">
        <w:rPr>
          <w:rFonts w:ascii="Times New Roman" w:hAnsi="Times New Roman"/>
        </w:rPr>
        <w:t xml:space="preserve">compared to the peak effect </w:t>
      </w:r>
      <w:r w:rsidR="0002145C">
        <w:rPr>
          <w:rFonts w:ascii="Times New Roman" w:hAnsi="Times New Roman"/>
        </w:rPr>
        <w:t xml:space="preserve">of the </w:t>
      </w:r>
      <w:r w:rsidR="00632F3B">
        <w:rPr>
          <w:rFonts w:ascii="Times New Roman" w:hAnsi="Times New Roman"/>
        </w:rPr>
        <w:t xml:space="preserve">last clinic </w:t>
      </w:r>
      <w:r w:rsidR="002A1B74">
        <w:rPr>
          <w:rFonts w:ascii="Times New Roman" w:hAnsi="Times New Roman"/>
        </w:rPr>
        <w:t>treatment</w:t>
      </w:r>
      <w:r w:rsidR="008624FC">
        <w:rPr>
          <w:rFonts w:ascii="Times New Roman" w:hAnsi="Times New Roman"/>
        </w:rPr>
        <w:t xml:space="preserve"> (0.7</w:t>
      </w:r>
      <w:r w:rsidR="008624FC" w:rsidRPr="007E4C7C">
        <w:rPr>
          <w:rFonts w:ascii="Times New Roman" w:hAnsi="Times New Roman"/>
        </w:rPr>
        <w:t>±</w:t>
      </w:r>
      <w:r w:rsidR="008624FC">
        <w:rPr>
          <w:rFonts w:ascii="Times New Roman" w:hAnsi="Times New Roman"/>
        </w:rPr>
        <w:t xml:space="preserve">0.9 RMS degrees, median: 0.3 RMS degrees) </w:t>
      </w:r>
      <w:r w:rsidR="00632F3B">
        <w:rPr>
          <w:rFonts w:ascii="Times New Roman" w:hAnsi="Times New Roman"/>
        </w:rPr>
        <w:t xml:space="preserve">(Figure </w:t>
      </w:r>
      <w:r w:rsidR="007C1CF0">
        <w:rPr>
          <w:rFonts w:ascii="Times New Roman" w:hAnsi="Times New Roman"/>
        </w:rPr>
        <w:t>3b</w:t>
      </w:r>
      <w:r w:rsidR="00632F3B">
        <w:rPr>
          <w:rFonts w:ascii="Times New Roman" w:hAnsi="Times New Roman"/>
        </w:rPr>
        <w:t xml:space="preserve">). </w:t>
      </w:r>
      <w:r w:rsidR="001D63A7">
        <w:rPr>
          <w:rFonts w:ascii="Times New Roman" w:hAnsi="Times New Roman"/>
        </w:rPr>
        <w:t xml:space="preserve">No significant changes in lateral tremulous severity </w:t>
      </w:r>
      <w:r w:rsidR="00741ADF">
        <w:rPr>
          <w:rFonts w:ascii="Times New Roman" w:hAnsi="Times New Roman"/>
        </w:rPr>
        <w:t>between</w:t>
      </w:r>
      <w:r w:rsidR="001D63A7">
        <w:rPr>
          <w:rFonts w:ascii="Times New Roman" w:hAnsi="Times New Roman"/>
        </w:rPr>
        <w:t xml:space="preserve"> the re-injection time-points or between the peak BoNT-A timepoints</w:t>
      </w:r>
      <w:r w:rsidR="00B05DF6">
        <w:rPr>
          <w:rFonts w:ascii="Times New Roman" w:hAnsi="Times New Roman"/>
        </w:rPr>
        <w:t xml:space="preserve"> was observed</w:t>
      </w:r>
      <w:r w:rsidR="001D63A7">
        <w:rPr>
          <w:rFonts w:ascii="Times New Roman" w:hAnsi="Times New Roman"/>
        </w:rPr>
        <w:t xml:space="preserve">. </w:t>
      </w:r>
    </w:p>
    <w:p w14:paraId="32AAA5EA" w14:textId="57ABCC09" w:rsidR="00BE3B83" w:rsidRDefault="00BE3B83" w:rsidP="006F2109">
      <w:pPr>
        <w:tabs>
          <w:tab w:val="left" w:pos="3227"/>
        </w:tabs>
        <w:spacing w:line="480" w:lineRule="auto"/>
        <w:rPr>
          <w:rFonts w:ascii="Times New Roman" w:hAnsi="Times New Roman"/>
        </w:rPr>
      </w:pPr>
    </w:p>
    <w:p w14:paraId="74BF60CA" w14:textId="4481C618" w:rsidR="00BE3B83" w:rsidRDefault="00BE3B83" w:rsidP="006F2109">
      <w:pPr>
        <w:tabs>
          <w:tab w:val="left" w:pos="3227"/>
        </w:tabs>
        <w:spacing w:line="480" w:lineRule="auto"/>
        <w:rPr>
          <w:rFonts w:ascii="Times New Roman" w:hAnsi="Times New Roman"/>
        </w:rPr>
      </w:pPr>
      <w:r>
        <w:rPr>
          <w:rFonts w:ascii="Times New Roman" w:hAnsi="Times New Roman"/>
        </w:rPr>
        <w:t xml:space="preserve">Eighteen out of the 27 participants had </w:t>
      </w:r>
      <w:r w:rsidR="00A97DD1">
        <w:rPr>
          <w:rFonts w:ascii="Times New Roman" w:hAnsi="Times New Roman"/>
        </w:rPr>
        <w:t>tonic deviation</w:t>
      </w:r>
      <w:r>
        <w:rPr>
          <w:rFonts w:ascii="Times New Roman" w:hAnsi="Times New Roman"/>
        </w:rPr>
        <w:t xml:space="preserve"> in at least </w:t>
      </w:r>
      <w:r w:rsidR="00994EC7">
        <w:rPr>
          <w:rFonts w:ascii="Times New Roman" w:hAnsi="Times New Roman"/>
        </w:rPr>
        <w:t>1</w:t>
      </w:r>
      <w:r>
        <w:rPr>
          <w:rFonts w:ascii="Times New Roman" w:hAnsi="Times New Roman"/>
        </w:rPr>
        <w:t xml:space="preserve"> </w:t>
      </w:r>
      <w:r w:rsidR="00994EC7">
        <w:rPr>
          <w:rFonts w:ascii="Times New Roman" w:hAnsi="Times New Roman"/>
        </w:rPr>
        <w:t>DOF</w:t>
      </w:r>
      <w:r>
        <w:rPr>
          <w:rFonts w:ascii="Times New Roman" w:hAnsi="Times New Roman"/>
        </w:rPr>
        <w:t xml:space="preserve">. A mean </w:t>
      </w:r>
      <w:r w:rsidRPr="00BE3B83">
        <w:rPr>
          <w:rFonts w:ascii="Times New Roman" w:hAnsi="Times New Roman"/>
        </w:rPr>
        <w:t xml:space="preserve">49% </w:t>
      </w:r>
      <w:r w:rsidR="00EA02E0">
        <w:rPr>
          <w:rFonts w:ascii="Times New Roman" w:hAnsi="Times New Roman"/>
        </w:rPr>
        <w:t xml:space="preserve">of participants experienced </w:t>
      </w:r>
      <w:r>
        <w:rPr>
          <w:rFonts w:ascii="Times New Roman" w:hAnsi="Times New Roman"/>
        </w:rPr>
        <w:t>alleviation</w:t>
      </w:r>
      <w:r w:rsidRPr="00BE3B83">
        <w:rPr>
          <w:rFonts w:ascii="Times New Roman" w:hAnsi="Times New Roman"/>
        </w:rPr>
        <w:t xml:space="preserve"> of </w:t>
      </w:r>
      <w:r w:rsidR="00FF1141">
        <w:rPr>
          <w:rFonts w:ascii="Times New Roman" w:hAnsi="Times New Roman"/>
        </w:rPr>
        <w:t>tonic deviation (head posturing)</w:t>
      </w:r>
      <w:r w:rsidRPr="00BE3B83">
        <w:rPr>
          <w:rFonts w:ascii="Times New Roman" w:hAnsi="Times New Roman"/>
        </w:rPr>
        <w:t xml:space="preserve"> in all </w:t>
      </w:r>
      <w:r w:rsidR="002A1B74">
        <w:rPr>
          <w:rFonts w:ascii="Times New Roman" w:hAnsi="Times New Roman"/>
        </w:rPr>
        <w:t>DOFs</w:t>
      </w:r>
      <w:r w:rsidRPr="00BE3B83">
        <w:rPr>
          <w:rFonts w:ascii="Times New Roman" w:hAnsi="Times New Roman"/>
        </w:rPr>
        <w:t xml:space="preserve"> by the 3</w:t>
      </w:r>
      <w:r w:rsidRPr="00BE3B83">
        <w:rPr>
          <w:rFonts w:ascii="Times New Roman" w:hAnsi="Times New Roman"/>
          <w:vertAlign w:val="superscript"/>
        </w:rPr>
        <w:t>rd</w:t>
      </w:r>
      <w:r w:rsidRPr="00BE3B83">
        <w:rPr>
          <w:rFonts w:ascii="Times New Roman" w:hAnsi="Times New Roman"/>
        </w:rPr>
        <w:t xml:space="preserve"> </w:t>
      </w:r>
      <w:r w:rsidR="003079CB">
        <w:rPr>
          <w:rFonts w:ascii="Times New Roman" w:hAnsi="Times New Roman"/>
        </w:rPr>
        <w:t>abo-BoNT-A</w:t>
      </w:r>
      <w:r w:rsidRPr="00BE3B83">
        <w:rPr>
          <w:rFonts w:ascii="Times New Roman" w:hAnsi="Times New Roman"/>
        </w:rPr>
        <w:t xml:space="preserve"> injection</w:t>
      </w:r>
      <w:r>
        <w:rPr>
          <w:rFonts w:ascii="Times New Roman" w:hAnsi="Times New Roman"/>
        </w:rPr>
        <w:t xml:space="preserve"> compared to </w:t>
      </w:r>
      <w:r w:rsidR="00591FFA">
        <w:rPr>
          <w:rFonts w:ascii="Times New Roman" w:hAnsi="Times New Roman"/>
        </w:rPr>
        <w:t xml:space="preserve">8% of participants following </w:t>
      </w:r>
      <w:r>
        <w:rPr>
          <w:rFonts w:ascii="Times New Roman" w:hAnsi="Times New Roman"/>
        </w:rPr>
        <w:t xml:space="preserve">the </w:t>
      </w:r>
      <w:r w:rsidR="00273C28">
        <w:rPr>
          <w:rFonts w:ascii="Times New Roman" w:hAnsi="Times New Roman"/>
        </w:rPr>
        <w:t>original BoNT-A (</w:t>
      </w:r>
      <w:r>
        <w:rPr>
          <w:rFonts w:ascii="Times New Roman" w:hAnsi="Times New Roman"/>
        </w:rPr>
        <w:t xml:space="preserve">last clinic </w:t>
      </w:r>
      <w:r w:rsidR="002A1B74">
        <w:rPr>
          <w:rFonts w:ascii="Times New Roman" w:hAnsi="Times New Roman"/>
        </w:rPr>
        <w:t>treatment</w:t>
      </w:r>
      <w:r w:rsidR="00273C28">
        <w:rPr>
          <w:rFonts w:ascii="Times New Roman" w:hAnsi="Times New Roman"/>
        </w:rPr>
        <w:t>) (Figure 3c)</w:t>
      </w:r>
      <w:r>
        <w:rPr>
          <w:rFonts w:ascii="Times New Roman" w:hAnsi="Times New Roman"/>
        </w:rPr>
        <w:t xml:space="preserve">. </w:t>
      </w:r>
      <w:r w:rsidR="00EA02E0">
        <w:rPr>
          <w:rFonts w:ascii="Times New Roman" w:hAnsi="Times New Roman"/>
        </w:rPr>
        <w:t xml:space="preserve">A mean 68% of participants experienced </w:t>
      </w:r>
      <w:r w:rsidR="001A4810">
        <w:rPr>
          <w:rFonts w:ascii="Times New Roman" w:hAnsi="Times New Roman"/>
        </w:rPr>
        <w:t>head</w:t>
      </w:r>
      <w:r w:rsidR="00EA02E0">
        <w:rPr>
          <w:rFonts w:ascii="Times New Roman" w:hAnsi="Times New Roman"/>
        </w:rPr>
        <w:t xml:space="preserve"> posturing </w:t>
      </w:r>
      <w:r w:rsidR="009F03D3">
        <w:rPr>
          <w:rFonts w:ascii="Times New Roman" w:hAnsi="Times New Roman"/>
        </w:rPr>
        <w:t xml:space="preserve">and </w:t>
      </w:r>
      <w:r w:rsidR="00EA02E0">
        <w:rPr>
          <w:rFonts w:ascii="Times New Roman" w:hAnsi="Times New Roman"/>
        </w:rPr>
        <w:t xml:space="preserve">returned to neutral </w:t>
      </w:r>
      <w:r w:rsidR="004F1A24">
        <w:rPr>
          <w:rFonts w:ascii="Times New Roman" w:hAnsi="Times New Roman"/>
        </w:rPr>
        <w:t xml:space="preserve">at peak effect of </w:t>
      </w:r>
      <w:r w:rsidR="00EA02E0">
        <w:rPr>
          <w:rFonts w:ascii="Times New Roman" w:hAnsi="Times New Roman"/>
        </w:rPr>
        <w:t>the 3</w:t>
      </w:r>
      <w:r w:rsidR="00EA02E0" w:rsidRPr="00EA02E0">
        <w:rPr>
          <w:rFonts w:ascii="Times New Roman" w:hAnsi="Times New Roman"/>
          <w:vertAlign w:val="superscript"/>
        </w:rPr>
        <w:t>rd</w:t>
      </w:r>
      <w:r w:rsidR="00EA02E0">
        <w:rPr>
          <w:rFonts w:ascii="Times New Roman" w:hAnsi="Times New Roman"/>
        </w:rPr>
        <w:t xml:space="preserve"> </w:t>
      </w:r>
      <w:r w:rsidR="003079CB">
        <w:rPr>
          <w:rFonts w:ascii="Times New Roman" w:hAnsi="Times New Roman"/>
        </w:rPr>
        <w:t>abo-BoNT-A</w:t>
      </w:r>
      <w:r w:rsidR="00EA02E0">
        <w:rPr>
          <w:rFonts w:ascii="Times New Roman" w:hAnsi="Times New Roman"/>
        </w:rPr>
        <w:t xml:space="preserve"> </w:t>
      </w:r>
      <w:r w:rsidR="002A1B74">
        <w:rPr>
          <w:rFonts w:ascii="Times New Roman" w:hAnsi="Times New Roman"/>
        </w:rPr>
        <w:t>treatment</w:t>
      </w:r>
      <w:r w:rsidR="00EA02E0">
        <w:rPr>
          <w:rFonts w:ascii="Times New Roman" w:hAnsi="Times New Roman"/>
        </w:rPr>
        <w:t xml:space="preserve"> compared to a mean 23% </w:t>
      </w:r>
      <w:r w:rsidR="00591FFA">
        <w:rPr>
          <w:rFonts w:ascii="Times New Roman" w:hAnsi="Times New Roman"/>
        </w:rPr>
        <w:t xml:space="preserve">and </w:t>
      </w:r>
      <w:r w:rsidR="00591FFA">
        <w:rPr>
          <w:rFonts w:ascii="Times New Roman" w:hAnsi="Times New Roman"/>
        </w:rPr>
        <w:lastRenderedPageBreak/>
        <w:t xml:space="preserve">40% </w:t>
      </w:r>
      <w:r w:rsidR="00EA02E0">
        <w:rPr>
          <w:rFonts w:ascii="Times New Roman" w:hAnsi="Times New Roman"/>
        </w:rPr>
        <w:t xml:space="preserve">of participants </w:t>
      </w:r>
      <w:r w:rsidR="00591FFA">
        <w:rPr>
          <w:rFonts w:ascii="Times New Roman" w:hAnsi="Times New Roman"/>
        </w:rPr>
        <w:t>at peak effect of</w:t>
      </w:r>
      <w:r w:rsidR="00C10216">
        <w:rPr>
          <w:rFonts w:ascii="Times New Roman" w:hAnsi="Times New Roman"/>
        </w:rPr>
        <w:t xml:space="preserve"> </w:t>
      </w:r>
      <w:r w:rsidR="00EA02E0">
        <w:rPr>
          <w:rFonts w:ascii="Times New Roman" w:hAnsi="Times New Roman"/>
        </w:rPr>
        <w:t xml:space="preserve">the </w:t>
      </w:r>
      <w:r w:rsidR="00591FFA">
        <w:rPr>
          <w:rFonts w:ascii="Times New Roman" w:hAnsi="Times New Roman"/>
        </w:rPr>
        <w:t xml:space="preserve">last clinic and reconversion using the </w:t>
      </w:r>
      <w:r w:rsidR="00EA02E0">
        <w:rPr>
          <w:rFonts w:ascii="Times New Roman" w:hAnsi="Times New Roman"/>
        </w:rPr>
        <w:t>original BoNT-A</w:t>
      </w:r>
      <w:r w:rsidR="00591FFA">
        <w:rPr>
          <w:rFonts w:ascii="Times New Roman" w:hAnsi="Times New Roman"/>
        </w:rPr>
        <w:t xml:space="preserve">, respectively </w:t>
      </w:r>
      <w:r w:rsidR="00273C28">
        <w:rPr>
          <w:rFonts w:ascii="Times New Roman" w:hAnsi="Times New Roman"/>
        </w:rPr>
        <w:t>(Figure 3d)</w:t>
      </w:r>
      <w:r w:rsidR="00EA02E0">
        <w:rPr>
          <w:rFonts w:ascii="Times New Roman" w:hAnsi="Times New Roman"/>
        </w:rPr>
        <w:t xml:space="preserve">. </w:t>
      </w:r>
    </w:p>
    <w:p w14:paraId="78212220" w14:textId="77777777" w:rsidR="007C1CF0" w:rsidRPr="009D7C67" w:rsidRDefault="007C1CF0" w:rsidP="006F2109">
      <w:pPr>
        <w:tabs>
          <w:tab w:val="left" w:pos="3227"/>
        </w:tabs>
        <w:spacing w:line="480" w:lineRule="auto"/>
        <w:rPr>
          <w:rFonts w:ascii="Times New Roman" w:hAnsi="Times New Roman"/>
          <w:lang w:val="en-CA"/>
        </w:rPr>
      </w:pPr>
    </w:p>
    <w:p w14:paraId="44C9C915" w14:textId="13CB9D46" w:rsidR="00DC3B28" w:rsidRDefault="00DC3B28" w:rsidP="00DC3B28">
      <w:pPr>
        <w:tabs>
          <w:tab w:val="left" w:pos="3227"/>
        </w:tabs>
        <w:spacing w:line="480" w:lineRule="auto"/>
        <w:rPr>
          <w:rFonts w:ascii="Times New Roman" w:hAnsi="Times New Roman"/>
          <w:i/>
          <w:iCs/>
        </w:rPr>
      </w:pPr>
      <w:r>
        <w:rPr>
          <w:rFonts w:ascii="Times New Roman" w:hAnsi="Times New Roman"/>
          <w:i/>
          <w:iCs/>
        </w:rPr>
        <w:t>BoNT-A treatments</w:t>
      </w:r>
    </w:p>
    <w:p w14:paraId="2722B61F" w14:textId="17135679" w:rsidR="00214832" w:rsidRDefault="00A4791C" w:rsidP="00DC3B28">
      <w:pPr>
        <w:tabs>
          <w:tab w:val="left" w:pos="3227"/>
        </w:tabs>
        <w:spacing w:line="480" w:lineRule="auto"/>
        <w:rPr>
          <w:rFonts w:ascii="Times New Roman" w:hAnsi="Times New Roman"/>
        </w:rPr>
      </w:pPr>
      <w:r>
        <w:rPr>
          <w:rFonts w:ascii="Times New Roman" w:hAnsi="Times New Roman"/>
        </w:rPr>
        <w:t xml:space="preserve">Table </w:t>
      </w:r>
      <w:r w:rsidR="00DC6233">
        <w:rPr>
          <w:rFonts w:ascii="Times New Roman" w:hAnsi="Times New Roman"/>
        </w:rPr>
        <w:t>1</w:t>
      </w:r>
      <w:r>
        <w:rPr>
          <w:rFonts w:ascii="Times New Roman" w:hAnsi="Times New Roman"/>
        </w:rPr>
        <w:t xml:space="preserve"> </w:t>
      </w:r>
      <w:r w:rsidR="00A25041">
        <w:rPr>
          <w:rFonts w:ascii="Times New Roman" w:hAnsi="Times New Roman"/>
          <w:lang w:val="en-CA"/>
        </w:rPr>
        <w:t xml:space="preserve">Mean total dose of BoNT-A was significantly increased by a mean of 19% </w:t>
      </w:r>
      <w:r w:rsidR="00133307">
        <w:rPr>
          <w:rFonts w:ascii="Times New Roman" w:hAnsi="Times New Roman"/>
          <w:lang w:val="en-CA"/>
        </w:rPr>
        <w:t>to 585</w:t>
      </w:r>
      <w:r w:rsidR="00133307" w:rsidRPr="00133307">
        <w:rPr>
          <w:rFonts w:ascii="Times New Roman" w:hAnsi="Times New Roman"/>
          <w:lang w:val="en-CA"/>
        </w:rPr>
        <w:t>±</w:t>
      </w:r>
      <w:r w:rsidR="00133307">
        <w:rPr>
          <w:rFonts w:ascii="Times New Roman" w:hAnsi="Times New Roman"/>
          <w:lang w:val="en-CA"/>
        </w:rPr>
        <w:t xml:space="preserve">229 </w:t>
      </w:r>
      <w:r w:rsidR="003079CB">
        <w:rPr>
          <w:rFonts w:ascii="Times New Roman" w:hAnsi="Times New Roman"/>
          <w:lang w:val="en-CA"/>
        </w:rPr>
        <w:t>abo-BoNT-A</w:t>
      </w:r>
      <w:r w:rsidR="00133307">
        <w:rPr>
          <w:rFonts w:ascii="Times New Roman" w:hAnsi="Times New Roman"/>
          <w:lang w:val="en-CA"/>
        </w:rPr>
        <w:t xml:space="preserve"> U</w:t>
      </w:r>
      <w:r w:rsidR="00CD3372">
        <w:rPr>
          <w:rFonts w:ascii="Times New Roman" w:hAnsi="Times New Roman"/>
          <w:lang w:val="en-CA"/>
        </w:rPr>
        <w:t xml:space="preserve"> </w:t>
      </w:r>
      <w:r w:rsidR="00AF0F38">
        <w:rPr>
          <w:rFonts w:ascii="Times New Roman" w:hAnsi="Times New Roman"/>
          <w:lang w:val="en-CA"/>
        </w:rPr>
        <w:t>at the 2</w:t>
      </w:r>
      <w:r w:rsidR="00AF0F38" w:rsidRPr="00AF0F38">
        <w:rPr>
          <w:rFonts w:ascii="Times New Roman" w:hAnsi="Times New Roman"/>
          <w:vertAlign w:val="superscript"/>
          <w:lang w:val="en-CA"/>
        </w:rPr>
        <w:t>nd</w:t>
      </w:r>
      <w:r w:rsidR="00AF0F38">
        <w:rPr>
          <w:rFonts w:ascii="Times New Roman" w:hAnsi="Times New Roman"/>
          <w:lang w:val="en-CA"/>
        </w:rPr>
        <w:t xml:space="preserve"> and 3</w:t>
      </w:r>
      <w:r w:rsidR="00AF0F38" w:rsidRPr="00AF0F38">
        <w:rPr>
          <w:rFonts w:ascii="Times New Roman" w:hAnsi="Times New Roman"/>
          <w:vertAlign w:val="superscript"/>
          <w:lang w:val="en-CA"/>
        </w:rPr>
        <w:t>rd</w:t>
      </w:r>
      <w:r w:rsidR="00AF0F38">
        <w:rPr>
          <w:rFonts w:ascii="Times New Roman" w:hAnsi="Times New Roman"/>
          <w:lang w:val="en-CA"/>
        </w:rPr>
        <w:t xml:space="preserve"> </w:t>
      </w:r>
      <w:r w:rsidR="003079CB">
        <w:rPr>
          <w:rFonts w:ascii="Times New Roman" w:hAnsi="Times New Roman"/>
          <w:lang w:val="en-CA"/>
        </w:rPr>
        <w:t>abo-BoNT-A</w:t>
      </w:r>
      <w:r w:rsidR="00AF0F38">
        <w:rPr>
          <w:rFonts w:ascii="Times New Roman" w:hAnsi="Times New Roman"/>
          <w:lang w:val="en-CA"/>
        </w:rPr>
        <w:t xml:space="preserve"> injections </w:t>
      </w:r>
      <w:r w:rsidR="00A25041">
        <w:rPr>
          <w:rFonts w:ascii="Times New Roman" w:hAnsi="Times New Roman"/>
          <w:lang w:val="en-CA"/>
        </w:rPr>
        <w:t>compared to the total dose from the clinic</w:t>
      </w:r>
      <w:r w:rsidR="00D712AB">
        <w:rPr>
          <w:rFonts w:ascii="Times New Roman" w:hAnsi="Times New Roman"/>
          <w:lang w:val="en-CA"/>
        </w:rPr>
        <w:t xml:space="preserve"> (492</w:t>
      </w:r>
      <w:r w:rsidR="00D712AB" w:rsidRPr="00133307">
        <w:rPr>
          <w:rFonts w:ascii="Times New Roman" w:hAnsi="Times New Roman"/>
          <w:lang w:val="en-CA"/>
        </w:rPr>
        <w:t>±</w:t>
      </w:r>
      <w:r w:rsidR="00D712AB">
        <w:rPr>
          <w:rFonts w:ascii="Times New Roman" w:hAnsi="Times New Roman"/>
          <w:lang w:val="en-CA"/>
        </w:rPr>
        <w:t xml:space="preserve">191 </w:t>
      </w:r>
      <w:r w:rsidR="003079CB">
        <w:rPr>
          <w:rFonts w:ascii="Times New Roman" w:hAnsi="Times New Roman"/>
          <w:lang w:val="en-CA"/>
        </w:rPr>
        <w:t>abo-BoNT-A</w:t>
      </w:r>
      <w:r w:rsidR="00D712AB">
        <w:rPr>
          <w:rFonts w:ascii="Times New Roman" w:hAnsi="Times New Roman"/>
          <w:lang w:val="en-CA"/>
        </w:rPr>
        <w:t xml:space="preserve"> U</w:t>
      </w:r>
      <w:r w:rsidR="00F83515">
        <w:rPr>
          <w:rFonts w:ascii="Times New Roman" w:hAnsi="Times New Roman"/>
          <w:lang w:val="en-CA"/>
        </w:rPr>
        <w:t xml:space="preserve"> converted from 197</w:t>
      </w:r>
      <w:r w:rsidR="00F83515" w:rsidRPr="00133307">
        <w:rPr>
          <w:rFonts w:ascii="Times New Roman" w:hAnsi="Times New Roman"/>
          <w:lang w:val="en-CA"/>
        </w:rPr>
        <w:t>±</w:t>
      </w:r>
      <w:r w:rsidR="00F83515">
        <w:rPr>
          <w:rFonts w:ascii="Times New Roman" w:hAnsi="Times New Roman"/>
          <w:lang w:val="en-CA"/>
        </w:rPr>
        <w:t>77 ona/</w:t>
      </w:r>
      <w:r w:rsidR="003079CB">
        <w:rPr>
          <w:rFonts w:ascii="Times New Roman" w:hAnsi="Times New Roman"/>
          <w:lang w:val="en-CA"/>
        </w:rPr>
        <w:t>inco-BoNT-A</w:t>
      </w:r>
      <w:r w:rsidR="00F83515">
        <w:rPr>
          <w:rFonts w:ascii="Times New Roman" w:hAnsi="Times New Roman"/>
          <w:lang w:val="en-CA"/>
        </w:rPr>
        <w:t xml:space="preserve"> U</w:t>
      </w:r>
      <w:r w:rsidR="00D712AB">
        <w:rPr>
          <w:rFonts w:ascii="Times New Roman" w:hAnsi="Times New Roman"/>
          <w:lang w:val="en-CA"/>
        </w:rPr>
        <w:t>)</w:t>
      </w:r>
      <w:r w:rsidR="00A25041">
        <w:rPr>
          <w:rFonts w:ascii="Times New Roman" w:hAnsi="Times New Roman"/>
          <w:lang w:val="en-CA"/>
        </w:rPr>
        <w:t>. At the 2</w:t>
      </w:r>
      <w:r w:rsidR="00A25041" w:rsidRPr="00A25041">
        <w:rPr>
          <w:rFonts w:ascii="Times New Roman" w:hAnsi="Times New Roman"/>
          <w:vertAlign w:val="superscript"/>
          <w:lang w:val="en-CA"/>
        </w:rPr>
        <w:t>nd</w:t>
      </w:r>
      <w:r w:rsidR="00A25041">
        <w:rPr>
          <w:rFonts w:ascii="Times New Roman" w:hAnsi="Times New Roman"/>
          <w:lang w:val="en-CA"/>
        </w:rPr>
        <w:t xml:space="preserve"> </w:t>
      </w:r>
      <w:r w:rsidR="003079CB">
        <w:rPr>
          <w:rFonts w:ascii="Times New Roman" w:hAnsi="Times New Roman"/>
          <w:lang w:val="en-CA"/>
        </w:rPr>
        <w:t>abo-BoNT-A</w:t>
      </w:r>
      <w:r w:rsidR="00A25041">
        <w:rPr>
          <w:rFonts w:ascii="Times New Roman" w:hAnsi="Times New Roman"/>
          <w:lang w:val="en-CA"/>
        </w:rPr>
        <w:t xml:space="preserve"> injection cycle, </w:t>
      </w:r>
      <w:r w:rsidR="00A25041" w:rsidRPr="00A25041">
        <w:rPr>
          <w:rFonts w:ascii="Times New Roman" w:hAnsi="Times New Roman"/>
        </w:rPr>
        <w:t>20 out of 27 (74%) participants required a</w:t>
      </w:r>
      <w:r w:rsidR="00A25041">
        <w:rPr>
          <w:rFonts w:ascii="Times New Roman" w:hAnsi="Times New Roman"/>
        </w:rPr>
        <w:t xml:space="preserve"> dose </w:t>
      </w:r>
      <w:r w:rsidR="00A25041" w:rsidRPr="00A25041">
        <w:rPr>
          <w:rFonts w:ascii="Times New Roman" w:hAnsi="Times New Roman"/>
        </w:rPr>
        <w:t xml:space="preserve">increase, 4 (14%) participants required no change, </w:t>
      </w:r>
      <w:r w:rsidR="00272275">
        <w:rPr>
          <w:rFonts w:ascii="Times New Roman" w:hAnsi="Times New Roman"/>
        </w:rPr>
        <w:t xml:space="preserve">and </w:t>
      </w:r>
      <w:r w:rsidR="00A25041" w:rsidRPr="00A25041">
        <w:rPr>
          <w:rFonts w:ascii="Times New Roman" w:hAnsi="Times New Roman"/>
        </w:rPr>
        <w:t xml:space="preserve">3 (11%) participants required </w:t>
      </w:r>
      <w:r w:rsidR="00A25041">
        <w:rPr>
          <w:rFonts w:ascii="Times New Roman" w:hAnsi="Times New Roman"/>
        </w:rPr>
        <w:t xml:space="preserve">a </w:t>
      </w:r>
      <w:r w:rsidR="00A25041" w:rsidRPr="00A25041">
        <w:rPr>
          <w:rFonts w:ascii="Times New Roman" w:hAnsi="Times New Roman"/>
        </w:rPr>
        <w:t>dose decrease</w:t>
      </w:r>
      <w:r w:rsidR="000803EE">
        <w:rPr>
          <w:rFonts w:ascii="Times New Roman" w:hAnsi="Times New Roman"/>
        </w:rPr>
        <w:t>[</w:t>
      </w:r>
      <w:r w:rsidR="00D20373">
        <w:rPr>
          <w:rFonts w:ascii="Times New Roman" w:hAnsi="Times New Roman"/>
        </w:rPr>
        <w:t>15</w:t>
      </w:r>
      <w:r w:rsidR="000803EE">
        <w:rPr>
          <w:rFonts w:ascii="Times New Roman" w:hAnsi="Times New Roman"/>
        </w:rPr>
        <w:t>]</w:t>
      </w:r>
      <w:r w:rsidR="00A25041">
        <w:rPr>
          <w:rFonts w:ascii="Times New Roman" w:hAnsi="Times New Roman"/>
        </w:rPr>
        <w:t>. At</w:t>
      </w:r>
      <w:r w:rsidR="00A25041" w:rsidRPr="00A25041">
        <w:rPr>
          <w:rFonts w:ascii="Times New Roman" w:hAnsi="Times New Roman"/>
        </w:rPr>
        <w:t xml:space="preserve"> the 3</w:t>
      </w:r>
      <w:r w:rsidR="00A25041" w:rsidRPr="00A25041">
        <w:rPr>
          <w:rFonts w:ascii="Times New Roman" w:hAnsi="Times New Roman"/>
          <w:vertAlign w:val="superscript"/>
        </w:rPr>
        <w:t>rd</w:t>
      </w:r>
      <w:r w:rsidR="00A25041" w:rsidRPr="00A25041">
        <w:rPr>
          <w:rFonts w:ascii="Times New Roman" w:hAnsi="Times New Roman"/>
        </w:rPr>
        <w:t xml:space="preserve"> </w:t>
      </w:r>
      <w:r w:rsidR="003079CB">
        <w:rPr>
          <w:rFonts w:ascii="Times New Roman" w:hAnsi="Times New Roman"/>
        </w:rPr>
        <w:t>abo-BoNT-A</w:t>
      </w:r>
      <w:r w:rsidR="00A25041">
        <w:rPr>
          <w:rFonts w:ascii="Times New Roman" w:hAnsi="Times New Roman"/>
        </w:rPr>
        <w:t xml:space="preserve"> </w:t>
      </w:r>
      <w:r w:rsidR="00A25041" w:rsidRPr="00A25041">
        <w:rPr>
          <w:rFonts w:ascii="Times New Roman" w:hAnsi="Times New Roman"/>
        </w:rPr>
        <w:t>injection</w:t>
      </w:r>
      <w:r w:rsidR="00A25041">
        <w:rPr>
          <w:rFonts w:ascii="Times New Roman" w:hAnsi="Times New Roman"/>
        </w:rPr>
        <w:t>,</w:t>
      </w:r>
      <w:r w:rsidR="00A25041" w:rsidRPr="00A25041">
        <w:rPr>
          <w:rFonts w:ascii="Times New Roman" w:hAnsi="Times New Roman"/>
        </w:rPr>
        <w:t xml:space="preserve"> </w:t>
      </w:r>
      <w:r w:rsidR="00A25041">
        <w:rPr>
          <w:rFonts w:ascii="Times New Roman" w:hAnsi="Times New Roman"/>
        </w:rPr>
        <w:t>11 (</w:t>
      </w:r>
      <w:r w:rsidR="00A25041" w:rsidRPr="00A25041">
        <w:rPr>
          <w:rFonts w:ascii="Times New Roman" w:hAnsi="Times New Roman"/>
        </w:rPr>
        <w:t>41%</w:t>
      </w:r>
      <w:r w:rsidR="00A25041">
        <w:rPr>
          <w:rFonts w:ascii="Times New Roman" w:hAnsi="Times New Roman"/>
        </w:rPr>
        <w:t>)</w:t>
      </w:r>
      <w:r w:rsidR="00A25041" w:rsidRPr="00A25041">
        <w:rPr>
          <w:rFonts w:ascii="Times New Roman" w:hAnsi="Times New Roman"/>
        </w:rPr>
        <w:t xml:space="preserve"> required </w:t>
      </w:r>
      <w:r w:rsidR="00A25041">
        <w:rPr>
          <w:rFonts w:ascii="Times New Roman" w:hAnsi="Times New Roman"/>
        </w:rPr>
        <w:t xml:space="preserve">a </w:t>
      </w:r>
      <w:r w:rsidR="00A25041" w:rsidRPr="00A25041">
        <w:rPr>
          <w:rFonts w:ascii="Times New Roman" w:hAnsi="Times New Roman"/>
        </w:rPr>
        <w:t xml:space="preserve">dose increase, </w:t>
      </w:r>
      <w:r w:rsidR="00A25041">
        <w:rPr>
          <w:rFonts w:ascii="Times New Roman" w:hAnsi="Times New Roman"/>
        </w:rPr>
        <w:t>10 (</w:t>
      </w:r>
      <w:r w:rsidR="00A25041" w:rsidRPr="00A25041">
        <w:rPr>
          <w:rFonts w:ascii="Times New Roman" w:hAnsi="Times New Roman"/>
        </w:rPr>
        <w:t>37%</w:t>
      </w:r>
      <w:r w:rsidR="00A25041">
        <w:rPr>
          <w:rFonts w:ascii="Times New Roman" w:hAnsi="Times New Roman"/>
        </w:rPr>
        <w:t>)</w:t>
      </w:r>
      <w:r w:rsidR="00A25041" w:rsidRPr="00A25041">
        <w:rPr>
          <w:rFonts w:ascii="Times New Roman" w:hAnsi="Times New Roman"/>
        </w:rPr>
        <w:t xml:space="preserve"> required no change, </w:t>
      </w:r>
      <w:r w:rsidR="00A25041">
        <w:rPr>
          <w:rFonts w:ascii="Times New Roman" w:hAnsi="Times New Roman"/>
        </w:rPr>
        <w:t>6 (</w:t>
      </w:r>
      <w:r w:rsidR="00A25041" w:rsidRPr="00A25041">
        <w:rPr>
          <w:rFonts w:ascii="Times New Roman" w:hAnsi="Times New Roman"/>
        </w:rPr>
        <w:t>22%</w:t>
      </w:r>
      <w:r w:rsidR="00A25041">
        <w:rPr>
          <w:rFonts w:ascii="Times New Roman" w:hAnsi="Times New Roman"/>
        </w:rPr>
        <w:t>)</w:t>
      </w:r>
      <w:r w:rsidR="00A25041" w:rsidRPr="00A25041">
        <w:rPr>
          <w:rFonts w:ascii="Times New Roman" w:hAnsi="Times New Roman"/>
        </w:rPr>
        <w:t xml:space="preserve"> required </w:t>
      </w:r>
      <w:r w:rsidR="00A25041">
        <w:rPr>
          <w:rFonts w:ascii="Times New Roman" w:hAnsi="Times New Roman"/>
        </w:rPr>
        <w:t xml:space="preserve">a </w:t>
      </w:r>
      <w:r w:rsidR="00A25041" w:rsidRPr="00A25041">
        <w:rPr>
          <w:rFonts w:ascii="Times New Roman" w:hAnsi="Times New Roman"/>
        </w:rPr>
        <w:t>dose decrease</w:t>
      </w:r>
      <w:r w:rsidR="00A25041">
        <w:rPr>
          <w:rFonts w:ascii="Times New Roman" w:hAnsi="Times New Roman"/>
        </w:rPr>
        <w:t>.</w:t>
      </w:r>
      <w:r w:rsidR="0032712D">
        <w:rPr>
          <w:rFonts w:ascii="Times New Roman" w:hAnsi="Times New Roman"/>
        </w:rPr>
        <w:t xml:space="preserve"> </w:t>
      </w:r>
      <w:r w:rsidR="004570CD">
        <w:rPr>
          <w:rFonts w:ascii="Times New Roman" w:hAnsi="Times New Roman"/>
        </w:rPr>
        <w:t>Following the 3</w:t>
      </w:r>
      <w:r w:rsidR="004570CD" w:rsidRPr="004570CD">
        <w:rPr>
          <w:rFonts w:ascii="Times New Roman" w:hAnsi="Times New Roman"/>
          <w:vertAlign w:val="superscript"/>
        </w:rPr>
        <w:t>rd</w:t>
      </w:r>
      <w:r w:rsidR="004570CD">
        <w:rPr>
          <w:rFonts w:ascii="Times New Roman" w:hAnsi="Times New Roman"/>
        </w:rPr>
        <w:t xml:space="preserve"> </w:t>
      </w:r>
      <w:r w:rsidR="003079CB">
        <w:rPr>
          <w:rFonts w:ascii="Times New Roman" w:hAnsi="Times New Roman"/>
        </w:rPr>
        <w:t>abo-BoNT-A</w:t>
      </w:r>
      <w:r w:rsidR="004570CD">
        <w:rPr>
          <w:rFonts w:ascii="Times New Roman" w:hAnsi="Times New Roman"/>
        </w:rPr>
        <w:t xml:space="preserve">, two participants required to wait an extra 4 weeks before receiving their next injection due to continued benefit. </w:t>
      </w:r>
      <w:r w:rsidR="0001545F">
        <w:rPr>
          <w:rFonts w:ascii="Times New Roman" w:hAnsi="Times New Roman"/>
        </w:rPr>
        <w:t>Total abo-BoNT-A dose at the 1</w:t>
      </w:r>
      <w:r w:rsidR="0001545F" w:rsidRPr="00345733">
        <w:rPr>
          <w:rFonts w:ascii="Times New Roman" w:hAnsi="Times New Roman"/>
          <w:vertAlign w:val="superscript"/>
        </w:rPr>
        <w:t>st</w:t>
      </w:r>
      <w:r w:rsidR="0001545F">
        <w:rPr>
          <w:rFonts w:ascii="Times New Roman" w:hAnsi="Times New Roman"/>
        </w:rPr>
        <w:t xml:space="preserve"> and at the optimized 3</w:t>
      </w:r>
      <w:r w:rsidR="0001545F" w:rsidRPr="00345733">
        <w:rPr>
          <w:rFonts w:ascii="Times New Roman" w:hAnsi="Times New Roman"/>
          <w:vertAlign w:val="superscript"/>
        </w:rPr>
        <w:t>rd</w:t>
      </w:r>
      <w:r w:rsidR="0001545F">
        <w:rPr>
          <w:rFonts w:ascii="Times New Roman" w:hAnsi="Times New Roman"/>
        </w:rPr>
        <w:t xml:space="preserve"> treatment cycles for each participant are summarized.</w:t>
      </w:r>
    </w:p>
    <w:p w14:paraId="71F1E86F" w14:textId="6220A675" w:rsidR="00321A24" w:rsidRDefault="00321A24" w:rsidP="00DC3B28">
      <w:pPr>
        <w:tabs>
          <w:tab w:val="left" w:pos="3227"/>
        </w:tabs>
        <w:spacing w:line="480" w:lineRule="auto"/>
        <w:rPr>
          <w:rFonts w:ascii="Times New Roman" w:hAnsi="Times New Roman"/>
        </w:rPr>
      </w:pPr>
    </w:p>
    <w:p w14:paraId="25996087" w14:textId="7534EC74" w:rsidR="003D380E" w:rsidRDefault="00F2639F" w:rsidP="00DC3B28">
      <w:pPr>
        <w:tabs>
          <w:tab w:val="left" w:pos="3227"/>
        </w:tabs>
        <w:spacing w:line="480" w:lineRule="auto"/>
        <w:rPr>
          <w:rFonts w:ascii="Times New Roman" w:hAnsi="Times New Roman"/>
        </w:rPr>
      </w:pPr>
      <w:r>
        <w:rPr>
          <w:rFonts w:ascii="Times New Roman" w:hAnsi="Times New Roman"/>
        </w:rPr>
        <w:t xml:space="preserve">The most injected muscles included splenius capitis (81%), sternocleidomastoid </w:t>
      </w:r>
      <w:r w:rsidR="005463EF">
        <w:rPr>
          <w:rFonts w:ascii="Times New Roman" w:hAnsi="Times New Roman"/>
        </w:rPr>
        <w:t xml:space="preserve">(SCM) </w:t>
      </w:r>
      <w:r>
        <w:rPr>
          <w:rFonts w:ascii="Times New Roman" w:hAnsi="Times New Roman"/>
        </w:rPr>
        <w:t xml:space="preserve">(70%), </w:t>
      </w:r>
      <w:r w:rsidR="007C1F55">
        <w:rPr>
          <w:rFonts w:ascii="Times New Roman" w:hAnsi="Times New Roman"/>
        </w:rPr>
        <w:t xml:space="preserve">descending </w:t>
      </w:r>
      <w:r>
        <w:rPr>
          <w:rFonts w:ascii="Times New Roman" w:hAnsi="Times New Roman"/>
        </w:rPr>
        <w:t>trapezius (55%), and levator scapulae (37%) using a mean dose of 119.0</w:t>
      </w:r>
      <w:bookmarkStart w:id="1" w:name="_Hlk107359191"/>
      <w:r w:rsidRPr="007E4C7C">
        <w:rPr>
          <w:rFonts w:ascii="Times New Roman" w:hAnsi="Times New Roman"/>
        </w:rPr>
        <w:t>±</w:t>
      </w:r>
      <w:r>
        <w:rPr>
          <w:rFonts w:ascii="Times New Roman" w:hAnsi="Times New Roman"/>
        </w:rPr>
        <w:t>52.8 U</w:t>
      </w:r>
      <w:bookmarkEnd w:id="1"/>
      <w:r w:rsidR="00F97F1A">
        <w:rPr>
          <w:rFonts w:ascii="Times New Roman" w:hAnsi="Times New Roman"/>
        </w:rPr>
        <w:t xml:space="preserve"> (range: 37.5 – 237.5 U)</w:t>
      </w:r>
      <w:r>
        <w:rPr>
          <w:rFonts w:ascii="Times New Roman" w:hAnsi="Times New Roman"/>
        </w:rPr>
        <w:t>, 101.7</w:t>
      </w:r>
      <w:r w:rsidRPr="007E4C7C">
        <w:rPr>
          <w:rFonts w:ascii="Times New Roman" w:hAnsi="Times New Roman"/>
        </w:rPr>
        <w:t>±</w:t>
      </w:r>
      <w:r>
        <w:rPr>
          <w:rFonts w:ascii="Times New Roman" w:hAnsi="Times New Roman"/>
        </w:rPr>
        <w:t>41.7 U</w:t>
      </w:r>
      <w:r w:rsidR="00F97F1A">
        <w:rPr>
          <w:rFonts w:ascii="Times New Roman" w:hAnsi="Times New Roman"/>
        </w:rPr>
        <w:t xml:space="preserve"> (range: 50 – 175 U)</w:t>
      </w:r>
      <w:r>
        <w:rPr>
          <w:rFonts w:ascii="Times New Roman" w:hAnsi="Times New Roman"/>
        </w:rPr>
        <w:t>, 102.2</w:t>
      </w:r>
      <w:r w:rsidRPr="007E4C7C">
        <w:rPr>
          <w:rFonts w:ascii="Times New Roman" w:hAnsi="Times New Roman"/>
        </w:rPr>
        <w:t>±</w:t>
      </w:r>
      <w:r>
        <w:rPr>
          <w:rFonts w:ascii="Times New Roman" w:hAnsi="Times New Roman"/>
        </w:rPr>
        <w:t>49.3 U</w:t>
      </w:r>
      <w:r w:rsidR="00F97F1A">
        <w:rPr>
          <w:rFonts w:ascii="Times New Roman" w:hAnsi="Times New Roman"/>
        </w:rPr>
        <w:t xml:space="preserve"> (range: 37.5 – 225 U)</w:t>
      </w:r>
      <w:r>
        <w:rPr>
          <w:rFonts w:ascii="Times New Roman" w:hAnsi="Times New Roman"/>
        </w:rPr>
        <w:t xml:space="preserve">, </w:t>
      </w:r>
      <w:r w:rsidR="00272275">
        <w:rPr>
          <w:rFonts w:ascii="Times New Roman" w:hAnsi="Times New Roman"/>
        </w:rPr>
        <w:t xml:space="preserve">and </w:t>
      </w:r>
      <w:r>
        <w:rPr>
          <w:rFonts w:ascii="Times New Roman" w:hAnsi="Times New Roman"/>
        </w:rPr>
        <w:t>93.7</w:t>
      </w:r>
      <w:r w:rsidRPr="007E4C7C">
        <w:rPr>
          <w:rFonts w:ascii="Times New Roman" w:hAnsi="Times New Roman"/>
        </w:rPr>
        <w:t>±</w:t>
      </w:r>
      <w:r>
        <w:rPr>
          <w:rFonts w:ascii="Times New Roman" w:hAnsi="Times New Roman"/>
        </w:rPr>
        <w:t>36.6 U</w:t>
      </w:r>
      <w:r w:rsidR="00F97F1A">
        <w:rPr>
          <w:rFonts w:ascii="Times New Roman" w:hAnsi="Times New Roman"/>
        </w:rPr>
        <w:t xml:space="preserve"> (range: 50 – 175 U)</w:t>
      </w:r>
      <w:r>
        <w:rPr>
          <w:rFonts w:ascii="Times New Roman" w:hAnsi="Times New Roman"/>
        </w:rPr>
        <w:t xml:space="preserve">, respectively. </w:t>
      </w:r>
      <w:r w:rsidR="00214832">
        <w:rPr>
          <w:rFonts w:ascii="Times New Roman" w:hAnsi="Times New Roman"/>
        </w:rPr>
        <w:t>Bilateral injection of the o</w:t>
      </w:r>
      <w:r w:rsidR="00214832" w:rsidRPr="0052110B">
        <w:rPr>
          <w:rFonts w:ascii="Times New Roman" w:hAnsi="Times New Roman"/>
        </w:rPr>
        <w:t>bliquus capitis inferior</w:t>
      </w:r>
      <w:r w:rsidR="00214832">
        <w:rPr>
          <w:rFonts w:ascii="Times New Roman" w:hAnsi="Times New Roman"/>
        </w:rPr>
        <w:t xml:space="preserve"> (OCI)</w:t>
      </w:r>
      <w:r w:rsidR="00214832" w:rsidRPr="0052110B">
        <w:rPr>
          <w:rFonts w:ascii="Times New Roman" w:hAnsi="Times New Roman"/>
        </w:rPr>
        <w:t xml:space="preserve"> muscle</w:t>
      </w:r>
      <w:r w:rsidR="00214832">
        <w:rPr>
          <w:rFonts w:ascii="Times New Roman" w:hAnsi="Times New Roman"/>
        </w:rPr>
        <w:t xml:space="preserve"> was </w:t>
      </w:r>
      <w:r w:rsidR="00E47E53">
        <w:rPr>
          <w:rFonts w:ascii="Times New Roman" w:hAnsi="Times New Roman"/>
        </w:rPr>
        <w:t>included</w:t>
      </w:r>
      <w:r w:rsidR="00214832">
        <w:rPr>
          <w:rFonts w:ascii="Times New Roman" w:hAnsi="Times New Roman"/>
        </w:rPr>
        <w:t xml:space="preserve"> for </w:t>
      </w:r>
      <w:r w:rsidR="00E47E53">
        <w:rPr>
          <w:rFonts w:ascii="Times New Roman" w:hAnsi="Times New Roman"/>
        </w:rPr>
        <w:t xml:space="preserve">a total of </w:t>
      </w:r>
      <w:r w:rsidR="00214832">
        <w:rPr>
          <w:rFonts w:ascii="Times New Roman" w:hAnsi="Times New Roman"/>
        </w:rPr>
        <w:t xml:space="preserve">8 (30%) participants </w:t>
      </w:r>
      <w:r w:rsidR="005B2050">
        <w:rPr>
          <w:rFonts w:ascii="Times New Roman" w:hAnsi="Times New Roman"/>
        </w:rPr>
        <w:t xml:space="preserve">presenting with a </w:t>
      </w:r>
      <w:r w:rsidR="00214832">
        <w:rPr>
          <w:rFonts w:ascii="Times New Roman" w:hAnsi="Times New Roman"/>
        </w:rPr>
        <w:t xml:space="preserve">rotational </w:t>
      </w:r>
      <w:r w:rsidR="00B50C55">
        <w:rPr>
          <w:rFonts w:ascii="Times New Roman" w:hAnsi="Times New Roman"/>
        </w:rPr>
        <w:t xml:space="preserve">caput </w:t>
      </w:r>
      <w:r w:rsidR="00214832">
        <w:rPr>
          <w:rFonts w:ascii="Times New Roman" w:hAnsi="Times New Roman"/>
        </w:rPr>
        <w:t>tremor at a mean dose of 61.7</w:t>
      </w:r>
      <w:r w:rsidR="00214832" w:rsidRPr="00133307">
        <w:rPr>
          <w:rFonts w:ascii="Times New Roman" w:hAnsi="Times New Roman"/>
          <w:lang w:val="en-CA"/>
        </w:rPr>
        <w:t>±</w:t>
      </w:r>
      <w:r w:rsidR="00214832">
        <w:rPr>
          <w:rFonts w:ascii="Times New Roman" w:hAnsi="Times New Roman"/>
          <w:lang w:val="en-CA"/>
        </w:rPr>
        <w:t xml:space="preserve">12.9 </w:t>
      </w:r>
      <w:r w:rsidR="00214832">
        <w:rPr>
          <w:rFonts w:ascii="Times New Roman" w:hAnsi="Times New Roman"/>
        </w:rPr>
        <w:t xml:space="preserve">U </w:t>
      </w:r>
      <w:r w:rsidR="00B50C55">
        <w:rPr>
          <w:rFonts w:ascii="Times New Roman" w:hAnsi="Times New Roman"/>
        </w:rPr>
        <w:t>(range: 50 – 75 U)</w:t>
      </w:r>
      <w:r w:rsidR="00214832">
        <w:rPr>
          <w:rFonts w:ascii="Times New Roman" w:hAnsi="Times New Roman"/>
        </w:rPr>
        <w:t xml:space="preserve">. </w:t>
      </w:r>
      <w:r w:rsidR="0001545F">
        <w:rPr>
          <w:rFonts w:ascii="Times New Roman" w:hAnsi="Times New Roman"/>
        </w:rPr>
        <w:t>The individual injection patterns of the 1</w:t>
      </w:r>
      <w:r w:rsidR="0001545F" w:rsidRPr="00345733">
        <w:rPr>
          <w:rFonts w:ascii="Times New Roman" w:hAnsi="Times New Roman"/>
          <w:vertAlign w:val="superscript"/>
        </w:rPr>
        <w:t>st</w:t>
      </w:r>
      <w:r w:rsidR="0001545F">
        <w:rPr>
          <w:rFonts w:ascii="Times New Roman" w:hAnsi="Times New Roman"/>
        </w:rPr>
        <w:t xml:space="preserve"> abo-BoNT-A and the optimized 3</w:t>
      </w:r>
      <w:r w:rsidR="0001545F" w:rsidRPr="00345733">
        <w:rPr>
          <w:rFonts w:ascii="Times New Roman" w:hAnsi="Times New Roman"/>
          <w:vertAlign w:val="superscript"/>
        </w:rPr>
        <w:t>rd</w:t>
      </w:r>
      <w:r w:rsidR="0001545F">
        <w:rPr>
          <w:rFonts w:ascii="Times New Roman" w:hAnsi="Times New Roman"/>
        </w:rPr>
        <w:t xml:space="preserve"> abo-BoNT-A treatment cycles are summarized in </w:t>
      </w:r>
      <w:r w:rsidR="00D67F8B">
        <w:rPr>
          <w:rFonts w:ascii="Times New Roman" w:hAnsi="Times New Roman"/>
        </w:rPr>
        <w:t xml:space="preserve">supplementary material </w:t>
      </w:r>
      <w:r w:rsidR="008E17DF">
        <w:rPr>
          <w:rFonts w:ascii="Times New Roman" w:hAnsi="Times New Roman"/>
        </w:rPr>
        <w:t>(</w:t>
      </w:r>
      <w:r w:rsidR="0001545F">
        <w:rPr>
          <w:rFonts w:ascii="Times New Roman" w:hAnsi="Times New Roman"/>
        </w:rPr>
        <w:t xml:space="preserve">Table </w:t>
      </w:r>
      <w:r w:rsidR="00DC6233">
        <w:rPr>
          <w:rFonts w:ascii="Times New Roman" w:hAnsi="Times New Roman"/>
        </w:rPr>
        <w:t>2</w:t>
      </w:r>
      <w:r w:rsidR="0005351B">
        <w:rPr>
          <w:rFonts w:ascii="Times New Roman" w:hAnsi="Times New Roman"/>
        </w:rPr>
        <w:t xml:space="preserve"> </w:t>
      </w:r>
      <w:r w:rsidR="008E17DF">
        <w:rPr>
          <w:rFonts w:ascii="Times New Roman" w:hAnsi="Times New Roman"/>
        </w:rPr>
        <w:t>)</w:t>
      </w:r>
      <w:r w:rsidR="0001545F">
        <w:rPr>
          <w:rFonts w:ascii="Times New Roman" w:hAnsi="Times New Roman"/>
        </w:rPr>
        <w:t>.</w:t>
      </w:r>
    </w:p>
    <w:p w14:paraId="3BC00A17" w14:textId="01BEB7D0" w:rsidR="003D380E" w:rsidRDefault="003D380E" w:rsidP="00DC3B28">
      <w:pPr>
        <w:tabs>
          <w:tab w:val="left" w:pos="3227"/>
        </w:tabs>
        <w:spacing w:line="480" w:lineRule="auto"/>
        <w:rPr>
          <w:rFonts w:ascii="Times New Roman" w:hAnsi="Times New Roman"/>
        </w:rPr>
      </w:pPr>
    </w:p>
    <w:p w14:paraId="35F1900F" w14:textId="01BEB726" w:rsidR="00A25041" w:rsidRDefault="004F6D47" w:rsidP="00DC3B28">
      <w:pPr>
        <w:tabs>
          <w:tab w:val="left" w:pos="3227"/>
        </w:tabs>
        <w:spacing w:line="480" w:lineRule="auto"/>
        <w:rPr>
          <w:rFonts w:ascii="Times New Roman" w:hAnsi="Times New Roman"/>
        </w:rPr>
      </w:pPr>
      <w:r>
        <w:rPr>
          <w:rFonts w:ascii="Times New Roman" w:hAnsi="Times New Roman"/>
        </w:rPr>
        <w:t xml:space="preserve">Following the </w:t>
      </w:r>
      <w:r w:rsidR="00EE1E10">
        <w:rPr>
          <w:rFonts w:ascii="Times New Roman" w:hAnsi="Times New Roman"/>
        </w:rPr>
        <w:t>completion of this study</w:t>
      </w:r>
      <w:r>
        <w:rPr>
          <w:rFonts w:ascii="Times New Roman" w:hAnsi="Times New Roman"/>
        </w:rPr>
        <w:t xml:space="preserve">, 26 out of the 27 participants chose to </w:t>
      </w:r>
      <w:r w:rsidR="00EE1E10">
        <w:rPr>
          <w:rFonts w:ascii="Times New Roman" w:hAnsi="Times New Roman"/>
        </w:rPr>
        <w:t xml:space="preserve">continue receiving </w:t>
      </w:r>
      <w:r w:rsidR="00EF0265">
        <w:rPr>
          <w:rFonts w:ascii="Times New Roman" w:hAnsi="Times New Roman"/>
        </w:rPr>
        <w:t>a</w:t>
      </w:r>
      <w:r w:rsidR="003079CB">
        <w:rPr>
          <w:rFonts w:ascii="Times New Roman" w:hAnsi="Times New Roman"/>
        </w:rPr>
        <w:t>bo-BoNT-A</w:t>
      </w:r>
      <w:r>
        <w:rPr>
          <w:rFonts w:ascii="Times New Roman" w:hAnsi="Times New Roman"/>
        </w:rPr>
        <w:t xml:space="preserve"> </w:t>
      </w:r>
      <w:r w:rsidR="00EE1E10">
        <w:rPr>
          <w:rFonts w:ascii="Times New Roman" w:hAnsi="Times New Roman"/>
        </w:rPr>
        <w:t xml:space="preserve">therapy </w:t>
      </w:r>
      <w:r>
        <w:rPr>
          <w:rFonts w:ascii="Times New Roman" w:hAnsi="Times New Roman"/>
        </w:rPr>
        <w:t xml:space="preserve">in the clinic. The reasons for continuing with </w:t>
      </w:r>
      <w:r w:rsidR="003079CB">
        <w:rPr>
          <w:rFonts w:ascii="Times New Roman" w:hAnsi="Times New Roman"/>
        </w:rPr>
        <w:t>abo-BoNT-A</w:t>
      </w:r>
      <w:r>
        <w:rPr>
          <w:rFonts w:ascii="Times New Roman" w:hAnsi="Times New Roman"/>
        </w:rPr>
        <w:t xml:space="preserve"> </w:t>
      </w:r>
      <w:r w:rsidR="00E37F66">
        <w:rPr>
          <w:rFonts w:ascii="Times New Roman" w:hAnsi="Times New Roman"/>
        </w:rPr>
        <w:t>included a</w:t>
      </w:r>
      <w:r w:rsidRPr="004F6D47">
        <w:rPr>
          <w:rFonts w:ascii="Times New Roman" w:hAnsi="Times New Roman"/>
        </w:rPr>
        <w:t xml:space="preserve"> </w:t>
      </w:r>
      <w:r>
        <w:rPr>
          <w:rFonts w:ascii="Times New Roman" w:hAnsi="Times New Roman"/>
        </w:rPr>
        <w:t xml:space="preserve">faster </w:t>
      </w:r>
      <w:r w:rsidR="00D17F56">
        <w:rPr>
          <w:rFonts w:ascii="Times New Roman" w:hAnsi="Times New Roman"/>
        </w:rPr>
        <w:t xml:space="preserve">speed of </w:t>
      </w:r>
      <w:r>
        <w:rPr>
          <w:rFonts w:ascii="Times New Roman" w:hAnsi="Times New Roman"/>
        </w:rPr>
        <w:t>onset</w:t>
      </w:r>
      <w:r w:rsidR="001E4F14">
        <w:rPr>
          <w:rFonts w:ascii="Times New Roman" w:hAnsi="Times New Roman"/>
        </w:rPr>
        <w:t xml:space="preserve"> (n=8</w:t>
      </w:r>
      <w:r w:rsidR="006006D8">
        <w:rPr>
          <w:rFonts w:ascii="Times New Roman" w:hAnsi="Times New Roman"/>
        </w:rPr>
        <w:t>; 31%</w:t>
      </w:r>
      <w:r w:rsidR="001E4F14">
        <w:rPr>
          <w:rFonts w:ascii="Times New Roman" w:hAnsi="Times New Roman"/>
        </w:rPr>
        <w:t>)</w:t>
      </w:r>
      <w:r>
        <w:rPr>
          <w:rFonts w:ascii="Times New Roman" w:hAnsi="Times New Roman"/>
        </w:rPr>
        <w:t>, perceived better relief of CD symptoms</w:t>
      </w:r>
      <w:r w:rsidR="001E4F14">
        <w:rPr>
          <w:rFonts w:ascii="Times New Roman" w:hAnsi="Times New Roman"/>
        </w:rPr>
        <w:t xml:space="preserve"> (</w:t>
      </w:r>
      <w:r w:rsidR="006006D8">
        <w:rPr>
          <w:rFonts w:ascii="Times New Roman" w:hAnsi="Times New Roman"/>
        </w:rPr>
        <w:t xml:space="preserve">n=25; 96%), </w:t>
      </w:r>
      <w:r>
        <w:rPr>
          <w:rFonts w:ascii="Times New Roman" w:hAnsi="Times New Roman"/>
        </w:rPr>
        <w:t>increased waning time</w:t>
      </w:r>
      <w:r w:rsidR="006006D8">
        <w:rPr>
          <w:rFonts w:ascii="Times New Roman" w:hAnsi="Times New Roman"/>
        </w:rPr>
        <w:t xml:space="preserve"> (n=25; 96%)</w:t>
      </w:r>
      <w:r>
        <w:rPr>
          <w:rFonts w:ascii="Times New Roman" w:hAnsi="Times New Roman"/>
        </w:rPr>
        <w:t>, and gradual wear-off</w:t>
      </w:r>
      <w:r w:rsidR="00E37F66">
        <w:rPr>
          <w:rFonts w:ascii="Times New Roman" w:hAnsi="Times New Roman"/>
        </w:rPr>
        <w:t xml:space="preserve"> (n=6</w:t>
      </w:r>
      <w:r w:rsidR="006006D8">
        <w:rPr>
          <w:rFonts w:ascii="Times New Roman" w:hAnsi="Times New Roman"/>
        </w:rPr>
        <w:t>; 23%</w:t>
      </w:r>
      <w:r w:rsidR="00E37F66">
        <w:rPr>
          <w:rFonts w:ascii="Times New Roman" w:hAnsi="Times New Roman"/>
        </w:rPr>
        <w:t>) compared to their original BoNT-A</w:t>
      </w:r>
      <w:r>
        <w:rPr>
          <w:rFonts w:ascii="Times New Roman" w:hAnsi="Times New Roman"/>
        </w:rPr>
        <w:t xml:space="preserve">. </w:t>
      </w:r>
      <w:r w:rsidR="001C6EA5">
        <w:rPr>
          <w:rFonts w:ascii="Times New Roman" w:hAnsi="Times New Roman"/>
        </w:rPr>
        <w:t>One of the 27 participants continued to receive their original BoNT-A (</w:t>
      </w:r>
      <w:r w:rsidR="003079CB">
        <w:rPr>
          <w:rFonts w:ascii="Times New Roman" w:hAnsi="Times New Roman"/>
        </w:rPr>
        <w:t>ona-BoNT-A</w:t>
      </w:r>
      <w:r w:rsidR="001C6EA5">
        <w:rPr>
          <w:rFonts w:ascii="Times New Roman" w:hAnsi="Times New Roman"/>
        </w:rPr>
        <w:t xml:space="preserve">) </w:t>
      </w:r>
      <w:r w:rsidR="007B5D24">
        <w:rPr>
          <w:rFonts w:ascii="Times New Roman" w:hAnsi="Times New Roman"/>
        </w:rPr>
        <w:t xml:space="preserve">in the clinic </w:t>
      </w:r>
      <w:r w:rsidR="001C6EA5">
        <w:rPr>
          <w:rFonts w:ascii="Times New Roman" w:hAnsi="Times New Roman"/>
        </w:rPr>
        <w:t xml:space="preserve">due to </w:t>
      </w:r>
      <w:r w:rsidR="003D380E">
        <w:rPr>
          <w:rFonts w:ascii="Times New Roman" w:hAnsi="Times New Roman"/>
        </w:rPr>
        <w:t xml:space="preserve">perceiving </w:t>
      </w:r>
      <w:r w:rsidR="00FF1B17">
        <w:rPr>
          <w:rFonts w:ascii="Times New Roman" w:hAnsi="Times New Roman"/>
        </w:rPr>
        <w:t xml:space="preserve">increased </w:t>
      </w:r>
      <w:r w:rsidR="003D380E">
        <w:rPr>
          <w:rFonts w:ascii="Times New Roman" w:hAnsi="Times New Roman"/>
        </w:rPr>
        <w:t>pain</w:t>
      </w:r>
      <w:r w:rsidR="001C6EA5">
        <w:rPr>
          <w:rFonts w:ascii="Times New Roman" w:hAnsi="Times New Roman"/>
        </w:rPr>
        <w:t xml:space="preserve"> with </w:t>
      </w:r>
      <w:r w:rsidR="003079CB">
        <w:rPr>
          <w:rFonts w:ascii="Times New Roman" w:hAnsi="Times New Roman"/>
        </w:rPr>
        <w:t>abo-BoNT-A</w:t>
      </w:r>
      <w:r w:rsidR="001C6EA5">
        <w:rPr>
          <w:rFonts w:ascii="Times New Roman" w:hAnsi="Times New Roman"/>
        </w:rPr>
        <w:t xml:space="preserve"> </w:t>
      </w:r>
      <w:r w:rsidR="002149AC">
        <w:rPr>
          <w:rFonts w:ascii="Times New Roman" w:hAnsi="Times New Roman"/>
        </w:rPr>
        <w:t>injections</w:t>
      </w:r>
      <w:r w:rsidR="001C6EA5">
        <w:rPr>
          <w:rFonts w:ascii="Times New Roman" w:hAnsi="Times New Roman"/>
        </w:rPr>
        <w:t xml:space="preserve">. </w:t>
      </w:r>
    </w:p>
    <w:p w14:paraId="744026C2" w14:textId="77777777" w:rsidR="007E4102" w:rsidRPr="00345733" w:rsidRDefault="007E4102" w:rsidP="006F2109">
      <w:pPr>
        <w:tabs>
          <w:tab w:val="left" w:pos="3227"/>
        </w:tabs>
        <w:spacing w:line="480" w:lineRule="auto"/>
        <w:rPr>
          <w:rFonts w:ascii="Times New Roman" w:hAnsi="Times New Roman"/>
          <w:lang w:val="en-CA"/>
        </w:rPr>
      </w:pPr>
    </w:p>
    <w:p w14:paraId="1FF9997B" w14:textId="64158F3A" w:rsidR="007E4102" w:rsidRDefault="007E4102" w:rsidP="006F2109">
      <w:pPr>
        <w:tabs>
          <w:tab w:val="left" w:pos="3227"/>
        </w:tabs>
        <w:spacing w:line="480" w:lineRule="auto"/>
        <w:rPr>
          <w:rFonts w:ascii="Times New Roman" w:hAnsi="Times New Roman"/>
          <w:i/>
          <w:iCs/>
        </w:rPr>
      </w:pPr>
      <w:r>
        <w:rPr>
          <w:rFonts w:ascii="Times New Roman" w:hAnsi="Times New Roman"/>
          <w:i/>
          <w:iCs/>
        </w:rPr>
        <w:t>Safety data</w:t>
      </w:r>
    </w:p>
    <w:p w14:paraId="30E8E562" w14:textId="6553E89D" w:rsidR="004E6281" w:rsidRDefault="008527E5" w:rsidP="006F2109">
      <w:pPr>
        <w:tabs>
          <w:tab w:val="left" w:pos="3227"/>
        </w:tabs>
        <w:spacing w:line="480" w:lineRule="auto"/>
        <w:rPr>
          <w:rFonts w:ascii="Times New Roman" w:hAnsi="Times New Roman"/>
        </w:rPr>
      </w:pPr>
      <w:r>
        <w:rPr>
          <w:rFonts w:ascii="Times New Roman" w:hAnsi="Times New Roman"/>
        </w:rPr>
        <w:t xml:space="preserve">Incidence of </w:t>
      </w:r>
      <w:r w:rsidR="00DE56D6">
        <w:rPr>
          <w:rFonts w:ascii="Times New Roman" w:hAnsi="Times New Roman"/>
        </w:rPr>
        <w:t>adverse events</w:t>
      </w:r>
      <w:r w:rsidR="00905B4B">
        <w:rPr>
          <w:rFonts w:ascii="Times New Roman" w:hAnsi="Times New Roman"/>
        </w:rPr>
        <w:t xml:space="preserve"> were statistically similar</w:t>
      </w:r>
      <w:r w:rsidR="009248C8">
        <w:rPr>
          <w:rFonts w:ascii="Times New Roman" w:hAnsi="Times New Roman"/>
        </w:rPr>
        <w:t xml:space="preserve"> </w:t>
      </w:r>
      <w:r w:rsidR="00905B4B">
        <w:rPr>
          <w:rFonts w:ascii="Times New Roman" w:hAnsi="Times New Roman"/>
        </w:rPr>
        <w:t>following</w:t>
      </w:r>
      <w:r w:rsidR="009248C8">
        <w:rPr>
          <w:rFonts w:ascii="Times New Roman" w:hAnsi="Times New Roman"/>
        </w:rPr>
        <w:t xml:space="preserve"> the last clinic injection and the 4 study injections</w:t>
      </w:r>
      <w:r w:rsidR="00905B4B">
        <w:rPr>
          <w:rFonts w:ascii="Times New Roman" w:hAnsi="Times New Roman"/>
        </w:rPr>
        <w:t>,</w:t>
      </w:r>
      <w:r w:rsidR="009248C8">
        <w:rPr>
          <w:rFonts w:ascii="Times New Roman" w:hAnsi="Times New Roman"/>
        </w:rPr>
        <w:t xml:space="preserve"> displayed in </w:t>
      </w:r>
      <w:r w:rsidR="008E17DF">
        <w:rPr>
          <w:rFonts w:ascii="Times New Roman" w:hAnsi="Times New Roman"/>
        </w:rPr>
        <w:t>(</w:t>
      </w:r>
      <w:r w:rsidR="009248C8">
        <w:rPr>
          <w:rFonts w:ascii="Times New Roman" w:hAnsi="Times New Roman"/>
        </w:rPr>
        <w:t xml:space="preserve">Table </w:t>
      </w:r>
      <w:r w:rsidR="00FA701B">
        <w:rPr>
          <w:rFonts w:ascii="Times New Roman" w:hAnsi="Times New Roman"/>
        </w:rPr>
        <w:t>2</w:t>
      </w:r>
      <w:r w:rsidR="008E17DF">
        <w:rPr>
          <w:rFonts w:ascii="Times New Roman" w:hAnsi="Times New Roman"/>
        </w:rPr>
        <w:t>)</w:t>
      </w:r>
      <w:r w:rsidR="009248C8">
        <w:rPr>
          <w:rFonts w:ascii="Times New Roman" w:hAnsi="Times New Roman"/>
        </w:rPr>
        <w:t xml:space="preserve">. Dysphagia and </w:t>
      </w:r>
      <w:r w:rsidR="002C47AD">
        <w:rPr>
          <w:rFonts w:ascii="Times New Roman" w:hAnsi="Times New Roman"/>
        </w:rPr>
        <w:t>Figure</w:t>
      </w:r>
      <w:r w:rsidR="00135823">
        <w:rPr>
          <w:rFonts w:ascii="Times New Roman" w:hAnsi="Times New Roman"/>
        </w:rPr>
        <w:t>s</w:t>
      </w:r>
      <w:r w:rsidR="002C47AD">
        <w:rPr>
          <w:rFonts w:ascii="Times New Roman" w:hAnsi="Times New Roman"/>
        </w:rPr>
        <w:t xml:space="preserve"> 3-6 and 7 </w:t>
      </w:r>
      <w:r w:rsidR="009248C8">
        <w:rPr>
          <w:rFonts w:ascii="Times New Roman" w:hAnsi="Times New Roman"/>
        </w:rPr>
        <w:t xml:space="preserve">muscle weakness were the two most common adverse events across BoNT-A formulations. </w:t>
      </w:r>
      <w:r w:rsidR="006B764D">
        <w:rPr>
          <w:rFonts w:ascii="Times New Roman" w:hAnsi="Times New Roman"/>
        </w:rPr>
        <w:t xml:space="preserve">To minimize </w:t>
      </w:r>
      <w:r w:rsidR="00DE56D6">
        <w:rPr>
          <w:rFonts w:ascii="Times New Roman" w:hAnsi="Times New Roman"/>
        </w:rPr>
        <w:t xml:space="preserve">the </w:t>
      </w:r>
      <w:r w:rsidR="006B764D">
        <w:rPr>
          <w:rFonts w:ascii="Times New Roman" w:hAnsi="Times New Roman"/>
        </w:rPr>
        <w:t xml:space="preserve">likelihood of dysphagia, </w:t>
      </w:r>
      <w:r w:rsidR="00CE34D9">
        <w:rPr>
          <w:rFonts w:ascii="Times New Roman" w:hAnsi="Times New Roman"/>
        </w:rPr>
        <w:t xml:space="preserve">a decrease in the </w:t>
      </w:r>
      <w:r w:rsidR="006B764D">
        <w:rPr>
          <w:rFonts w:ascii="Times New Roman" w:hAnsi="Times New Roman"/>
        </w:rPr>
        <w:t xml:space="preserve">SCM dose and/or reconstitution concentration </w:t>
      </w:r>
      <w:r w:rsidR="00EF0265">
        <w:rPr>
          <w:rFonts w:ascii="Times New Roman" w:hAnsi="Times New Roman"/>
        </w:rPr>
        <w:t>(</w:t>
      </w:r>
      <w:r w:rsidR="00273C28">
        <w:rPr>
          <w:rFonts w:ascii="Times New Roman" w:hAnsi="Times New Roman"/>
        </w:rPr>
        <w:t xml:space="preserve">e.g. </w:t>
      </w:r>
      <w:r w:rsidR="00EF0265">
        <w:rPr>
          <w:rFonts w:ascii="Times New Roman" w:hAnsi="Times New Roman"/>
        </w:rPr>
        <w:t xml:space="preserve">double concentration) </w:t>
      </w:r>
      <w:r w:rsidR="006B764D">
        <w:rPr>
          <w:rFonts w:ascii="Times New Roman" w:hAnsi="Times New Roman"/>
        </w:rPr>
        <w:t xml:space="preserve">was </w:t>
      </w:r>
      <w:r w:rsidR="00EE566A">
        <w:rPr>
          <w:rFonts w:ascii="Times New Roman" w:hAnsi="Times New Roman"/>
        </w:rPr>
        <w:t xml:space="preserve">Figure 7-9 </w:t>
      </w:r>
      <w:r w:rsidR="00CE34D9">
        <w:rPr>
          <w:rFonts w:ascii="Times New Roman" w:hAnsi="Times New Roman"/>
        </w:rPr>
        <w:t>applied</w:t>
      </w:r>
      <w:r w:rsidR="006B764D">
        <w:rPr>
          <w:rFonts w:ascii="Times New Roman" w:hAnsi="Times New Roman"/>
        </w:rPr>
        <w:t xml:space="preserve">. </w:t>
      </w:r>
      <w:r w:rsidR="009C0D08">
        <w:rPr>
          <w:rFonts w:ascii="Times New Roman" w:hAnsi="Times New Roman"/>
        </w:rPr>
        <w:t>C</w:t>
      </w:r>
      <w:r w:rsidR="006B764D">
        <w:rPr>
          <w:rFonts w:ascii="Times New Roman" w:hAnsi="Times New Roman"/>
        </w:rPr>
        <w:t xml:space="preserve">oncentration of </w:t>
      </w:r>
      <w:r w:rsidR="009C0D08">
        <w:rPr>
          <w:rFonts w:ascii="Times New Roman" w:hAnsi="Times New Roman"/>
        </w:rPr>
        <w:t xml:space="preserve">reconstituted </w:t>
      </w:r>
      <w:r w:rsidR="006B764D">
        <w:rPr>
          <w:rFonts w:ascii="Times New Roman" w:hAnsi="Times New Roman"/>
        </w:rPr>
        <w:t>BoNT-A was changed from single (1:1</w:t>
      </w:r>
      <w:r w:rsidR="0001545F">
        <w:rPr>
          <w:rFonts w:ascii="Times New Roman" w:hAnsi="Times New Roman"/>
        </w:rPr>
        <w:t>; 25 U per 0.1 ml</w:t>
      </w:r>
      <w:r w:rsidR="006B764D">
        <w:rPr>
          <w:rFonts w:ascii="Times New Roman" w:hAnsi="Times New Roman"/>
        </w:rPr>
        <w:t>) to double (1:2</w:t>
      </w:r>
      <w:r w:rsidR="0001545F">
        <w:rPr>
          <w:rFonts w:ascii="Times New Roman" w:hAnsi="Times New Roman"/>
        </w:rPr>
        <w:t>; 50 U per 0.1 ml</w:t>
      </w:r>
      <w:r w:rsidR="006B764D">
        <w:rPr>
          <w:rFonts w:ascii="Times New Roman" w:hAnsi="Times New Roman"/>
        </w:rPr>
        <w:t>) concentration in 3 participants following the 1</w:t>
      </w:r>
      <w:r w:rsidR="006B764D" w:rsidRPr="000175C8">
        <w:rPr>
          <w:rFonts w:ascii="Times New Roman" w:hAnsi="Times New Roman"/>
          <w:vertAlign w:val="superscript"/>
        </w:rPr>
        <w:t>st</w:t>
      </w:r>
      <w:r w:rsidR="006B764D">
        <w:rPr>
          <w:rFonts w:ascii="Times New Roman" w:hAnsi="Times New Roman"/>
        </w:rPr>
        <w:t xml:space="preserve"> injection, 1 participant following the 2</w:t>
      </w:r>
      <w:r w:rsidR="006B764D" w:rsidRPr="0032712D">
        <w:rPr>
          <w:rFonts w:ascii="Times New Roman" w:hAnsi="Times New Roman"/>
          <w:vertAlign w:val="superscript"/>
        </w:rPr>
        <w:t>nd</w:t>
      </w:r>
      <w:r w:rsidR="006B764D">
        <w:rPr>
          <w:rFonts w:ascii="Times New Roman" w:hAnsi="Times New Roman"/>
        </w:rPr>
        <w:t xml:space="preserve"> injection, and 3 participants following the 3</w:t>
      </w:r>
      <w:r w:rsidR="006B764D" w:rsidRPr="000175C8">
        <w:rPr>
          <w:rFonts w:ascii="Times New Roman" w:hAnsi="Times New Roman"/>
          <w:vertAlign w:val="superscript"/>
        </w:rPr>
        <w:t>rd</w:t>
      </w:r>
      <w:r w:rsidR="006B764D">
        <w:rPr>
          <w:rFonts w:ascii="Times New Roman" w:hAnsi="Times New Roman"/>
        </w:rPr>
        <w:t xml:space="preserve"> injection.</w:t>
      </w:r>
      <w:r w:rsidR="009248C8">
        <w:rPr>
          <w:rFonts w:ascii="Times New Roman" w:hAnsi="Times New Roman"/>
        </w:rPr>
        <w:t xml:space="preserve"> </w:t>
      </w:r>
      <w:r w:rsidR="004E6281">
        <w:rPr>
          <w:rFonts w:ascii="Times New Roman" w:hAnsi="Times New Roman"/>
        </w:rPr>
        <w:t>Five of the 33 consented participants, with a history of dysphagia with their original BoNT-A, had worsened dysphagia following the 1</w:t>
      </w:r>
      <w:r w:rsidR="004E6281" w:rsidRPr="000A7024">
        <w:rPr>
          <w:rFonts w:ascii="Times New Roman" w:hAnsi="Times New Roman"/>
          <w:vertAlign w:val="superscript"/>
        </w:rPr>
        <w:t>st</w:t>
      </w:r>
      <w:r w:rsidR="004E6281">
        <w:rPr>
          <w:rFonts w:ascii="Times New Roman" w:hAnsi="Times New Roman"/>
        </w:rPr>
        <w:t xml:space="preserve"> (n=3) and 2</w:t>
      </w:r>
      <w:r w:rsidR="004E6281" w:rsidRPr="004716A9">
        <w:rPr>
          <w:rFonts w:ascii="Times New Roman" w:hAnsi="Times New Roman"/>
          <w:vertAlign w:val="superscript"/>
        </w:rPr>
        <w:t>nd</w:t>
      </w:r>
      <w:r w:rsidR="004E6281">
        <w:rPr>
          <w:rFonts w:ascii="Times New Roman" w:hAnsi="Times New Roman"/>
        </w:rPr>
        <w:t xml:space="preserve"> injection (n=2) and withdrew. </w:t>
      </w:r>
      <w:r w:rsidR="00E265CC">
        <w:rPr>
          <w:rFonts w:ascii="Times New Roman" w:hAnsi="Times New Roman"/>
        </w:rPr>
        <w:t>Of the 5 participants who withdrew due to worsened dysphagia, waning time increased by 24 days (n =1)</w:t>
      </w:r>
      <w:r w:rsidR="00334F57">
        <w:rPr>
          <w:rFonts w:ascii="Times New Roman" w:hAnsi="Times New Roman"/>
        </w:rPr>
        <w:t xml:space="preserve">, </w:t>
      </w:r>
      <w:r w:rsidR="00E265CC">
        <w:rPr>
          <w:rFonts w:ascii="Times New Roman" w:hAnsi="Times New Roman"/>
        </w:rPr>
        <w:t>decreased by 15 days (n = 1</w:t>
      </w:r>
      <w:r w:rsidR="00334F57">
        <w:rPr>
          <w:rFonts w:ascii="Times New Roman" w:hAnsi="Times New Roman"/>
        </w:rPr>
        <w:t>)</w:t>
      </w:r>
      <w:r w:rsidR="003579C8">
        <w:rPr>
          <w:rFonts w:ascii="Times New Roman" w:hAnsi="Times New Roman"/>
        </w:rPr>
        <w:t>,</w:t>
      </w:r>
      <w:r w:rsidR="00334F57">
        <w:rPr>
          <w:rFonts w:ascii="Times New Roman" w:hAnsi="Times New Roman"/>
        </w:rPr>
        <w:t xml:space="preserve"> and</w:t>
      </w:r>
      <w:r w:rsidR="00E265CC">
        <w:rPr>
          <w:rFonts w:ascii="Times New Roman" w:hAnsi="Times New Roman"/>
        </w:rPr>
        <w:t xml:space="preserve"> </w:t>
      </w:r>
      <w:r w:rsidR="00334F57">
        <w:rPr>
          <w:rFonts w:ascii="Times New Roman" w:hAnsi="Times New Roman"/>
        </w:rPr>
        <w:t xml:space="preserve">was </w:t>
      </w:r>
      <w:r w:rsidR="00E265CC">
        <w:rPr>
          <w:rFonts w:ascii="Times New Roman" w:hAnsi="Times New Roman"/>
        </w:rPr>
        <w:t xml:space="preserve">not measured for 3 participants. </w:t>
      </w:r>
      <w:r w:rsidR="004E6281">
        <w:rPr>
          <w:rFonts w:ascii="Times New Roman" w:hAnsi="Times New Roman"/>
        </w:rPr>
        <w:t xml:space="preserve">One of the 33 participants died unrelated to the treatment. </w:t>
      </w:r>
    </w:p>
    <w:p w14:paraId="479F2BD1" w14:textId="77777777" w:rsidR="000A6FD5" w:rsidRPr="009248C8" w:rsidRDefault="000A6FD5" w:rsidP="00D85770">
      <w:pPr>
        <w:tabs>
          <w:tab w:val="left" w:pos="3227"/>
        </w:tabs>
        <w:spacing w:line="480" w:lineRule="auto"/>
        <w:rPr>
          <w:rFonts w:ascii="Times New Roman" w:hAnsi="Times New Roman"/>
          <w:sz w:val="20"/>
          <w:szCs w:val="20"/>
        </w:rPr>
      </w:pPr>
    </w:p>
    <w:p w14:paraId="7DD68845" w14:textId="0A54A0FC" w:rsidR="00503537" w:rsidRPr="00EB389C" w:rsidRDefault="006F2109" w:rsidP="006F2109">
      <w:pPr>
        <w:tabs>
          <w:tab w:val="left" w:pos="3227"/>
        </w:tabs>
        <w:spacing w:line="480" w:lineRule="auto"/>
        <w:rPr>
          <w:rFonts w:ascii="Times New Roman" w:hAnsi="Times New Roman"/>
          <w:b/>
          <w:bCs/>
        </w:rPr>
      </w:pPr>
      <w:r>
        <w:rPr>
          <w:rFonts w:ascii="Times New Roman" w:hAnsi="Times New Roman"/>
          <w:b/>
          <w:bCs/>
        </w:rPr>
        <w:t>Discussion</w:t>
      </w:r>
    </w:p>
    <w:p w14:paraId="7DBCF89F" w14:textId="70E5380E" w:rsidR="00505EE9" w:rsidRDefault="002B5688" w:rsidP="00D6522C">
      <w:pPr>
        <w:tabs>
          <w:tab w:val="left" w:pos="3227"/>
        </w:tabs>
        <w:spacing w:line="480" w:lineRule="auto"/>
        <w:rPr>
          <w:rFonts w:ascii="Times New Roman" w:hAnsi="Times New Roman"/>
        </w:rPr>
      </w:pPr>
      <w:r>
        <w:rPr>
          <w:rFonts w:ascii="Times New Roman" w:hAnsi="Times New Roman"/>
        </w:rPr>
        <w:lastRenderedPageBreak/>
        <w:t xml:space="preserve">This is the first known study to </w:t>
      </w:r>
      <w:r w:rsidR="00EB389C">
        <w:rPr>
          <w:rFonts w:ascii="Times New Roman" w:hAnsi="Times New Roman"/>
        </w:rPr>
        <w:t xml:space="preserve">demonstrate </w:t>
      </w:r>
      <w:r w:rsidR="003579C8">
        <w:rPr>
          <w:rFonts w:ascii="Times New Roman" w:hAnsi="Times New Roman"/>
        </w:rPr>
        <w:t>a</w:t>
      </w:r>
      <w:r w:rsidR="003079CB">
        <w:rPr>
          <w:rFonts w:ascii="Times New Roman" w:hAnsi="Times New Roman"/>
        </w:rPr>
        <w:t>bo-BoNT-A</w:t>
      </w:r>
      <w:r w:rsidR="00EB389C">
        <w:rPr>
          <w:rFonts w:ascii="Times New Roman" w:hAnsi="Times New Roman"/>
        </w:rPr>
        <w:t xml:space="preserve"> therapy </w:t>
      </w:r>
      <w:r w:rsidR="00BE456B">
        <w:rPr>
          <w:rFonts w:ascii="Times New Roman" w:hAnsi="Times New Roman"/>
        </w:rPr>
        <w:t xml:space="preserve">in </w:t>
      </w:r>
      <w:r w:rsidR="00923F82">
        <w:rPr>
          <w:rFonts w:ascii="Times New Roman" w:hAnsi="Times New Roman"/>
        </w:rPr>
        <w:t xml:space="preserve">chronically injected </w:t>
      </w:r>
      <w:r w:rsidR="00FF6028">
        <w:rPr>
          <w:rFonts w:ascii="Times New Roman" w:hAnsi="Times New Roman"/>
        </w:rPr>
        <w:t xml:space="preserve">CD </w:t>
      </w:r>
      <w:r w:rsidR="00BE456B">
        <w:rPr>
          <w:rFonts w:ascii="Times New Roman" w:hAnsi="Times New Roman"/>
        </w:rPr>
        <w:t xml:space="preserve">patients </w:t>
      </w:r>
      <w:r w:rsidR="00EB389C">
        <w:rPr>
          <w:rFonts w:ascii="Times New Roman" w:hAnsi="Times New Roman"/>
        </w:rPr>
        <w:t xml:space="preserve">has a significantly longer waning time </w:t>
      </w:r>
      <w:r w:rsidR="00484585">
        <w:rPr>
          <w:rFonts w:ascii="Times New Roman" w:hAnsi="Times New Roman"/>
        </w:rPr>
        <w:t xml:space="preserve">(+12 – 22 days) </w:t>
      </w:r>
      <w:r w:rsidR="00EB389C">
        <w:rPr>
          <w:rFonts w:ascii="Times New Roman" w:hAnsi="Times New Roman"/>
        </w:rPr>
        <w:t xml:space="preserve">compared to </w:t>
      </w:r>
      <w:r w:rsidR="006A0704">
        <w:rPr>
          <w:rFonts w:ascii="Times New Roman" w:hAnsi="Times New Roman"/>
        </w:rPr>
        <w:t xml:space="preserve">the </w:t>
      </w:r>
      <w:r w:rsidR="00EB389C">
        <w:rPr>
          <w:rFonts w:ascii="Times New Roman" w:hAnsi="Times New Roman"/>
        </w:rPr>
        <w:t>patients</w:t>
      </w:r>
      <w:r w:rsidR="00C07C7E">
        <w:rPr>
          <w:rFonts w:ascii="Times New Roman" w:hAnsi="Times New Roman"/>
        </w:rPr>
        <w:t>’</w:t>
      </w:r>
      <w:r w:rsidR="00EB389C">
        <w:rPr>
          <w:rFonts w:ascii="Times New Roman" w:hAnsi="Times New Roman"/>
        </w:rPr>
        <w:t xml:space="preserve"> </w:t>
      </w:r>
      <w:r>
        <w:rPr>
          <w:rFonts w:ascii="Times New Roman" w:hAnsi="Times New Roman"/>
        </w:rPr>
        <w:t>original BoNT-A formulation (</w:t>
      </w:r>
      <w:r w:rsidR="003579C8">
        <w:rPr>
          <w:rFonts w:ascii="Times New Roman" w:hAnsi="Times New Roman"/>
        </w:rPr>
        <w:t>o</w:t>
      </w:r>
      <w:r w:rsidR="003079CB">
        <w:rPr>
          <w:rFonts w:ascii="Times New Roman" w:hAnsi="Times New Roman"/>
        </w:rPr>
        <w:t>na-BoNT-A</w:t>
      </w:r>
      <w:r>
        <w:rPr>
          <w:rFonts w:ascii="Times New Roman" w:hAnsi="Times New Roman"/>
        </w:rPr>
        <w:t>/</w:t>
      </w:r>
      <w:r w:rsidR="003579C8">
        <w:rPr>
          <w:rFonts w:ascii="Times New Roman" w:hAnsi="Times New Roman"/>
        </w:rPr>
        <w:t>i</w:t>
      </w:r>
      <w:r w:rsidR="003079CB">
        <w:rPr>
          <w:rFonts w:ascii="Times New Roman" w:hAnsi="Times New Roman"/>
        </w:rPr>
        <w:t>nco-BoNT-A</w:t>
      </w:r>
      <w:r>
        <w:rPr>
          <w:rFonts w:ascii="Times New Roman" w:hAnsi="Times New Roman"/>
        </w:rPr>
        <w:t>)</w:t>
      </w:r>
      <w:r w:rsidR="00EB389C">
        <w:rPr>
          <w:rFonts w:ascii="Times New Roman" w:hAnsi="Times New Roman"/>
        </w:rPr>
        <w:t xml:space="preserve"> </w:t>
      </w:r>
      <w:r w:rsidR="0007414C">
        <w:rPr>
          <w:rFonts w:ascii="Times New Roman" w:hAnsi="Times New Roman"/>
        </w:rPr>
        <w:t>waning time of ≤ 8 weeks</w:t>
      </w:r>
      <w:r>
        <w:rPr>
          <w:rFonts w:ascii="Times New Roman" w:hAnsi="Times New Roman"/>
        </w:rPr>
        <w:t xml:space="preserve">. </w:t>
      </w:r>
      <w:r w:rsidR="00FF6028">
        <w:rPr>
          <w:rFonts w:ascii="Times New Roman" w:hAnsi="Times New Roman"/>
        </w:rPr>
        <w:t>Waning time continued to increase following the optimization of dosing patterns at the 2</w:t>
      </w:r>
      <w:r w:rsidR="00FF6028" w:rsidRPr="00FF6028">
        <w:rPr>
          <w:rFonts w:ascii="Times New Roman" w:hAnsi="Times New Roman"/>
          <w:vertAlign w:val="superscript"/>
        </w:rPr>
        <w:t>nd</w:t>
      </w:r>
      <w:r w:rsidR="00FF6028">
        <w:rPr>
          <w:rFonts w:ascii="Times New Roman" w:hAnsi="Times New Roman"/>
        </w:rPr>
        <w:t xml:space="preserve"> and 3</w:t>
      </w:r>
      <w:r w:rsidR="00FF6028" w:rsidRPr="00FF6028">
        <w:rPr>
          <w:rFonts w:ascii="Times New Roman" w:hAnsi="Times New Roman"/>
          <w:vertAlign w:val="superscript"/>
        </w:rPr>
        <w:t>rd</w:t>
      </w:r>
      <w:r w:rsidR="00FF6028">
        <w:rPr>
          <w:rFonts w:ascii="Times New Roman" w:hAnsi="Times New Roman"/>
        </w:rPr>
        <w:t xml:space="preserve"> </w:t>
      </w:r>
      <w:r w:rsidR="003579C8">
        <w:rPr>
          <w:rFonts w:ascii="Times New Roman" w:hAnsi="Times New Roman"/>
        </w:rPr>
        <w:t>a</w:t>
      </w:r>
      <w:r w:rsidR="003079CB">
        <w:rPr>
          <w:rFonts w:ascii="Times New Roman" w:hAnsi="Times New Roman"/>
        </w:rPr>
        <w:t>bo-BoNT-A</w:t>
      </w:r>
      <w:r w:rsidR="00FF6028">
        <w:rPr>
          <w:rFonts w:ascii="Times New Roman" w:hAnsi="Times New Roman"/>
        </w:rPr>
        <w:t xml:space="preserve"> treatment cycles. </w:t>
      </w:r>
      <w:r w:rsidR="009B58BA">
        <w:rPr>
          <w:rFonts w:ascii="Times New Roman" w:hAnsi="Times New Roman"/>
        </w:rPr>
        <w:t xml:space="preserve">As </w:t>
      </w:r>
      <w:r w:rsidR="003236B9">
        <w:rPr>
          <w:rFonts w:ascii="Times New Roman" w:hAnsi="Times New Roman"/>
          <w:shd w:val="clear" w:color="auto" w:fill="FFFFFF"/>
        </w:rPr>
        <w:t>S</w:t>
      </w:r>
      <w:r w:rsidR="003236B9" w:rsidRPr="003236B9">
        <w:rPr>
          <w:rFonts w:ascii="Times New Roman" w:hAnsi="Times New Roman"/>
          <w:shd w:val="clear" w:color="auto" w:fill="FFFFFF"/>
        </w:rPr>
        <w:t xml:space="preserve">upplementary figure </w:t>
      </w:r>
      <w:r w:rsidR="003236B9">
        <w:rPr>
          <w:rFonts w:ascii="Times New Roman" w:hAnsi="Times New Roman"/>
          <w:shd w:val="clear" w:color="auto" w:fill="FFFFFF"/>
        </w:rPr>
        <w:t>10</w:t>
      </w:r>
      <w:r w:rsidR="003236B9">
        <w:rPr>
          <w:rFonts w:ascii="Times New Roman" w:hAnsi="Times New Roman"/>
        </w:rPr>
        <w:t xml:space="preserve"> </w:t>
      </w:r>
      <w:r w:rsidR="009B58BA">
        <w:rPr>
          <w:rFonts w:ascii="Times New Roman" w:hAnsi="Times New Roman"/>
        </w:rPr>
        <w:t>optimization involves chang</w:t>
      </w:r>
      <w:r w:rsidR="00414629">
        <w:rPr>
          <w:rFonts w:ascii="Times New Roman" w:hAnsi="Times New Roman"/>
        </w:rPr>
        <w:t xml:space="preserve">ing </w:t>
      </w:r>
      <w:r w:rsidR="00EF49AB">
        <w:rPr>
          <w:rFonts w:ascii="Times New Roman" w:hAnsi="Times New Roman"/>
        </w:rPr>
        <w:t xml:space="preserve">dosages and </w:t>
      </w:r>
      <w:r w:rsidR="00FE5F55">
        <w:rPr>
          <w:rFonts w:ascii="Times New Roman" w:hAnsi="Times New Roman"/>
        </w:rPr>
        <w:t xml:space="preserve">the </w:t>
      </w:r>
      <w:r w:rsidR="009B58BA">
        <w:rPr>
          <w:rFonts w:ascii="Times New Roman" w:hAnsi="Times New Roman"/>
        </w:rPr>
        <w:t xml:space="preserve">muscles injected </w:t>
      </w:r>
      <w:r w:rsidR="00EE14D1">
        <w:rPr>
          <w:rFonts w:ascii="Times New Roman" w:hAnsi="Times New Roman"/>
        </w:rPr>
        <w:t xml:space="preserve">and </w:t>
      </w:r>
      <w:r w:rsidR="00B67D02">
        <w:rPr>
          <w:rFonts w:ascii="Times New Roman" w:hAnsi="Times New Roman"/>
        </w:rPr>
        <w:t>aims to improve treatment outcomes</w:t>
      </w:r>
      <w:r w:rsidR="009B58BA">
        <w:rPr>
          <w:rFonts w:ascii="Times New Roman" w:hAnsi="Times New Roman"/>
        </w:rPr>
        <w:t xml:space="preserve">, it was necessary to convert patients back to their original BoNT-A formulation using the same optimized </w:t>
      </w:r>
      <w:r w:rsidR="00923F82">
        <w:rPr>
          <w:rFonts w:ascii="Times New Roman" w:hAnsi="Times New Roman"/>
        </w:rPr>
        <w:t xml:space="preserve">dose and </w:t>
      </w:r>
      <w:r w:rsidR="009B58BA">
        <w:rPr>
          <w:rFonts w:ascii="Times New Roman" w:hAnsi="Times New Roman"/>
        </w:rPr>
        <w:t>injection pattern</w:t>
      </w:r>
      <w:r w:rsidR="003B7C0D">
        <w:rPr>
          <w:rFonts w:ascii="Times New Roman" w:hAnsi="Times New Roman"/>
        </w:rPr>
        <w:t xml:space="preserve"> </w:t>
      </w:r>
      <w:r w:rsidR="00A57146">
        <w:rPr>
          <w:rFonts w:ascii="Times New Roman" w:hAnsi="Times New Roman"/>
        </w:rPr>
        <w:t>from</w:t>
      </w:r>
      <w:r w:rsidR="003B7C0D">
        <w:rPr>
          <w:rFonts w:ascii="Times New Roman" w:hAnsi="Times New Roman"/>
        </w:rPr>
        <w:t xml:space="preserve"> the 3</w:t>
      </w:r>
      <w:r w:rsidR="003B7C0D" w:rsidRPr="003B7C0D">
        <w:rPr>
          <w:rFonts w:ascii="Times New Roman" w:hAnsi="Times New Roman"/>
          <w:vertAlign w:val="superscript"/>
        </w:rPr>
        <w:t>rd</w:t>
      </w:r>
      <w:r w:rsidR="003B7C0D">
        <w:rPr>
          <w:rFonts w:ascii="Times New Roman" w:hAnsi="Times New Roman"/>
        </w:rPr>
        <w:t xml:space="preserve"> </w:t>
      </w:r>
      <w:r w:rsidR="003079CB">
        <w:rPr>
          <w:rFonts w:ascii="Times New Roman" w:hAnsi="Times New Roman"/>
        </w:rPr>
        <w:t>Abo-BoNT-A</w:t>
      </w:r>
      <w:r w:rsidR="003B7C0D">
        <w:rPr>
          <w:rFonts w:ascii="Times New Roman" w:hAnsi="Times New Roman"/>
        </w:rPr>
        <w:t xml:space="preserve"> treatment. </w:t>
      </w:r>
      <w:r w:rsidR="00B60AB8">
        <w:rPr>
          <w:rFonts w:ascii="Times New Roman" w:hAnsi="Times New Roman"/>
        </w:rPr>
        <w:t xml:space="preserve">Following </w:t>
      </w:r>
      <w:r w:rsidR="00EE14D1">
        <w:rPr>
          <w:rFonts w:ascii="Times New Roman" w:hAnsi="Times New Roman"/>
        </w:rPr>
        <w:t xml:space="preserve">the </w:t>
      </w:r>
      <w:r w:rsidR="003236B9">
        <w:rPr>
          <w:rFonts w:ascii="Times New Roman" w:hAnsi="Times New Roman"/>
          <w:shd w:val="clear" w:color="auto" w:fill="FFFFFF"/>
        </w:rPr>
        <w:t>S</w:t>
      </w:r>
      <w:r w:rsidR="003236B9" w:rsidRPr="003236B9">
        <w:rPr>
          <w:rFonts w:ascii="Times New Roman" w:hAnsi="Times New Roman"/>
          <w:shd w:val="clear" w:color="auto" w:fill="FFFFFF"/>
        </w:rPr>
        <w:t xml:space="preserve">upplementary fig </w:t>
      </w:r>
      <w:r w:rsidR="003236B9">
        <w:rPr>
          <w:rFonts w:ascii="Times New Roman" w:hAnsi="Times New Roman"/>
          <w:shd w:val="clear" w:color="auto" w:fill="FFFFFF"/>
        </w:rPr>
        <w:t>11</w:t>
      </w:r>
      <w:r w:rsidR="003236B9">
        <w:rPr>
          <w:rFonts w:ascii="Times New Roman" w:hAnsi="Times New Roman"/>
        </w:rPr>
        <w:t xml:space="preserve"> </w:t>
      </w:r>
      <w:r w:rsidR="00B60AB8">
        <w:rPr>
          <w:rFonts w:ascii="Times New Roman" w:hAnsi="Times New Roman"/>
        </w:rPr>
        <w:t>conversion back to patient’s original BoNT-A</w:t>
      </w:r>
      <w:r w:rsidR="00923F82">
        <w:rPr>
          <w:rFonts w:ascii="Times New Roman" w:hAnsi="Times New Roman"/>
        </w:rPr>
        <w:t xml:space="preserve"> and using the same ratio as the original conversion</w:t>
      </w:r>
      <w:r w:rsidR="00B60AB8">
        <w:rPr>
          <w:rFonts w:ascii="Times New Roman" w:hAnsi="Times New Roman"/>
        </w:rPr>
        <w:t>, w</w:t>
      </w:r>
      <w:r w:rsidR="00A57146">
        <w:rPr>
          <w:rFonts w:ascii="Times New Roman" w:hAnsi="Times New Roman"/>
        </w:rPr>
        <w:t xml:space="preserve">aning time did not remain significantly increased and was </w:t>
      </w:r>
      <w:r w:rsidR="00384BAD">
        <w:rPr>
          <w:rFonts w:ascii="Times New Roman" w:hAnsi="Times New Roman"/>
        </w:rPr>
        <w:t xml:space="preserve">statistically </w:t>
      </w:r>
      <w:r w:rsidR="004A41CD">
        <w:rPr>
          <w:rFonts w:ascii="Times New Roman" w:hAnsi="Times New Roman"/>
        </w:rPr>
        <w:t>comparable</w:t>
      </w:r>
      <w:r w:rsidR="00A57146">
        <w:rPr>
          <w:rFonts w:ascii="Times New Roman" w:hAnsi="Times New Roman"/>
        </w:rPr>
        <w:t xml:space="preserve"> to the duration </w:t>
      </w:r>
      <w:r w:rsidR="00783CBA">
        <w:rPr>
          <w:rFonts w:ascii="Times New Roman" w:hAnsi="Times New Roman"/>
        </w:rPr>
        <w:t>of the patient’s original BoNT-A</w:t>
      </w:r>
      <w:r w:rsidR="00C54A5E">
        <w:rPr>
          <w:rFonts w:ascii="Times New Roman" w:hAnsi="Times New Roman"/>
        </w:rPr>
        <w:t xml:space="preserve"> from the clinic</w:t>
      </w:r>
      <w:r w:rsidR="00384BAD">
        <w:rPr>
          <w:rFonts w:ascii="Times New Roman" w:hAnsi="Times New Roman"/>
        </w:rPr>
        <w:t>,</w:t>
      </w:r>
      <w:r w:rsidR="004A41CD">
        <w:rPr>
          <w:rFonts w:ascii="Times New Roman" w:hAnsi="Times New Roman"/>
        </w:rPr>
        <w:t xml:space="preserve"> regardless of the </w:t>
      </w:r>
      <w:r w:rsidR="00384BAD">
        <w:rPr>
          <w:rFonts w:ascii="Times New Roman" w:hAnsi="Times New Roman"/>
        </w:rPr>
        <w:t xml:space="preserve">optimized </w:t>
      </w:r>
      <w:r w:rsidR="004A41CD">
        <w:rPr>
          <w:rFonts w:ascii="Times New Roman" w:hAnsi="Times New Roman"/>
        </w:rPr>
        <w:t>injection</w:t>
      </w:r>
      <w:r w:rsidR="00923F82">
        <w:rPr>
          <w:rFonts w:ascii="Times New Roman" w:hAnsi="Times New Roman"/>
        </w:rPr>
        <w:t xml:space="preserve"> parameters</w:t>
      </w:r>
      <w:r w:rsidR="00783CBA">
        <w:rPr>
          <w:rFonts w:ascii="Times New Roman" w:hAnsi="Times New Roman"/>
        </w:rPr>
        <w:t xml:space="preserve">. This suggests that </w:t>
      </w:r>
      <w:r w:rsidR="003579C8">
        <w:rPr>
          <w:rFonts w:ascii="Times New Roman" w:hAnsi="Times New Roman"/>
        </w:rPr>
        <w:t>a</w:t>
      </w:r>
      <w:r w:rsidR="003079CB">
        <w:rPr>
          <w:rFonts w:ascii="Times New Roman" w:hAnsi="Times New Roman"/>
        </w:rPr>
        <w:t>bo-BoNT-A</w:t>
      </w:r>
      <w:r w:rsidR="00783CBA">
        <w:rPr>
          <w:rFonts w:ascii="Times New Roman" w:hAnsi="Times New Roman"/>
        </w:rPr>
        <w:t xml:space="preserve"> </w:t>
      </w:r>
      <w:r w:rsidR="006B54CE">
        <w:rPr>
          <w:rFonts w:ascii="Times New Roman" w:hAnsi="Times New Roman"/>
        </w:rPr>
        <w:t xml:space="preserve">formulation </w:t>
      </w:r>
      <w:r w:rsidR="00783CBA">
        <w:rPr>
          <w:rFonts w:ascii="Times New Roman" w:hAnsi="Times New Roman"/>
        </w:rPr>
        <w:t xml:space="preserve">and not </w:t>
      </w:r>
      <w:r w:rsidR="00FA313E">
        <w:rPr>
          <w:rFonts w:ascii="Times New Roman" w:hAnsi="Times New Roman"/>
        </w:rPr>
        <w:t xml:space="preserve">the </w:t>
      </w:r>
      <w:r w:rsidR="00DD103D">
        <w:rPr>
          <w:rFonts w:ascii="Times New Roman" w:hAnsi="Times New Roman"/>
        </w:rPr>
        <w:t>optimization of</w:t>
      </w:r>
      <w:r w:rsidR="00783CBA">
        <w:rPr>
          <w:rFonts w:ascii="Times New Roman" w:hAnsi="Times New Roman"/>
        </w:rPr>
        <w:t xml:space="preserve"> the </w:t>
      </w:r>
      <w:r w:rsidR="004A41CD">
        <w:rPr>
          <w:rFonts w:ascii="Times New Roman" w:hAnsi="Times New Roman"/>
        </w:rPr>
        <w:t>injection</w:t>
      </w:r>
      <w:r w:rsidR="00783CBA">
        <w:rPr>
          <w:rFonts w:ascii="Times New Roman" w:hAnsi="Times New Roman"/>
        </w:rPr>
        <w:t xml:space="preserve"> pattern</w:t>
      </w:r>
      <w:r w:rsidR="00DD103D">
        <w:rPr>
          <w:rFonts w:ascii="Times New Roman" w:hAnsi="Times New Roman"/>
        </w:rPr>
        <w:t>s</w:t>
      </w:r>
      <w:r w:rsidR="00783CBA">
        <w:rPr>
          <w:rFonts w:ascii="Times New Roman" w:hAnsi="Times New Roman"/>
        </w:rPr>
        <w:t xml:space="preserve"> was responsible for increasing </w:t>
      </w:r>
      <w:r w:rsidR="00FB0BBC">
        <w:rPr>
          <w:rFonts w:ascii="Times New Roman" w:hAnsi="Times New Roman"/>
        </w:rPr>
        <w:t xml:space="preserve">the </w:t>
      </w:r>
      <w:r w:rsidR="00783CBA">
        <w:rPr>
          <w:rFonts w:ascii="Times New Roman" w:hAnsi="Times New Roman"/>
        </w:rPr>
        <w:t xml:space="preserve">duration of treatment effects when compared to </w:t>
      </w:r>
      <w:r w:rsidR="003579C8">
        <w:rPr>
          <w:rFonts w:ascii="Times New Roman" w:hAnsi="Times New Roman"/>
        </w:rPr>
        <w:t>o</w:t>
      </w:r>
      <w:r w:rsidR="003079CB">
        <w:rPr>
          <w:rFonts w:ascii="Times New Roman" w:hAnsi="Times New Roman"/>
        </w:rPr>
        <w:t>na-BoNT-A</w:t>
      </w:r>
      <w:r w:rsidR="00783CBA">
        <w:rPr>
          <w:rFonts w:ascii="Times New Roman" w:hAnsi="Times New Roman"/>
        </w:rPr>
        <w:t>/</w:t>
      </w:r>
      <w:r w:rsidR="003579C8">
        <w:rPr>
          <w:rFonts w:ascii="Times New Roman" w:hAnsi="Times New Roman"/>
        </w:rPr>
        <w:t>i</w:t>
      </w:r>
      <w:r w:rsidR="003079CB">
        <w:rPr>
          <w:rFonts w:ascii="Times New Roman" w:hAnsi="Times New Roman"/>
        </w:rPr>
        <w:t>nco-BoNT-A</w:t>
      </w:r>
      <w:r w:rsidR="00783CBA">
        <w:rPr>
          <w:rFonts w:ascii="Times New Roman" w:hAnsi="Times New Roman"/>
        </w:rPr>
        <w:t xml:space="preserve"> formulations. </w:t>
      </w:r>
      <w:r w:rsidR="00853F61">
        <w:rPr>
          <w:rFonts w:ascii="Times New Roman" w:hAnsi="Times New Roman"/>
        </w:rPr>
        <w:t>These results correspond with past</w:t>
      </w:r>
      <w:r w:rsidR="00B83C47">
        <w:rPr>
          <w:rFonts w:ascii="Times New Roman" w:hAnsi="Times New Roman"/>
        </w:rPr>
        <w:t xml:space="preserve"> open-label</w:t>
      </w:r>
      <w:r w:rsidR="00853F61">
        <w:rPr>
          <w:rFonts w:ascii="Times New Roman" w:hAnsi="Times New Roman"/>
        </w:rPr>
        <w:t xml:space="preserve"> stud</w:t>
      </w:r>
      <w:r w:rsidR="00B74C6C">
        <w:rPr>
          <w:rFonts w:ascii="Times New Roman" w:hAnsi="Times New Roman"/>
        </w:rPr>
        <w:t>ie</w:t>
      </w:r>
      <w:r w:rsidR="00B60AB8">
        <w:rPr>
          <w:rFonts w:ascii="Times New Roman" w:hAnsi="Times New Roman"/>
        </w:rPr>
        <w:t>s</w:t>
      </w:r>
      <w:r w:rsidR="00853F61">
        <w:rPr>
          <w:rFonts w:ascii="Times New Roman" w:hAnsi="Times New Roman"/>
        </w:rPr>
        <w:t xml:space="preserve"> reporting </w:t>
      </w:r>
      <w:r w:rsidR="00213D6F">
        <w:rPr>
          <w:rFonts w:ascii="Times New Roman" w:hAnsi="Times New Roman"/>
        </w:rPr>
        <w:t xml:space="preserve">mean time to retreatment was </w:t>
      </w:r>
      <w:r w:rsidR="00226561">
        <w:rPr>
          <w:rFonts w:ascii="Times New Roman" w:hAnsi="Times New Roman"/>
        </w:rPr>
        <w:t>at</w:t>
      </w:r>
      <w:r w:rsidR="00853F61">
        <w:rPr>
          <w:rFonts w:ascii="Times New Roman" w:hAnsi="Times New Roman"/>
        </w:rPr>
        <w:t xml:space="preserve"> 16 week</w:t>
      </w:r>
      <w:r w:rsidR="004C5851">
        <w:rPr>
          <w:rFonts w:ascii="Times New Roman" w:hAnsi="Times New Roman"/>
        </w:rPr>
        <w:t xml:space="preserve">s </w:t>
      </w:r>
      <w:r w:rsidR="00853F61">
        <w:rPr>
          <w:rFonts w:ascii="Times New Roman" w:hAnsi="Times New Roman"/>
        </w:rPr>
        <w:t xml:space="preserve"> and </w:t>
      </w:r>
      <w:r w:rsidR="00B74C6C">
        <w:rPr>
          <w:rFonts w:ascii="Times New Roman" w:hAnsi="Times New Roman"/>
        </w:rPr>
        <w:t xml:space="preserve">in </w:t>
      </w:r>
      <w:r w:rsidR="001D5E79">
        <w:rPr>
          <w:rFonts w:ascii="Times New Roman" w:hAnsi="Times New Roman"/>
        </w:rPr>
        <w:t xml:space="preserve">a </w:t>
      </w:r>
      <w:r w:rsidR="00853F61">
        <w:rPr>
          <w:rFonts w:ascii="Times New Roman" w:hAnsi="Times New Roman"/>
        </w:rPr>
        <w:t>double-blind, placebo-controlled stud</w:t>
      </w:r>
      <w:r w:rsidR="001D5E79">
        <w:rPr>
          <w:rFonts w:ascii="Times New Roman" w:hAnsi="Times New Roman"/>
        </w:rPr>
        <w:t>y</w:t>
      </w:r>
      <w:r w:rsidR="00853F61">
        <w:rPr>
          <w:rFonts w:ascii="Times New Roman" w:hAnsi="Times New Roman"/>
        </w:rPr>
        <w:t xml:space="preserve"> reporting </w:t>
      </w:r>
      <w:r w:rsidR="00DE37D2">
        <w:rPr>
          <w:rFonts w:ascii="Times New Roman" w:hAnsi="Times New Roman"/>
        </w:rPr>
        <w:t>72.6-81.5</w:t>
      </w:r>
      <w:r w:rsidR="00853F61">
        <w:rPr>
          <w:rFonts w:ascii="Times New Roman" w:hAnsi="Times New Roman"/>
        </w:rPr>
        <w:t xml:space="preserve">% of patients requiring retreatment at </w:t>
      </w:r>
      <w:r w:rsidR="00EE14D1">
        <w:rPr>
          <w:rFonts w:ascii="Times New Roman" w:hAnsi="Times New Roman"/>
        </w:rPr>
        <w:t xml:space="preserve">≥ </w:t>
      </w:r>
      <w:r w:rsidR="00DE37D2">
        <w:rPr>
          <w:rFonts w:ascii="Times New Roman" w:hAnsi="Times New Roman"/>
        </w:rPr>
        <w:t xml:space="preserve">week 16 and 42.7-47.8% requiring retreatment at </w:t>
      </w:r>
      <w:r w:rsidR="00EE14D1">
        <w:rPr>
          <w:rFonts w:ascii="Times New Roman" w:hAnsi="Times New Roman"/>
        </w:rPr>
        <w:t xml:space="preserve">≥ </w:t>
      </w:r>
      <w:r w:rsidR="00DE37D2">
        <w:rPr>
          <w:rFonts w:ascii="Times New Roman" w:hAnsi="Times New Roman"/>
        </w:rPr>
        <w:t xml:space="preserve">week </w:t>
      </w:r>
      <w:r w:rsidR="00EE14D1">
        <w:rPr>
          <w:rFonts w:ascii="Times New Roman" w:hAnsi="Times New Roman"/>
        </w:rPr>
        <w:t>20</w:t>
      </w:r>
      <w:r w:rsidR="004C5851">
        <w:rPr>
          <w:rFonts w:ascii="Times New Roman" w:hAnsi="Times New Roman"/>
        </w:rPr>
        <w:t xml:space="preserve">. </w:t>
      </w:r>
    </w:p>
    <w:p w14:paraId="0CA0F805" w14:textId="77777777" w:rsidR="00384BAD" w:rsidRDefault="00384BAD" w:rsidP="00D6522C">
      <w:pPr>
        <w:tabs>
          <w:tab w:val="left" w:pos="3227"/>
        </w:tabs>
        <w:spacing w:line="480" w:lineRule="auto"/>
        <w:rPr>
          <w:rFonts w:ascii="Times New Roman" w:hAnsi="Times New Roman"/>
        </w:rPr>
      </w:pPr>
    </w:p>
    <w:p w14:paraId="37238BAA" w14:textId="004A17F7" w:rsidR="00D6522C" w:rsidRDefault="00D6522C" w:rsidP="00D6522C">
      <w:pPr>
        <w:tabs>
          <w:tab w:val="left" w:pos="3227"/>
        </w:tabs>
        <w:spacing w:line="480" w:lineRule="auto"/>
        <w:rPr>
          <w:rFonts w:ascii="Times New Roman" w:hAnsi="Times New Roman"/>
        </w:rPr>
      </w:pPr>
      <w:r>
        <w:rPr>
          <w:rFonts w:ascii="Times New Roman" w:hAnsi="Times New Roman"/>
        </w:rPr>
        <w:t xml:space="preserve">Increases in waning time (duration of effect) was </w:t>
      </w:r>
      <w:r w:rsidR="00E16E38" w:rsidRPr="00790599">
        <w:rPr>
          <w:rFonts w:ascii="Times New Roman" w:hAnsi="Times New Roman"/>
        </w:rPr>
        <w:t xml:space="preserve">(Supplementary table </w:t>
      </w:r>
      <w:r w:rsidR="00D83F23">
        <w:rPr>
          <w:rFonts w:ascii="Times New Roman" w:hAnsi="Times New Roman"/>
        </w:rPr>
        <w:t>8</w:t>
      </w:r>
      <w:r w:rsidR="00E16E38" w:rsidRPr="00790599">
        <w:rPr>
          <w:rFonts w:ascii="Times New Roman" w:hAnsi="Times New Roman"/>
        </w:rPr>
        <w:t xml:space="preserve">). </w:t>
      </w:r>
      <w:r>
        <w:rPr>
          <w:rFonts w:ascii="Times New Roman" w:hAnsi="Times New Roman"/>
        </w:rPr>
        <w:t>comparable to previously reported studies that used conversion ratios of 1:3 and 1:4,</w:t>
      </w:r>
      <w:r w:rsidR="004C5851">
        <w:rPr>
          <w:rFonts w:ascii="Times New Roman" w:hAnsi="Times New Roman"/>
          <w:vertAlign w:val="superscript"/>
        </w:rPr>
        <w:t xml:space="preserve"> </w:t>
      </w:r>
      <w:r>
        <w:rPr>
          <w:rFonts w:ascii="Times New Roman" w:hAnsi="Times New Roman"/>
        </w:rPr>
        <w:t>however a lower conversion ratio of 1:2.5 was utilized in our study. A dose ratio of 1:2.5 has been proposed to be optimal (less than 1:3) as previous report</w:t>
      </w:r>
      <w:r w:rsidR="00964BC8">
        <w:rPr>
          <w:rFonts w:ascii="Times New Roman" w:hAnsi="Times New Roman"/>
        </w:rPr>
        <w:t>s of</w:t>
      </w:r>
      <w:r>
        <w:rPr>
          <w:rFonts w:ascii="Times New Roman" w:hAnsi="Times New Roman"/>
        </w:rPr>
        <w:t xml:space="preserve"> the efficacy and frequency of </w:t>
      </w:r>
      <w:r w:rsidR="009B1C7C">
        <w:rPr>
          <w:rFonts w:ascii="Times New Roman" w:hAnsi="Times New Roman"/>
        </w:rPr>
        <w:t>adverse events</w:t>
      </w:r>
      <w:r>
        <w:rPr>
          <w:rFonts w:ascii="Times New Roman" w:hAnsi="Times New Roman"/>
        </w:rPr>
        <w:t xml:space="preserve"> are similar between BoNT-A formulations and </w:t>
      </w:r>
      <w:r w:rsidR="00487FA5">
        <w:rPr>
          <w:rFonts w:ascii="Times New Roman" w:hAnsi="Times New Roman"/>
        </w:rPr>
        <w:t xml:space="preserve">the </w:t>
      </w:r>
      <w:r w:rsidR="00132456">
        <w:rPr>
          <w:rFonts w:ascii="Times New Roman" w:hAnsi="Times New Roman"/>
        </w:rPr>
        <w:t xml:space="preserve">1:2.5 ratio </w:t>
      </w:r>
      <w:r w:rsidR="00964BC8">
        <w:rPr>
          <w:rFonts w:ascii="Times New Roman" w:hAnsi="Times New Roman"/>
        </w:rPr>
        <w:t>may be</w:t>
      </w:r>
      <w:r>
        <w:rPr>
          <w:rFonts w:ascii="Times New Roman" w:hAnsi="Times New Roman"/>
        </w:rPr>
        <w:t xml:space="preserve"> more appropriate for CD </w:t>
      </w:r>
      <w:r>
        <w:rPr>
          <w:rFonts w:ascii="Times New Roman" w:hAnsi="Times New Roman"/>
        </w:rPr>
        <w:lastRenderedPageBreak/>
        <w:t xml:space="preserve">therapy to minimize </w:t>
      </w:r>
      <w:r w:rsidR="00964BC8">
        <w:rPr>
          <w:rFonts w:ascii="Times New Roman" w:hAnsi="Times New Roman"/>
        </w:rPr>
        <w:t>the likelihood of dose-related adverse events</w:t>
      </w:r>
      <w:r w:rsidR="004C5851">
        <w:rPr>
          <w:rFonts w:ascii="Times New Roman" w:hAnsi="Times New Roman"/>
        </w:rPr>
        <w:t>.</w:t>
      </w:r>
      <w:r w:rsidR="00D20373">
        <w:rPr>
          <w:rFonts w:ascii="Times New Roman" w:hAnsi="Times New Roman"/>
        </w:rPr>
        <w:t>[</w:t>
      </w:r>
      <w:r w:rsidR="004C5851">
        <w:rPr>
          <w:rFonts w:ascii="Times New Roman" w:hAnsi="Times New Roman"/>
        </w:rPr>
        <w:t>15</w:t>
      </w:r>
      <w:r w:rsidR="000803EE">
        <w:rPr>
          <w:rFonts w:ascii="Times New Roman" w:hAnsi="Times New Roman"/>
        </w:rPr>
        <w:t>]</w:t>
      </w:r>
      <w:r w:rsidR="004C5851">
        <w:rPr>
          <w:rFonts w:ascii="Times New Roman" w:hAnsi="Times New Roman"/>
        </w:rPr>
        <w:t>.</w:t>
      </w:r>
      <w:r>
        <w:rPr>
          <w:rFonts w:ascii="Times New Roman" w:hAnsi="Times New Roman"/>
        </w:rPr>
        <w:t xml:space="preserve"> </w:t>
      </w:r>
      <w:r w:rsidR="00A54C59">
        <w:rPr>
          <w:rFonts w:ascii="Times New Roman" w:hAnsi="Times New Roman"/>
        </w:rPr>
        <w:t xml:space="preserve">Dose conversion ratios higher than 1:2.5 have been associated </w:t>
      </w:r>
      <w:r w:rsidR="00E16E38" w:rsidRPr="00790599">
        <w:rPr>
          <w:rFonts w:ascii="Times New Roman" w:hAnsi="Times New Roman"/>
        </w:rPr>
        <w:t xml:space="preserve">Supplementary </w:t>
      </w:r>
      <w:r w:rsidR="00E16E38">
        <w:rPr>
          <w:rFonts w:ascii="Times New Roman" w:hAnsi="Times New Roman"/>
        </w:rPr>
        <w:t>T</w:t>
      </w:r>
      <w:r w:rsidR="00E16E38" w:rsidRPr="00790599">
        <w:rPr>
          <w:rFonts w:ascii="Times New Roman" w:hAnsi="Times New Roman"/>
        </w:rPr>
        <w:t xml:space="preserve">able </w:t>
      </w:r>
      <w:r w:rsidR="00D83F23">
        <w:rPr>
          <w:rFonts w:ascii="Times New Roman" w:hAnsi="Times New Roman"/>
        </w:rPr>
        <w:t>9</w:t>
      </w:r>
      <w:r w:rsidR="00E16E38" w:rsidRPr="00790599">
        <w:rPr>
          <w:rFonts w:ascii="Times New Roman" w:hAnsi="Times New Roman"/>
        </w:rPr>
        <w:t xml:space="preserve"> </w:t>
      </w:r>
      <w:r w:rsidR="00A54C59">
        <w:rPr>
          <w:rFonts w:ascii="Times New Roman" w:hAnsi="Times New Roman"/>
        </w:rPr>
        <w:t>with a higher incidence of adverse events</w:t>
      </w:r>
      <w:r w:rsidR="00D20373">
        <w:rPr>
          <w:rFonts w:ascii="Times New Roman" w:hAnsi="Times New Roman"/>
        </w:rPr>
        <w:t>[16, 17]</w:t>
      </w:r>
      <w:r w:rsidR="00A54C59">
        <w:rPr>
          <w:rFonts w:ascii="Times New Roman" w:hAnsi="Times New Roman"/>
        </w:rPr>
        <w:t xml:space="preserve">, such as dysphagia, where a range of 120 to 300 U of </w:t>
      </w:r>
      <w:r w:rsidR="003579C8">
        <w:rPr>
          <w:rFonts w:ascii="Times New Roman" w:hAnsi="Times New Roman"/>
        </w:rPr>
        <w:t>a</w:t>
      </w:r>
      <w:r w:rsidR="003079CB">
        <w:rPr>
          <w:rFonts w:ascii="Times New Roman" w:hAnsi="Times New Roman"/>
        </w:rPr>
        <w:t>bo-BoNT-A</w:t>
      </w:r>
      <w:r w:rsidR="00A54C59">
        <w:rPr>
          <w:rFonts w:ascii="Times New Roman" w:hAnsi="Times New Roman"/>
        </w:rPr>
        <w:t xml:space="preserve"> were injected into the splenius capitis and </w:t>
      </w:r>
      <w:r w:rsidR="00BA7682">
        <w:rPr>
          <w:rFonts w:ascii="Times New Roman" w:hAnsi="Times New Roman"/>
        </w:rPr>
        <w:t xml:space="preserve">SCM </w:t>
      </w:r>
      <w:r w:rsidR="008338E0">
        <w:rPr>
          <w:rFonts w:ascii="Times New Roman" w:hAnsi="Times New Roman"/>
        </w:rPr>
        <w:t>muscle groups</w:t>
      </w:r>
      <w:r w:rsidR="004C5851">
        <w:rPr>
          <w:rFonts w:ascii="Times New Roman" w:hAnsi="Times New Roman"/>
        </w:rPr>
        <w:t>.</w:t>
      </w:r>
      <w:r w:rsidR="00A54C59">
        <w:rPr>
          <w:rFonts w:ascii="Times New Roman" w:hAnsi="Times New Roman"/>
        </w:rPr>
        <w:t xml:space="preserve"> In our study, the dosages injected in</w:t>
      </w:r>
      <w:r w:rsidR="0044625C">
        <w:rPr>
          <w:rFonts w:ascii="Times New Roman" w:hAnsi="Times New Roman"/>
        </w:rPr>
        <w:t>to</w:t>
      </w:r>
      <w:r w:rsidR="00A54C59">
        <w:rPr>
          <w:rFonts w:ascii="Times New Roman" w:hAnsi="Times New Roman"/>
        </w:rPr>
        <w:t xml:space="preserve"> these muscle groups ranged no higher than 225 U and averaged ~ 100 U</w:t>
      </w:r>
      <w:r w:rsidR="00E8273F">
        <w:rPr>
          <w:rFonts w:ascii="Times New Roman" w:hAnsi="Times New Roman"/>
        </w:rPr>
        <w:t xml:space="preserve"> with similar incidence in dysphagia between BoNT-A formulations </w:t>
      </w:r>
      <w:r w:rsidR="00A959D2">
        <w:rPr>
          <w:rFonts w:ascii="Times New Roman" w:hAnsi="Times New Roman"/>
        </w:rPr>
        <w:t xml:space="preserve">being reported </w:t>
      </w:r>
      <w:r w:rsidR="00E8273F">
        <w:rPr>
          <w:rFonts w:ascii="Times New Roman" w:hAnsi="Times New Roman"/>
        </w:rPr>
        <w:t xml:space="preserve">(Table </w:t>
      </w:r>
      <w:r w:rsidR="00FA701B">
        <w:rPr>
          <w:rFonts w:ascii="Times New Roman" w:hAnsi="Times New Roman"/>
        </w:rPr>
        <w:t>2</w:t>
      </w:r>
      <w:r w:rsidR="00E8273F">
        <w:rPr>
          <w:rFonts w:ascii="Times New Roman" w:hAnsi="Times New Roman"/>
        </w:rPr>
        <w:t>)</w:t>
      </w:r>
      <w:r w:rsidR="004C5851">
        <w:rPr>
          <w:rFonts w:ascii="Times New Roman" w:hAnsi="Times New Roman"/>
        </w:rPr>
        <w:t>.</w:t>
      </w:r>
      <w:r w:rsidR="00A54C59">
        <w:rPr>
          <w:rFonts w:ascii="Times New Roman" w:hAnsi="Times New Roman"/>
        </w:rPr>
        <w:t xml:space="preserve"> </w:t>
      </w:r>
      <w:r w:rsidR="00271210">
        <w:rPr>
          <w:rFonts w:ascii="Times New Roman" w:hAnsi="Times New Roman"/>
        </w:rPr>
        <w:t xml:space="preserve">Furthermore, the addition of the OCI muscles </w:t>
      </w:r>
      <w:r w:rsidR="00BA7682">
        <w:rPr>
          <w:rFonts w:ascii="Times New Roman" w:hAnsi="Times New Roman"/>
        </w:rPr>
        <w:t xml:space="preserve">and reducing the SCM dose </w:t>
      </w:r>
      <w:r w:rsidR="00271210">
        <w:rPr>
          <w:rFonts w:ascii="Times New Roman" w:hAnsi="Times New Roman"/>
        </w:rPr>
        <w:t>may be</w:t>
      </w:r>
      <w:r w:rsidR="00BA7682">
        <w:rPr>
          <w:rFonts w:ascii="Times New Roman" w:hAnsi="Times New Roman"/>
        </w:rPr>
        <w:t xml:space="preserve"> a novel approach to reduce the likelihood of dysphagia for patients </w:t>
      </w:r>
      <w:r w:rsidR="009F37DF">
        <w:rPr>
          <w:rFonts w:ascii="Times New Roman" w:hAnsi="Times New Roman"/>
        </w:rPr>
        <w:t xml:space="preserve">presenting </w:t>
      </w:r>
      <w:r w:rsidR="00BA7682">
        <w:rPr>
          <w:rFonts w:ascii="Times New Roman" w:hAnsi="Times New Roman"/>
        </w:rPr>
        <w:t xml:space="preserve">with caput </w:t>
      </w:r>
      <w:r w:rsidR="009F37DF">
        <w:rPr>
          <w:rFonts w:ascii="Times New Roman" w:hAnsi="Times New Roman"/>
        </w:rPr>
        <w:t>tremulous CD</w:t>
      </w:r>
      <w:r w:rsidR="00001242">
        <w:rPr>
          <w:rFonts w:ascii="Times New Roman" w:hAnsi="Times New Roman"/>
        </w:rPr>
        <w:t>.</w:t>
      </w:r>
      <w:r w:rsidR="009F37DF">
        <w:rPr>
          <w:rFonts w:ascii="Times New Roman" w:hAnsi="Times New Roman"/>
        </w:rPr>
        <w:t xml:space="preserve"> </w:t>
      </w:r>
      <w:r w:rsidR="00E00379">
        <w:rPr>
          <w:rFonts w:ascii="Times New Roman" w:hAnsi="Times New Roman"/>
        </w:rPr>
        <w:t>N</w:t>
      </w:r>
      <w:r w:rsidR="00091FE7">
        <w:rPr>
          <w:rFonts w:ascii="Times New Roman" w:hAnsi="Times New Roman"/>
        </w:rPr>
        <w:t xml:space="preserve">ewly targeting the OCI muscles in </w:t>
      </w:r>
      <w:r w:rsidR="00E00379">
        <w:rPr>
          <w:rFonts w:ascii="Times New Roman" w:hAnsi="Times New Roman"/>
        </w:rPr>
        <w:t>8</w:t>
      </w:r>
      <w:r w:rsidR="00CC0AFD">
        <w:rPr>
          <w:rFonts w:ascii="Times New Roman" w:hAnsi="Times New Roman"/>
        </w:rPr>
        <w:t xml:space="preserve"> participants</w:t>
      </w:r>
      <w:r w:rsidR="00E00379">
        <w:rPr>
          <w:rFonts w:ascii="Times New Roman" w:hAnsi="Times New Roman"/>
        </w:rPr>
        <w:t xml:space="preserve"> </w:t>
      </w:r>
      <w:r w:rsidR="00CC0AFD">
        <w:rPr>
          <w:rFonts w:ascii="Times New Roman" w:hAnsi="Times New Roman"/>
        </w:rPr>
        <w:t>may have contributed to the significant reduction in rotational tremulous activity</w:t>
      </w:r>
      <w:r w:rsidR="00D6165E">
        <w:rPr>
          <w:rFonts w:ascii="Times New Roman" w:hAnsi="Times New Roman"/>
        </w:rPr>
        <w:t xml:space="preserve"> reported</w:t>
      </w:r>
      <w:r w:rsidR="00CC0AFD">
        <w:rPr>
          <w:rFonts w:ascii="Times New Roman" w:hAnsi="Times New Roman"/>
        </w:rPr>
        <w:t xml:space="preserve"> at </w:t>
      </w:r>
      <w:r w:rsidR="00166454">
        <w:rPr>
          <w:rFonts w:ascii="Times New Roman" w:hAnsi="Times New Roman"/>
        </w:rPr>
        <w:t xml:space="preserve">the </w:t>
      </w:r>
      <w:r w:rsidR="00CC0AFD">
        <w:rPr>
          <w:rFonts w:ascii="Times New Roman" w:hAnsi="Times New Roman"/>
        </w:rPr>
        <w:t xml:space="preserve">peak effect of </w:t>
      </w:r>
      <w:r w:rsidR="00273C28">
        <w:rPr>
          <w:rFonts w:ascii="Times New Roman" w:hAnsi="Times New Roman"/>
        </w:rPr>
        <w:t>a</w:t>
      </w:r>
      <w:r w:rsidR="003079CB">
        <w:rPr>
          <w:rFonts w:ascii="Times New Roman" w:hAnsi="Times New Roman"/>
        </w:rPr>
        <w:t>bo-BoNT-A</w:t>
      </w:r>
      <w:r w:rsidR="00CC0AFD">
        <w:rPr>
          <w:rFonts w:ascii="Times New Roman" w:hAnsi="Times New Roman"/>
        </w:rPr>
        <w:t xml:space="preserve"> and </w:t>
      </w:r>
      <w:r w:rsidR="00091FE7">
        <w:rPr>
          <w:rFonts w:ascii="Times New Roman" w:hAnsi="Times New Roman"/>
        </w:rPr>
        <w:t xml:space="preserve">at </w:t>
      </w:r>
      <w:r w:rsidR="00CC0AFD">
        <w:rPr>
          <w:rFonts w:ascii="Times New Roman" w:hAnsi="Times New Roman"/>
        </w:rPr>
        <w:t>the conver</w:t>
      </w:r>
      <w:r w:rsidR="00590730">
        <w:rPr>
          <w:rFonts w:ascii="Times New Roman" w:hAnsi="Times New Roman"/>
        </w:rPr>
        <w:t>sion</w:t>
      </w:r>
      <w:r w:rsidR="00CC0AFD">
        <w:rPr>
          <w:rFonts w:ascii="Times New Roman" w:hAnsi="Times New Roman"/>
        </w:rPr>
        <w:t xml:space="preserve"> back to original BoNT-A when compared to the clinic injection (</w:t>
      </w:r>
      <w:r w:rsidR="00D6165E">
        <w:rPr>
          <w:rFonts w:ascii="Times New Roman" w:hAnsi="Times New Roman"/>
        </w:rPr>
        <w:t>o</w:t>
      </w:r>
      <w:r w:rsidR="00CC0AFD">
        <w:rPr>
          <w:rFonts w:ascii="Times New Roman" w:hAnsi="Times New Roman"/>
        </w:rPr>
        <w:t xml:space="preserve">riginal BoNT-A) (Figure </w:t>
      </w:r>
      <w:r w:rsidR="00273C28">
        <w:rPr>
          <w:rFonts w:ascii="Times New Roman" w:hAnsi="Times New Roman"/>
        </w:rPr>
        <w:t>3b</w:t>
      </w:r>
      <w:r w:rsidR="00CC0AFD">
        <w:rPr>
          <w:rFonts w:ascii="Times New Roman" w:hAnsi="Times New Roman"/>
        </w:rPr>
        <w:t xml:space="preserve">). </w:t>
      </w:r>
    </w:p>
    <w:p w14:paraId="74C0C83B" w14:textId="77777777" w:rsidR="005F0F94" w:rsidRDefault="005F0F94" w:rsidP="00D6522C">
      <w:pPr>
        <w:tabs>
          <w:tab w:val="left" w:pos="3227"/>
        </w:tabs>
        <w:spacing w:line="480" w:lineRule="auto"/>
        <w:rPr>
          <w:rFonts w:ascii="Times New Roman" w:hAnsi="Times New Roman"/>
        </w:rPr>
      </w:pPr>
    </w:p>
    <w:p w14:paraId="34643F1A" w14:textId="4CDF421F" w:rsidR="008D7848" w:rsidRDefault="00C03FC7" w:rsidP="006F2109">
      <w:pPr>
        <w:tabs>
          <w:tab w:val="left" w:pos="3227"/>
        </w:tabs>
        <w:spacing w:line="480" w:lineRule="auto"/>
        <w:rPr>
          <w:rFonts w:ascii="Times New Roman" w:hAnsi="Times New Roman"/>
        </w:rPr>
      </w:pPr>
      <w:r>
        <w:rPr>
          <w:rFonts w:ascii="Times New Roman" w:hAnsi="Times New Roman"/>
        </w:rPr>
        <w:t>T</w:t>
      </w:r>
      <w:r w:rsidR="005F0F94">
        <w:rPr>
          <w:rFonts w:ascii="Times New Roman" w:hAnsi="Times New Roman"/>
        </w:rPr>
        <w:t xml:space="preserve">reatment outcomes, severity of CD and disability associated with CD was significantly reduced following each </w:t>
      </w:r>
      <w:r w:rsidR="00273C28">
        <w:rPr>
          <w:rFonts w:ascii="Times New Roman" w:hAnsi="Times New Roman"/>
        </w:rPr>
        <w:t>a</w:t>
      </w:r>
      <w:r w:rsidR="003079CB">
        <w:rPr>
          <w:rFonts w:ascii="Times New Roman" w:hAnsi="Times New Roman"/>
        </w:rPr>
        <w:t>bo-BoNT-A</w:t>
      </w:r>
      <w:r w:rsidR="005F0F94">
        <w:rPr>
          <w:rFonts w:ascii="Times New Roman" w:hAnsi="Times New Roman"/>
        </w:rPr>
        <w:t xml:space="preserve"> treatment cycle (12-weeks) and at peak effect of </w:t>
      </w:r>
      <w:r w:rsidR="00273C28">
        <w:rPr>
          <w:rFonts w:ascii="Times New Roman" w:hAnsi="Times New Roman"/>
        </w:rPr>
        <w:t>a</w:t>
      </w:r>
      <w:r w:rsidR="003079CB">
        <w:rPr>
          <w:rFonts w:ascii="Times New Roman" w:hAnsi="Times New Roman"/>
        </w:rPr>
        <w:t>bo-BoNT-A</w:t>
      </w:r>
      <w:r w:rsidR="005F0F94">
        <w:rPr>
          <w:rFonts w:ascii="Times New Roman" w:hAnsi="Times New Roman"/>
        </w:rPr>
        <w:t xml:space="preserve"> when compared to the original BoNT-A effects (from clinic and conversion back cycles). </w:t>
      </w:r>
      <w:r w:rsidR="00914087">
        <w:rPr>
          <w:rFonts w:ascii="Times New Roman" w:hAnsi="Times New Roman"/>
        </w:rPr>
        <w:t>Our results differ from a p</w:t>
      </w:r>
      <w:r w:rsidR="008D5502">
        <w:rPr>
          <w:rFonts w:ascii="Times New Roman" w:hAnsi="Times New Roman"/>
        </w:rPr>
        <w:t>ast stud</w:t>
      </w:r>
      <w:r w:rsidR="00914087">
        <w:rPr>
          <w:rFonts w:ascii="Times New Roman" w:hAnsi="Times New Roman"/>
        </w:rPr>
        <w:t>y that</w:t>
      </w:r>
      <w:r w:rsidR="008D5502">
        <w:rPr>
          <w:rFonts w:ascii="Times New Roman" w:hAnsi="Times New Roman"/>
        </w:rPr>
        <w:t xml:space="preserve"> reported non inferiority </w:t>
      </w:r>
      <w:r w:rsidR="00914087">
        <w:rPr>
          <w:rFonts w:ascii="Times New Roman" w:hAnsi="Times New Roman"/>
        </w:rPr>
        <w:t>at week 4 between</w:t>
      </w:r>
      <w:r w:rsidR="008D5502">
        <w:rPr>
          <w:rFonts w:ascii="Times New Roman" w:hAnsi="Times New Roman"/>
        </w:rPr>
        <w:t xml:space="preserve"> </w:t>
      </w:r>
      <w:r w:rsidR="00273C28">
        <w:rPr>
          <w:rFonts w:ascii="Times New Roman" w:hAnsi="Times New Roman"/>
        </w:rPr>
        <w:t>a</w:t>
      </w:r>
      <w:r w:rsidR="003079CB">
        <w:rPr>
          <w:rFonts w:ascii="Times New Roman" w:hAnsi="Times New Roman"/>
        </w:rPr>
        <w:t>bo-BoNT-A</w:t>
      </w:r>
      <w:r w:rsidR="008D5502">
        <w:rPr>
          <w:rFonts w:ascii="Times New Roman" w:hAnsi="Times New Roman"/>
        </w:rPr>
        <w:t xml:space="preserve"> and </w:t>
      </w:r>
      <w:r w:rsidR="00273C28">
        <w:rPr>
          <w:rFonts w:ascii="Times New Roman" w:hAnsi="Times New Roman"/>
        </w:rPr>
        <w:t>o</w:t>
      </w:r>
      <w:r w:rsidR="003079CB">
        <w:rPr>
          <w:rFonts w:ascii="Times New Roman" w:hAnsi="Times New Roman"/>
        </w:rPr>
        <w:t>na-BoNT-A</w:t>
      </w:r>
      <w:r w:rsidR="00914087">
        <w:rPr>
          <w:rFonts w:ascii="Times New Roman" w:hAnsi="Times New Roman"/>
        </w:rPr>
        <w:t xml:space="preserve"> with a 1:2.5 conversion ratio</w:t>
      </w:r>
      <w:r w:rsidR="004C5851">
        <w:rPr>
          <w:rFonts w:ascii="Times New Roman" w:hAnsi="Times New Roman"/>
        </w:rPr>
        <w:t>.</w:t>
      </w:r>
      <w:r w:rsidR="00914087">
        <w:rPr>
          <w:rFonts w:ascii="Times New Roman" w:hAnsi="Times New Roman"/>
        </w:rPr>
        <w:t xml:space="preserve"> </w:t>
      </w:r>
      <w:r w:rsidR="00522B6B">
        <w:rPr>
          <w:rFonts w:ascii="Times New Roman" w:hAnsi="Times New Roman"/>
        </w:rPr>
        <w:t xml:space="preserve">Ranoux </w:t>
      </w:r>
      <w:r w:rsidR="00522B6B">
        <w:rPr>
          <w:rFonts w:ascii="Times New Roman" w:hAnsi="Times New Roman"/>
          <w:i/>
          <w:iCs/>
        </w:rPr>
        <w:t xml:space="preserve">et al </w:t>
      </w:r>
      <w:r w:rsidR="00522B6B">
        <w:rPr>
          <w:rFonts w:ascii="Times New Roman" w:hAnsi="Times New Roman"/>
        </w:rPr>
        <w:t xml:space="preserve">reported </w:t>
      </w:r>
      <w:r w:rsidR="00273C28">
        <w:rPr>
          <w:rFonts w:ascii="Times New Roman" w:hAnsi="Times New Roman"/>
        </w:rPr>
        <w:t>a</w:t>
      </w:r>
      <w:r w:rsidR="003079CB">
        <w:rPr>
          <w:rFonts w:ascii="Times New Roman" w:hAnsi="Times New Roman"/>
        </w:rPr>
        <w:t>bo-BoNT-A</w:t>
      </w:r>
      <w:r w:rsidR="00522B6B">
        <w:rPr>
          <w:rFonts w:ascii="Times New Roman" w:hAnsi="Times New Roman"/>
        </w:rPr>
        <w:t xml:space="preserve"> therapy using conversion ratios of 1:3 and 1:4 was significantly </w:t>
      </w:r>
      <w:r w:rsidR="00796DD5">
        <w:rPr>
          <w:rFonts w:ascii="Times New Roman" w:hAnsi="Times New Roman"/>
        </w:rPr>
        <w:t>tables 3-6 and 7 s</w:t>
      </w:r>
      <w:r w:rsidR="00522B6B">
        <w:rPr>
          <w:rFonts w:ascii="Times New Roman" w:hAnsi="Times New Roman"/>
        </w:rPr>
        <w:t xml:space="preserve">more effective than </w:t>
      </w:r>
      <w:r w:rsidR="00273C28">
        <w:rPr>
          <w:rFonts w:ascii="Times New Roman" w:hAnsi="Times New Roman"/>
        </w:rPr>
        <w:t>o</w:t>
      </w:r>
      <w:r w:rsidR="003079CB">
        <w:rPr>
          <w:rFonts w:ascii="Times New Roman" w:hAnsi="Times New Roman"/>
        </w:rPr>
        <w:t>na-BoNT-A</w:t>
      </w:r>
      <w:r w:rsidR="004C5851">
        <w:rPr>
          <w:rFonts w:ascii="Times New Roman" w:hAnsi="Times New Roman"/>
        </w:rPr>
        <w:t xml:space="preserve">. </w:t>
      </w:r>
      <w:r w:rsidR="00522B6B">
        <w:rPr>
          <w:rFonts w:ascii="Times New Roman" w:hAnsi="Times New Roman"/>
        </w:rPr>
        <w:t xml:space="preserve">Rystedt </w:t>
      </w:r>
      <w:r w:rsidR="00522B6B">
        <w:rPr>
          <w:rFonts w:ascii="Times New Roman" w:hAnsi="Times New Roman"/>
          <w:i/>
          <w:iCs/>
        </w:rPr>
        <w:t xml:space="preserve">et al </w:t>
      </w:r>
      <w:r w:rsidR="00522B6B">
        <w:rPr>
          <w:rFonts w:ascii="Times New Roman" w:hAnsi="Times New Roman"/>
        </w:rPr>
        <w:t xml:space="preserve">also reported 1:1.7 and 1:3 conversion ratios were </w:t>
      </w:r>
      <w:r w:rsidR="008D7848">
        <w:rPr>
          <w:rFonts w:ascii="Times New Roman" w:hAnsi="Times New Roman"/>
        </w:rPr>
        <w:t>not</w:t>
      </w:r>
      <w:r w:rsidR="00522B6B">
        <w:rPr>
          <w:rFonts w:ascii="Times New Roman" w:hAnsi="Times New Roman"/>
        </w:rPr>
        <w:t xml:space="preserve"> significantly different at week 4, but the 1:3 ratio produced a significantly better effect at week 12</w:t>
      </w:r>
      <w:r w:rsidR="004C5851">
        <w:rPr>
          <w:rFonts w:ascii="Times New Roman" w:hAnsi="Times New Roman"/>
        </w:rPr>
        <w:t xml:space="preserve">. </w:t>
      </w:r>
      <w:r w:rsidR="000803EE">
        <w:rPr>
          <w:rFonts w:ascii="Times New Roman" w:hAnsi="Times New Roman"/>
        </w:rPr>
        <w:t>[</w:t>
      </w:r>
      <w:r w:rsidR="004C5851">
        <w:rPr>
          <w:rFonts w:ascii="Times New Roman" w:hAnsi="Times New Roman"/>
        </w:rPr>
        <w:t>18</w:t>
      </w:r>
      <w:r w:rsidR="000803EE">
        <w:rPr>
          <w:rFonts w:ascii="Times New Roman" w:hAnsi="Times New Roman"/>
        </w:rPr>
        <w:t>]</w:t>
      </w:r>
      <w:r w:rsidR="004C5851">
        <w:rPr>
          <w:rFonts w:ascii="Times New Roman" w:hAnsi="Times New Roman"/>
        </w:rPr>
        <w:t xml:space="preserve"> </w:t>
      </w:r>
      <w:r w:rsidR="00522B6B">
        <w:rPr>
          <w:rFonts w:ascii="Times New Roman" w:hAnsi="Times New Roman"/>
        </w:rPr>
        <w:t>Th</w:t>
      </w:r>
      <w:r w:rsidR="000B7582">
        <w:rPr>
          <w:rFonts w:ascii="Times New Roman" w:hAnsi="Times New Roman"/>
        </w:rPr>
        <w:t xml:space="preserve">is suggests that </w:t>
      </w:r>
      <w:r w:rsidR="00522B6B">
        <w:rPr>
          <w:rFonts w:ascii="Times New Roman" w:hAnsi="Times New Roman"/>
        </w:rPr>
        <w:t xml:space="preserve">a vial of </w:t>
      </w:r>
      <w:r w:rsidR="003079CB">
        <w:rPr>
          <w:rFonts w:ascii="Times New Roman" w:hAnsi="Times New Roman"/>
        </w:rPr>
        <w:t>Abo-BoNT-A</w:t>
      </w:r>
      <w:r w:rsidR="00522B6B">
        <w:rPr>
          <w:rFonts w:ascii="Times New Roman" w:hAnsi="Times New Roman"/>
        </w:rPr>
        <w:t xml:space="preserve"> (500 U) corresponds to 2 vials of </w:t>
      </w:r>
      <w:r w:rsidR="00273C28">
        <w:rPr>
          <w:rFonts w:ascii="Times New Roman" w:hAnsi="Times New Roman"/>
        </w:rPr>
        <w:t>o</w:t>
      </w:r>
      <w:r w:rsidR="003079CB">
        <w:rPr>
          <w:rFonts w:ascii="Times New Roman" w:hAnsi="Times New Roman"/>
        </w:rPr>
        <w:t>na-BoNT-A</w:t>
      </w:r>
      <w:r w:rsidR="00522B6B">
        <w:rPr>
          <w:rFonts w:ascii="Times New Roman" w:hAnsi="Times New Roman"/>
        </w:rPr>
        <w:t>/</w:t>
      </w:r>
      <w:r w:rsidR="00273C28">
        <w:rPr>
          <w:rFonts w:ascii="Times New Roman" w:hAnsi="Times New Roman"/>
        </w:rPr>
        <w:t>i</w:t>
      </w:r>
      <w:r w:rsidR="003079CB">
        <w:rPr>
          <w:rFonts w:ascii="Times New Roman" w:hAnsi="Times New Roman"/>
        </w:rPr>
        <w:t>nco-BoNT-A</w:t>
      </w:r>
      <w:r w:rsidR="00522B6B">
        <w:rPr>
          <w:rFonts w:ascii="Times New Roman" w:hAnsi="Times New Roman"/>
        </w:rPr>
        <w:t xml:space="preserve"> (200 U) for optimal dosing in CD and is relatively easy to accomplish in clinical practice</w:t>
      </w:r>
      <w:r w:rsidR="004C5851">
        <w:rPr>
          <w:rFonts w:ascii="Times New Roman" w:hAnsi="Times New Roman"/>
        </w:rPr>
        <w:t>.</w:t>
      </w:r>
    </w:p>
    <w:p w14:paraId="13E4CF01" w14:textId="77777777" w:rsidR="008D7848" w:rsidRDefault="008D7848" w:rsidP="006F2109">
      <w:pPr>
        <w:tabs>
          <w:tab w:val="left" w:pos="3227"/>
        </w:tabs>
        <w:spacing w:line="480" w:lineRule="auto"/>
        <w:rPr>
          <w:rFonts w:ascii="Times New Roman" w:hAnsi="Times New Roman"/>
        </w:rPr>
      </w:pPr>
    </w:p>
    <w:p w14:paraId="7A29A9C9" w14:textId="362B6B07" w:rsidR="00D6522C" w:rsidRPr="00F41011" w:rsidRDefault="00106B79" w:rsidP="006F2109">
      <w:pPr>
        <w:tabs>
          <w:tab w:val="left" w:pos="3227"/>
        </w:tabs>
        <w:spacing w:line="480" w:lineRule="auto"/>
        <w:rPr>
          <w:rFonts w:ascii="Times New Roman" w:hAnsi="Times New Roman"/>
          <w:b/>
          <w:bCs/>
        </w:rPr>
      </w:pPr>
      <w:r>
        <w:rPr>
          <w:rFonts w:ascii="Times New Roman" w:hAnsi="Times New Roman"/>
        </w:rPr>
        <w:lastRenderedPageBreak/>
        <w:t>O</w:t>
      </w:r>
      <w:r w:rsidR="005F0F94">
        <w:rPr>
          <w:rFonts w:ascii="Times New Roman" w:hAnsi="Times New Roman"/>
        </w:rPr>
        <w:t xml:space="preserve">bservational and randomized controlled blinded studies have shown </w:t>
      </w:r>
      <w:r>
        <w:rPr>
          <w:rFonts w:ascii="Times New Roman" w:hAnsi="Times New Roman"/>
        </w:rPr>
        <w:t xml:space="preserve">that </w:t>
      </w:r>
      <w:r w:rsidR="005F0F94">
        <w:rPr>
          <w:rFonts w:ascii="Times New Roman" w:hAnsi="Times New Roman"/>
        </w:rPr>
        <w:t>longer and consistent treatment effects are associated with higher patient satisfaction</w:t>
      </w:r>
      <w:r w:rsidR="000803EE">
        <w:rPr>
          <w:rFonts w:ascii="Times New Roman" w:hAnsi="Times New Roman"/>
        </w:rPr>
        <w:t>[</w:t>
      </w:r>
      <w:r w:rsidR="004C5851">
        <w:rPr>
          <w:rFonts w:ascii="Times New Roman" w:hAnsi="Times New Roman"/>
        </w:rPr>
        <w:t>19</w:t>
      </w:r>
      <w:r w:rsidR="000803EE">
        <w:rPr>
          <w:rFonts w:ascii="Times New Roman" w:hAnsi="Times New Roman"/>
        </w:rPr>
        <w:t>].</w:t>
      </w:r>
      <w:r w:rsidR="00291940">
        <w:rPr>
          <w:rFonts w:ascii="Times New Roman" w:hAnsi="Times New Roman"/>
        </w:rPr>
        <w:t xml:space="preserve"> </w:t>
      </w:r>
      <w:r>
        <w:rPr>
          <w:rFonts w:ascii="Times New Roman" w:hAnsi="Times New Roman"/>
        </w:rPr>
        <w:t xml:space="preserve">While our study did not formally measure patient satisfaction, 26 of the 27 participants who completed this study chose to continue to receive </w:t>
      </w:r>
      <w:r w:rsidR="00273C28">
        <w:rPr>
          <w:rFonts w:ascii="Times New Roman" w:hAnsi="Times New Roman"/>
        </w:rPr>
        <w:t>a</w:t>
      </w:r>
      <w:r w:rsidR="003079CB">
        <w:rPr>
          <w:rFonts w:ascii="Times New Roman" w:hAnsi="Times New Roman"/>
        </w:rPr>
        <w:t>bo-BoNT-A</w:t>
      </w:r>
      <w:r>
        <w:rPr>
          <w:rFonts w:ascii="Times New Roman" w:hAnsi="Times New Roman"/>
        </w:rPr>
        <w:t xml:space="preserve"> therapy in the clinic. </w:t>
      </w:r>
      <w:r w:rsidR="00291940">
        <w:rPr>
          <w:rFonts w:ascii="Times New Roman" w:hAnsi="Times New Roman"/>
        </w:rPr>
        <w:t>These improvements in</w:t>
      </w:r>
      <w:r w:rsidR="00B841C4">
        <w:rPr>
          <w:rFonts w:ascii="Times New Roman" w:hAnsi="Times New Roman"/>
        </w:rPr>
        <w:t xml:space="preserve"> waning time and</w:t>
      </w:r>
      <w:r w:rsidR="00291940">
        <w:rPr>
          <w:rFonts w:ascii="Times New Roman" w:hAnsi="Times New Roman"/>
        </w:rPr>
        <w:t xml:space="preserve"> outcomes suggest </w:t>
      </w:r>
      <w:r w:rsidR="0001369F">
        <w:rPr>
          <w:rFonts w:ascii="Times New Roman" w:hAnsi="Times New Roman"/>
        </w:rPr>
        <w:t xml:space="preserve">BoNT-A-naïve </w:t>
      </w:r>
      <w:r w:rsidR="00291940">
        <w:rPr>
          <w:rFonts w:ascii="Times New Roman" w:hAnsi="Times New Roman"/>
        </w:rPr>
        <w:t>patient</w:t>
      </w:r>
      <w:r w:rsidR="00707E02">
        <w:rPr>
          <w:rFonts w:ascii="Times New Roman" w:hAnsi="Times New Roman"/>
        </w:rPr>
        <w:t>s</w:t>
      </w:r>
      <w:r w:rsidR="00D2690B">
        <w:rPr>
          <w:rFonts w:ascii="Times New Roman" w:hAnsi="Times New Roman"/>
        </w:rPr>
        <w:t xml:space="preserve"> </w:t>
      </w:r>
      <w:r w:rsidR="0001369F">
        <w:rPr>
          <w:rFonts w:ascii="Times New Roman" w:hAnsi="Times New Roman"/>
        </w:rPr>
        <w:t xml:space="preserve">or patients </w:t>
      </w:r>
      <w:r w:rsidR="00291940">
        <w:rPr>
          <w:rFonts w:ascii="Times New Roman" w:hAnsi="Times New Roman"/>
        </w:rPr>
        <w:t xml:space="preserve">with suboptimal benefit and/or shorter waning times may benefit from switching to </w:t>
      </w:r>
      <w:r w:rsidR="00273C28">
        <w:rPr>
          <w:rFonts w:ascii="Times New Roman" w:hAnsi="Times New Roman"/>
        </w:rPr>
        <w:t>a</w:t>
      </w:r>
      <w:r w:rsidR="003079CB">
        <w:rPr>
          <w:rFonts w:ascii="Times New Roman" w:hAnsi="Times New Roman"/>
        </w:rPr>
        <w:t>bo-BoNT-A</w:t>
      </w:r>
      <w:r w:rsidR="00291940">
        <w:rPr>
          <w:rFonts w:ascii="Times New Roman" w:hAnsi="Times New Roman"/>
        </w:rPr>
        <w:t xml:space="preserve"> therapy</w:t>
      </w:r>
      <w:r w:rsidR="008F2930">
        <w:rPr>
          <w:rFonts w:ascii="Times New Roman" w:hAnsi="Times New Roman"/>
        </w:rPr>
        <w:t>[20]</w:t>
      </w:r>
      <w:r w:rsidR="00291940">
        <w:rPr>
          <w:rFonts w:ascii="Times New Roman" w:hAnsi="Times New Roman"/>
        </w:rPr>
        <w:t>.</w:t>
      </w:r>
    </w:p>
    <w:p w14:paraId="334BD62C" w14:textId="77777777" w:rsidR="00BB3B72" w:rsidRDefault="00BB3B72" w:rsidP="00253A07">
      <w:pPr>
        <w:tabs>
          <w:tab w:val="left" w:pos="3227"/>
        </w:tabs>
        <w:spacing w:line="480" w:lineRule="auto"/>
        <w:rPr>
          <w:rFonts w:ascii="Times New Roman" w:hAnsi="Times New Roman"/>
          <w:lang w:val="en-CA"/>
        </w:rPr>
      </w:pPr>
    </w:p>
    <w:p w14:paraId="74364980" w14:textId="44ECD13D" w:rsidR="00253A07" w:rsidRPr="00253A07" w:rsidRDefault="00943FD9" w:rsidP="00253A07">
      <w:pPr>
        <w:tabs>
          <w:tab w:val="left" w:pos="3227"/>
        </w:tabs>
        <w:spacing w:line="480" w:lineRule="auto"/>
        <w:rPr>
          <w:rFonts w:ascii="Times New Roman" w:hAnsi="Times New Roman"/>
          <w:lang w:val="en-CA"/>
        </w:rPr>
      </w:pPr>
      <w:r>
        <w:rPr>
          <w:rFonts w:ascii="Times New Roman" w:hAnsi="Times New Roman"/>
          <w:lang w:val="en-CA"/>
        </w:rPr>
        <w:t xml:space="preserve">The results of this study were limited by the lack of blinding of </w:t>
      </w:r>
      <w:r w:rsidR="00433490">
        <w:rPr>
          <w:rFonts w:ascii="Times New Roman" w:hAnsi="Times New Roman"/>
          <w:lang w:val="en-CA"/>
        </w:rPr>
        <w:t>the</w:t>
      </w:r>
      <w:r>
        <w:rPr>
          <w:rFonts w:ascii="Times New Roman" w:hAnsi="Times New Roman"/>
          <w:lang w:val="en-CA"/>
        </w:rPr>
        <w:t xml:space="preserve"> BoNT-A formulation </w:t>
      </w:r>
      <w:r w:rsidR="00433490">
        <w:rPr>
          <w:rFonts w:ascii="Times New Roman" w:hAnsi="Times New Roman"/>
          <w:lang w:val="en-CA"/>
        </w:rPr>
        <w:t>being administered</w:t>
      </w:r>
      <w:r>
        <w:rPr>
          <w:rFonts w:ascii="Times New Roman" w:hAnsi="Times New Roman"/>
          <w:lang w:val="en-CA"/>
        </w:rPr>
        <w:t xml:space="preserve">. </w:t>
      </w:r>
      <w:r w:rsidR="00433490">
        <w:rPr>
          <w:rFonts w:ascii="Times New Roman" w:hAnsi="Times New Roman"/>
          <w:lang w:val="en-CA"/>
        </w:rPr>
        <w:t>T</w:t>
      </w:r>
      <w:r>
        <w:rPr>
          <w:rFonts w:ascii="Times New Roman" w:hAnsi="Times New Roman"/>
          <w:lang w:val="en-CA"/>
        </w:rPr>
        <w:t>h</w:t>
      </w:r>
      <w:r w:rsidR="00C56D25">
        <w:rPr>
          <w:rFonts w:ascii="Times New Roman" w:hAnsi="Times New Roman"/>
          <w:lang w:val="en-CA"/>
        </w:rPr>
        <w:t xml:space="preserve">e decision </w:t>
      </w:r>
      <w:r w:rsidR="00433490">
        <w:rPr>
          <w:rFonts w:ascii="Times New Roman" w:hAnsi="Times New Roman"/>
          <w:lang w:val="en-CA"/>
        </w:rPr>
        <w:t xml:space="preserve">to </w:t>
      </w:r>
      <w:r w:rsidR="00C56D25">
        <w:rPr>
          <w:rFonts w:ascii="Times New Roman" w:hAnsi="Times New Roman"/>
          <w:lang w:val="en-CA"/>
        </w:rPr>
        <w:t>no</w:t>
      </w:r>
      <w:r w:rsidR="00433490">
        <w:rPr>
          <w:rFonts w:ascii="Times New Roman" w:hAnsi="Times New Roman"/>
          <w:lang w:val="en-CA"/>
        </w:rPr>
        <w:t>t</w:t>
      </w:r>
      <w:r w:rsidR="00C56D25">
        <w:rPr>
          <w:rFonts w:ascii="Times New Roman" w:hAnsi="Times New Roman"/>
          <w:lang w:val="en-CA"/>
        </w:rPr>
        <w:t xml:space="preserve"> blind</w:t>
      </w:r>
      <w:r w:rsidR="00433490">
        <w:rPr>
          <w:rFonts w:ascii="Times New Roman" w:hAnsi="Times New Roman"/>
          <w:lang w:val="en-CA"/>
        </w:rPr>
        <w:t xml:space="preserve"> the participants</w:t>
      </w:r>
      <w:r w:rsidR="00C56D25">
        <w:rPr>
          <w:rFonts w:ascii="Times New Roman" w:hAnsi="Times New Roman"/>
          <w:lang w:val="en-CA"/>
        </w:rPr>
        <w:t xml:space="preserve"> </w:t>
      </w:r>
      <w:r w:rsidR="00433490">
        <w:rPr>
          <w:rFonts w:ascii="Times New Roman" w:hAnsi="Times New Roman"/>
          <w:lang w:val="en-CA"/>
        </w:rPr>
        <w:t>may have</w:t>
      </w:r>
      <w:r>
        <w:rPr>
          <w:rFonts w:ascii="Times New Roman" w:hAnsi="Times New Roman"/>
          <w:lang w:val="en-CA"/>
        </w:rPr>
        <w:t xml:space="preserve"> introduced a placebo effect. </w:t>
      </w:r>
      <w:r w:rsidR="00615AB3">
        <w:rPr>
          <w:rFonts w:ascii="Times New Roman" w:hAnsi="Times New Roman"/>
          <w:lang w:val="en-CA"/>
        </w:rPr>
        <w:t xml:space="preserve">This may be mitigated to some extent by the reconversion to the original formulation. </w:t>
      </w:r>
      <w:r>
        <w:rPr>
          <w:rFonts w:ascii="Times New Roman" w:hAnsi="Times New Roman"/>
          <w:lang w:val="en-CA"/>
        </w:rPr>
        <w:t>F</w:t>
      </w:r>
      <w:r w:rsidR="0051549D">
        <w:rPr>
          <w:rFonts w:ascii="Times New Roman" w:hAnsi="Times New Roman"/>
          <w:lang w:val="en-CA"/>
        </w:rPr>
        <w:t>or f</w:t>
      </w:r>
      <w:r>
        <w:rPr>
          <w:rFonts w:ascii="Times New Roman" w:hAnsi="Times New Roman"/>
          <w:lang w:val="en-CA"/>
        </w:rPr>
        <w:t>uture studies</w:t>
      </w:r>
      <w:r w:rsidR="0051549D">
        <w:rPr>
          <w:rFonts w:ascii="Times New Roman" w:hAnsi="Times New Roman"/>
          <w:lang w:val="en-CA"/>
        </w:rPr>
        <w:t>, patients</w:t>
      </w:r>
      <w:r>
        <w:rPr>
          <w:rFonts w:ascii="Times New Roman" w:hAnsi="Times New Roman"/>
          <w:lang w:val="en-CA"/>
        </w:rPr>
        <w:t xml:space="preserve"> may </w:t>
      </w:r>
      <w:r w:rsidR="0051549D">
        <w:rPr>
          <w:rFonts w:ascii="Times New Roman" w:hAnsi="Times New Roman"/>
          <w:lang w:val="en-CA"/>
        </w:rPr>
        <w:t xml:space="preserve">be </w:t>
      </w:r>
      <w:r>
        <w:rPr>
          <w:rFonts w:ascii="Times New Roman" w:hAnsi="Times New Roman"/>
          <w:lang w:val="en-CA"/>
        </w:rPr>
        <w:t>blind</w:t>
      </w:r>
      <w:r w:rsidR="0051549D">
        <w:rPr>
          <w:rFonts w:ascii="Times New Roman" w:hAnsi="Times New Roman"/>
          <w:lang w:val="en-CA"/>
        </w:rPr>
        <w:t>ed to control for possible placebo effects</w:t>
      </w:r>
      <w:r>
        <w:rPr>
          <w:rFonts w:ascii="Times New Roman" w:hAnsi="Times New Roman"/>
          <w:lang w:val="en-CA"/>
        </w:rPr>
        <w:t xml:space="preserve"> </w:t>
      </w:r>
      <w:r w:rsidR="0051549D">
        <w:rPr>
          <w:rFonts w:ascii="Times New Roman" w:hAnsi="Times New Roman"/>
          <w:lang w:val="en-CA"/>
        </w:rPr>
        <w:t xml:space="preserve">and </w:t>
      </w:r>
      <w:r>
        <w:rPr>
          <w:rFonts w:ascii="Times New Roman" w:hAnsi="Times New Roman"/>
          <w:lang w:val="en-CA"/>
        </w:rPr>
        <w:t xml:space="preserve">include measures of patient satisfaction </w:t>
      </w:r>
      <w:r w:rsidR="009D0EAE">
        <w:rPr>
          <w:rFonts w:ascii="Times New Roman" w:hAnsi="Times New Roman"/>
          <w:lang w:val="en-CA"/>
        </w:rPr>
        <w:t xml:space="preserve">to associate with suggested longer waning </w:t>
      </w:r>
      <w:r w:rsidR="00A56C4B">
        <w:rPr>
          <w:rFonts w:ascii="Times New Roman" w:hAnsi="Times New Roman"/>
          <w:lang w:val="en-CA"/>
        </w:rPr>
        <w:t>times</w:t>
      </w:r>
      <w:r w:rsidR="0051549D">
        <w:rPr>
          <w:rFonts w:ascii="Times New Roman" w:hAnsi="Times New Roman"/>
          <w:lang w:val="en-CA"/>
        </w:rPr>
        <w:t>. As</w:t>
      </w:r>
      <w:r w:rsidR="00A56C4B">
        <w:rPr>
          <w:rFonts w:ascii="Times New Roman" w:hAnsi="Times New Roman"/>
          <w:lang w:val="en-CA"/>
        </w:rPr>
        <w:t xml:space="preserve"> </w:t>
      </w:r>
      <w:r w:rsidR="0051549D">
        <w:rPr>
          <w:rFonts w:ascii="Times New Roman" w:hAnsi="Times New Roman"/>
          <w:lang w:val="en-CA"/>
        </w:rPr>
        <w:t>2 participants wait</w:t>
      </w:r>
      <w:r w:rsidR="00615AB3">
        <w:rPr>
          <w:rFonts w:ascii="Times New Roman" w:hAnsi="Times New Roman"/>
          <w:lang w:val="en-CA"/>
        </w:rPr>
        <w:t>ed</w:t>
      </w:r>
      <w:r w:rsidR="0051549D">
        <w:rPr>
          <w:rFonts w:ascii="Times New Roman" w:hAnsi="Times New Roman"/>
          <w:lang w:val="en-CA"/>
        </w:rPr>
        <w:t xml:space="preserve"> an extra 4 weeks before their 4</w:t>
      </w:r>
      <w:r w:rsidR="0051549D" w:rsidRPr="009D0EAE">
        <w:rPr>
          <w:rFonts w:ascii="Times New Roman" w:hAnsi="Times New Roman"/>
          <w:vertAlign w:val="superscript"/>
          <w:lang w:val="en-CA"/>
        </w:rPr>
        <w:t>th</w:t>
      </w:r>
      <w:r w:rsidR="0051549D">
        <w:rPr>
          <w:rFonts w:ascii="Times New Roman" w:hAnsi="Times New Roman"/>
          <w:lang w:val="en-CA"/>
        </w:rPr>
        <w:t xml:space="preserve"> injection due to continued benefit at week 12, </w:t>
      </w:r>
      <w:r w:rsidR="009D0EAE">
        <w:rPr>
          <w:rFonts w:ascii="Times New Roman" w:hAnsi="Times New Roman"/>
          <w:lang w:val="en-CA"/>
        </w:rPr>
        <w:t xml:space="preserve">flexible injection intervals </w:t>
      </w:r>
      <w:r w:rsidR="0051549D">
        <w:rPr>
          <w:rFonts w:ascii="Times New Roman" w:hAnsi="Times New Roman"/>
          <w:lang w:val="en-CA"/>
        </w:rPr>
        <w:t>may be considered for future trials</w:t>
      </w:r>
      <w:r w:rsidR="009D0EAE">
        <w:rPr>
          <w:rFonts w:ascii="Times New Roman" w:hAnsi="Times New Roman"/>
          <w:lang w:val="en-CA"/>
        </w:rPr>
        <w:t xml:space="preserve">.  </w:t>
      </w:r>
    </w:p>
    <w:p w14:paraId="492271D1" w14:textId="77777777" w:rsidR="002C5D8B" w:rsidRPr="00253A07" w:rsidRDefault="002C5D8B" w:rsidP="006F2109">
      <w:pPr>
        <w:tabs>
          <w:tab w:val="left" w:pos="3227"/>
        </w:tabs>
        <w:spacing w:line="480" w:lineRule="auto"/>
        <w:rPr>
          <w:rFonts w:ascii="Times New Roman" w:hAnsi="Times New Roman"/>
          <w:lang w:val="en-CA"/>
        </w:rPr>
      </w:pPr>
    </w:p>
    <w:p w14:paraId="332E3C1B" w14:textId="5DA80C93" w:rsidR="002C5D8B" w:rsidRDefault="00712203" w:rsidP="002C5D8B">
      <w:pPr>
        <w:tabs>
          <w:tab w:val="left" w:pos="3227"/>
        </w:tabs>
        <w:spacing w:line="480" w:lineRule="auto"/>
        <w:rPr>
          <w:rFonts w:ascii="Times New Roman" w:hAnsi="Times New Roman"/>
        </w:rPr>
      </w:pPr>
      <w:r>
        <w:rPr>
          <w:rFonts w:ascii="Times New Roman" w:hAnsi="Times New Roman"/>
        </w:rPr>
        <w:t xml:space="preserve">This study shows that waning off early remains an issue even in patients that are optimized by an expert injector. Switching to another toxin is generally not considered as an option considering that all toxins are BoNT-A. However, the results of this study show that conversion to </w:t>
      </w:r>
      <w:r w:rsidR="00C03FC7">
        <w:rPr>
          <w:rFonts w:ascii="Times New Roman" w:hAnsi="Times New Roman"/>
        </w:rPr>
        <w:t>a</w:t>
      </w:r>
      <w:r w:rsidR="003079CB">
        <w:rPr>
          <w:rFonts w:ascii="Times New Roman" w:hAnsi="Times New Roman"/>
        </w:rPr>
        <w:t>bo-BoNT-A</w:t>
      </w:r>
      <w:r>
        <w:rPr>
          <w:rFonts w:ascii="Times New Roman" w:hAnsi="Times New Roman"/>
        </w:rPr>
        <w:t xml:space="preserve"> improves the quality and duration of the effect and therefore should be considered as an important tool for improvement of patient quality of life. Reconversion to the prior toxin reverses this benefit, resulting in the majority of patients wanting to remain on </w:t>
      </w:r>
      <w:r w:rsidR="00273C28">
        <w:rPr>
          <w:rFonts w:ascii="Times New Roman" w:hAnsi="Times New Roman"/>
        </w:rPr>
        <w:t>a</w:t>
      </w:r>
      <w:r w:rsidR="003079CB">
        <w:rPr>
          <w:rFonts w:ascii="Times New Roman" w:hAnsi="Times New Roman"/>
        </w:rPr>
        <w:t>bo-BoNT-A</w:t>
      </w:r>
      <w:r>
        <w:rPr>
          <w:rFonts w:ascii="Times New Roman" w:hAnsi="Times New Roman"/>
        </w:rPr>
        <w:t xml:space="preserve">.  </w:t>
      </w:r>
    </w:p>
    <w:p w14:paraId="2A4E434F" w14:textId="77777777" w:rsidR="00FF569C" w:rsidRDefault="00FF569C" w:rsidP="002C5D8B">
      <w:pPr>
        <w:tabs>
          <w:tab w:val="left" w:pos="3227"/>
        </w:tabs>
        <w:spacing w:line="480" w:lineRule="auto"/>
        <w:rPr>
          <w:rFonts w:ascii="Times New Roman" w:hAnsi="Times New Roman"/>
        </w:rPr>
      </w:pPr>
    </w:p>
    <w:p w14:paraId="369FFE13" w14:textId="77777777" w:rsidR="00FF569C" w:rsidRPr="00F341FC" w:rsidRDefault="00FF569C" w:rsidP="00FF569C">
      <w:pPr>
        <w:tabs>
          <w:tab w:val="left" w:pos="3227"/>
        </w:tabs>
        <w:spacing w:line="480" w:lineRule="auto"/>
        <w:rPr>
          <w:rStyle w:val="fontstyle01"/>
          <w:b/>
          <w:bCs/>
          <w:sz w:val="24"/>
          <w:szCs w:val="24"/>
        </w:rPr>
      </w:pPr>
      <w:r w:rsidRPr="00F341FC">
        <w:rPr>
          <w:rStyle w:val="fontstyle01"/>
          <w:b/>
          <w:bCs/>
          <w:sz w:val="24"/>
          <w:szCs w:val="24"/>
        </w:rPr>
        <w:t>Acknowledgement</w:t>
      </w:r>
    </w:p>
    <w:p w14:paraId="32E2FF56" w14:textId="3C134111" w:rsidR="00FF569C" w:rsidRDefault="00FF569C" w:rsidP="00FF569C">
      <w:pPr>
        <w:tabs>
          <w:tab w:val="left" w:pos="3227"/>
        </w:tabs>
        <w:spacing w:line="480" w:lineRule="auto"/>
        <w:rPr>
          <w:rStyle w:val="fontstyle01"/>
          <w:sz w:val="24"/>
          <w:szCs w:val="24"/>
        </w:rPr>
      </w:pPr>
      <w:r>
        <w:rPr>
          <w:rFonts w:ascii="Open Sans" w:hAnsi="Open Sans" w:cs="Open Sans"/>
          <w:color w:val="000000"/>
          <w:shd w:val="clear" w:color="auto" w:fill="FFFFFF"/>
        </w:rPr>
        <w:lastRenderedPageBreak/>
        <w:t>We would like to acknowledge the contribution by the participants who assisted in this project at the National Parkinson Foundation Centre of Excellence, London Movement Disorders Centre located in London, Ontario, Canada</w:t>
      </w:r>
      <w:r>
        <w:rPr>
          <w:rStyle w:val="fontstyle01"/>
          <w:sz w:val="24"/>
          <w:szCs w:val="24"/>
        </w:rPr>
        <w:t>.</w:t>
      </w:r>
    </w:p>
    <w:p w14:paraId="539D5701" w14:textId="77777777" w:rsidR="008D3CDE" w:rsidRPr="008D3CDE" w:rsidRDefault="008D3CDE" w:rsidP="008D3CDE">
      <w:pPr>
        <w:spacing w:line="480" w:lineRule="auto"/>
        <w:rPr>
          <w:rFonts w:ascii="Times New Roman" w:hAnsi="Times New Roman"/>
          <w:b/>
          <w:bCs/>
          <w:color w:val="111111"/>
        </w:rPr>
      </w:pPr>
    </w:p>
    <w:p w14:paraId="42979AE9" w14:textId="2B436422" w:rsidR="009D7E44" w:rsidRDefault="009D7E44" w:rsidP="009D7E44">
      <w:pPr>
        <w:spacing w:line="480" w:lineRule="auto"/>
        <w:rPr>
          <w:rFonts w:ascii="Times New Roman" w:hAnsi="Times New Roman"/>
        </w:rPr>
      </w:pPr>
      <w:r>
        <w:rPr>
          <w:rFonts w:ascii="Times New Roman" w:hAnsi="Times New Roman"/>
          <w:b/>
          <w:bCs/>
        </w:rPr>
        <w:t xml:space="preserve">Author </w:t>
      </w:r>
      <w:r w:rsidR="00D12CC8">
        <w:rPr>
          <w:rFonts w:ascii="Times New Roman" w:hAnsi="Times New Roman"/>
          <w:b/>
          <w:bCs/>
        </w:rPr>
        <w:t>contribution</w:t>
      </w:r>
    </w:p>
    <w:p w14:paraId="0E607968" w14:textId="31C4D222" w:rsidR="006F2109" w:rsidRDefault="009D7E44" w:rsidP="006F2109">
      <w:pPr>
        <w:spacing w:line="480" w:lineRule="auto"/>
        <w:rPr>
          <w:rFonts w:ascii="Times New Roman" w:hAnsi="Times New Roman"/>
        </w:rPr>
      </w:pPr>
      <w:r w:rsidRPr="00345733">
        <w:rPr>
          <w:rFonts w:ascii="Times New Roman" w:hAnsi="Times New Roman"/>
        </w:rPr>
        <w:t>Research Project: A. Conception, B. Organization, C. Execution; (2) Statistical Analysis: A. Design, B. Execution, C. Review and Critique; (3) Manuscript: A. Writing of the first draft, B. Review and Critique.</w:t>
      </w:r>
    </w:p>
    <w:p w14:paraId="3D3C1296" w14:textId="77777777" w:rsidR="00215128" w:rsidRDefault="00215128" w:rsidP="00215128">
      <w:pPr>
        <w:spacing w:line="480" w:lineRule="auto"/>
        <w:rPr>
          <w:rStyle w:val="fontstyle01"/>
          <w:sz w:val="24"/>
          <w:szCs w:val="24"/>
        </w:rPr>
      </w:pPr>
      <w:r>
        <w:rPr>
          <w:rStyle w:val="fontstyle01"/>
          <w:sz w:val="24"/>
          <w:szCs w:val="24"/>
        </w:rPr>
        <w:t>OS: 1A, 1B, 1C, 2A, 2B, 2C, 3A</w:t>
      </w:r>
    </w:p>
    <w:p w14:paraId="0073A95F" w14:textId="70355715" w:rsidR="008D3CDE" w:rsidRDefault="00215128" w:rsidP="009D7E44">
      <w:pPr>
        <w:spacing w:line="480" w:lineRule="auto"/>
        <w:rPr>
          <w:rStyle w:val="fontstyle01"/>
          <w:sz w:val="24"/>
          <w:szCs w:val="24"/>
        </w:rPr>
      </w:pPr>
      <w:r>
        <w:rPr>
          <w:rStyle w:val="fontstyle01"/>
          <w:sz w:val="24"/>
          <w:szCs w:val="24"/>
        </w:rPr>
        <w:t>MJ: 1A, 1B, 1C, 2C, 3A, 3B</w:t>
      </w:r>
    </w:p>
    <w:p w14:paraId="61DCAEF6" w14:textId="77777777" w:rsidR="00FF569C" w:rsidRDefault="00FF569C" w:rsidP="009D7E44">
      <w:pPr>
        <w:spacing w:line="480" w:lineRule="auto"/>
        <w:rPr>
          <w:rStyle w:val="fontstyle01"/>
          <w:sz w:val="24"/>
          <w:szCs w:val="24"/>
        </w:rPr>
      </w:pPr>
    </w:p>
    <w:p w14:paraId="55657F0A" w14:textId="567D92E9" w:rsidR="00DB1E12" w:rsidRPr="00545F21" w:rsidRDefault="00DB1E12" w:rsidP="00FF569C">
      <w:pPr>
        <w:spacing w:line="480" w:lineRule="auto"/>
        <w:rPr>
          <w:rFonts w:ascii="Times New Roman" w:hAnsi="Times New Roman"/>
        </w:rPr>
      </w:pPr>
      <w:r>
        <w:rPr>
          <w:rStyle w:val="Strong"/>
        </w:rPr>
        <w:t>Ethics approval and consent to participate</w:t>
      </w:r>
    </w:p>
    <w:p w14:paraId="53D24A17" w14:textId="747C7661" w:rsidR="0001545F" w:rsidRDefault="009D7E44" w:rsidP="009D7E44">
      <w:pPr>
        <w:spacing w:line="480" w:lineRule="auto"/>
        <w:rPr>
          <w:rFonts w:ascii="Times New Roman" w:hAnsi="Times New Roman"/>
        </w:rPr>
      </w:pPr>
      <w:r w:rsidRPr="009D7E44">
        <w:rPr>
          <w:rFonts w:ascii="Times New Roman" w:hAnsi="Times New Roman"/>
        </w:rPr>
        <w:t>The authors confirm that the</w:t>
      </w:r>
      <w:r>
        <w:rPr>
          <w:rFonts w:ascii="Times New Roman" w:hAnsi="Times New Roman"/>
        </w:rPr>
        <w:t xml:space="preserve"> </w:t>
      </w:r>
      <w:r w:rsidRPr="009D7E44">
        <w:rPr>
          <w:rFonts w:ascii="Times New Roman" w:hAnsi="Times New Roman"/>
        </w:rPr>
        <w:t xml:space="preserve">approval of an Institutional Review Board </w:t>
      </w:r>
      <w:r>
        <w:rPr>
          <w:rFonts w:ascii="Times New Roman" w:hAnsi="Times New Roman"/>
        </w:rPr>
        <w:t>was</w:t>
      </w:r>
      <w:r w:rsidRPr="009D7E44">
        <w:rPr>
          <w:rFonts w:ascii="Times New Roman" w:hAnsi="Times New Roman"/>
        </w:rPr>
        <w:t xml:space="preserve"> required for</w:t>
      </w:r>
      <w:r>
        <w:rPr>
          <w:rFonts w:ascii="Times New Roman" w:hAnsi="Times New Roman"/>
        </w:rPr>
        <w:t xml:space="preserve"> </w:t>
      </w:r>
      <w:r w:rsidRPr="009D7E44">
        <w:rPr>
          <w:rFonts w:ascii="Times New Roman" w:hAnsi="Times New Roman"/>
        </w:rPr>
        <w:t xml:space="preserve">this work. Informed written consent was obtained from </w:t>
      </w:r>
      <w:r>
        <w:rPr>
          <w:rFonts w:ascii="Times New Roman" w:hAnsi="Times New Roman"/>
        </w:rPr>
        <w:t xml:space="preserve">all </w:t>
      </w:r>
      <w:r w:rsidRPr="009D7E44">
        <w:rPr>
          <w:rFonts w:ascii="Times New Roman" w:hAnsi="Times New Roman"/>
        </w:rPr>
        <w:t>patient</w:t>
      </w:r>
      <w:r>
        <w:rPr>
          <w:rFonts w:ascii="Times New Roman" w:hAnsi="Times New Roman"/>
        </w:rPr>
        <w:t>s</w:t>
      </w:r>
      <w:r w:rsidRPr="009D7E44">
        <w:rPr>
          <w:rFonts w:ascii="Times New Roman" w:hAnsi="Times New Roman"/>
        </w:rPr>
        <w:t>. We confirm that we have read the journal’s position on</w:t>
      </w:r>
      <w:r>
        <w:rPr>
          <w:rFonts w:ascii="Times New Roman" w:hAnsi="Times New Roman"/>
        </w:rPr>
        <w:t xml:space="preserve"> </w:t>
      </w:r>
      <w:r w:rsidRPr="009D7E44">
        <w:rPr>
          <w:rFonts w:ascii="Times New Roman" w:hAnsi="Times New Roman"/>
        </w:rPr>
        <w:t>issues involved in ethical publication and affirm that this work is</w:t>
      </w:r>
      <w:r>
        <w:rPr>
          <w:rFonts w:ascii="Times New Roman" w:hAnsi="Times New Roman"/>
        </w:rPr>
        <w:t xml:space="preserve"> </w:t>
      </w:r>
      <w:r w:rsidRPr="009D7E44">
        <w:rPr>
          <w:rFonts w:ascii="Times New Roman" w:hAnsi="Times New Roman"/>
        </w:rPr>
        <w:t>consistent with those guidelines.</w:t>
      </w:r>
    </w:p>
    <w:p w14:paraId="2C9057FA" w14:textId="77777777" w:rsidR="008D3CDE" w:rsidRDefault="008D3CDE" w:rsidP="006F2109">
      <w:pPr>
        <w:spacing w:line="480" w:lineRule="auto"/>
        <w:rPr>
          <w:rFonts w:ascii="Times New Roman" w:hAnsi="Times New Roman"/>
          <w:b/>
          <w:bCs/>
        </w:rPr>
      </w:pPr>
    </w:p>
    <w:p w14:paraId="5EE4426C" w14:textId="5186F42C" w:rsidR="00BA5576" w:rsidRDefault="009D7E44" w:rsidP="006F2109">
      <w:pPr>
        <w:spacing w:line="480" w:lineRule="auto"/>
        <w:rPr>
          <w:rFonts w:ascii="Times New Roman" w:hAnsi="Times New Roman"/>
          <w:b/>
          <w:bCs/>
        </w:rPr>
      </w:pPr>
      <w:r>
        <w:rPr>
          <w:rFonts w:ascii="Times New Roman" w:hAnsi="Times New Roman"/>
          <w:b/>
          <w:bCs/>
        </w:rPr>
        <w:t>Funding</w:t>
      </w:r>
      <w:r w:rsidR="00BA5576">
        <w:rPr>
          <w:rFonts w:ascii="Times New Roman" w:hAnsi="Times New Roman"/>
          <w:b/>
          <w:bCs/>
        </w:rPr>
        <w:t xml:space="preserve"> </w:t>
      </w:r>
    </w:p>
    <w:p w14:paraId="07861586" w14:textId="09B471CF" w:rsidR="00BA5576" w:rsidRDefault="009D7E44" w:rsidP="006F2109">
      <w:pPr>
        <w:spacing w:line="480" w:lineRule="auto"/>
        <w:rPr>
          <w:rFonts w:ascii="Times New Roman" w:hAnsi="Times New Roman"/>
        </w:rPr>
      </w:pPr>
      <w:r w:rsidRPr="006F2109">
        <w:rPr>
          <w:rStyle w:val="fontstyle01"/>
          <w:sz w:val="24"/>
          <w:szCs w:val="24"/>
        </w:rPr>
        <w:t xml:space="preserve">This study was partially funded by a research grant from </w:t>
      </w:r>
      <w:r>
        <w:rPr>
          <w:rStyle w:val="fontstyle01"/>
          <w:sz w:val="24"/>
          <w:szCs w:val="24"/>
        </w:rPr>
        <w:t>Ipsen Biopharmaceuticals Canada Inc.</w:t>
      </w:r>
    </w:p>
    <w:p w14:paraId="4A20F66E" w14:textId="77777777" w:rsidR="0085172D" w:rsidRDefault="0085172D" w:rsidP="006F2109">
      <w:pPr>
        <w:spacing w:line="480" w:lineRule="auto"/>
        <w:rPr>
          <w:rFonts w:ascii="Times New Roman" w:hAnsi="Times New Roman"/>
        </w:rPr>
      </w:pPr>
    </w:p>
    <w:p w14:paraId="0A0AAC7A" w14:textId="5301A715" w:rsidR="00FF569C" w:rsidRPr="00F72EA7" w:rsidRDefault="00FF569C" w:rsidP="00FF569C">
      <w:pPr>
        <w:spacing w:line="480" w:lineRule="auto"/>
      </w:pPr>
      <w:r>
        <w:rPr>
          <w:rFonts w:ascii="Times New Roman" w:hAnsi="Times New Roman"/>
          <w:b/>
          <w:bCs/>
        </w:rPr>
        <w:t>Con</w:t>
      </w:r>
      <w:r w:rsidR="00F72EA7">
        <w:rPr>
          <w:rFonts w:ascii="Times New Roman" w:hAnsi="Times New Roman"/>
          <w:b/>
          <w:bCs/>
        </w:rPr>
        <w:t>fl</w:t>
      </w:r>
      <w:r>
        <w:rPr>
          <w:rFonts w:ascii="Times New Roman" w:hAnsi="Times New Roman"/>
          <w:b/>
          <w:bCs/>
        </w:rPr>
        <w:t>ict of interest</w:t>
      </w:r>
    </w:p>
    <w:p w14:paraId="568780C9" w14:textId="77777777" w:rsidR="00FF569C" w:rsidRDefault="00FF569C" w:rsidP="00FF569C">
      <w:pPr>
        <w:spacing w:line="480" w:lineRule="auto"/>
        <w:rPr>
          <w:rStyle w:val="fontstyle01"/>
          <w:b/>
          <w:bCs/>
          <w:sz w:val="24"/>
          <w:szCs w:val="24"/>
        </w:rPr>
      </w:pPr>
      <w:r w:rsidRPr="009D7E44">
        <w:rPr>
          <w:rFonts w:ascii="Times New Roman" w:hAnsi="Times New Roman"/>
        </w:rPr>
        <w:t>Jog</w:t>
      </w:r>
      <w:r w:rsidRPr="006A12E8">
        <w:rPr>
          <w:rFonts w:ascii="Times New Roman" w:hAnsi="Times New Roman"/>
        </w:rPr>
        <w:t xml:space="preserve"> is a scientific advisor and receives research financial support from the following companies: AbbVie, Allergan Inc., Boston Scientific, Ipsen, MDDT Inc., Medtronic, Merz Pharma, </w:t>
      </w:r>
      <w:r w:rsidRPr="006A12E8">
        <w:rPr>
          <w:rFonts w:ascii="Times New Roman" w:hAnsi="Times New Roman"/>
        </w:rPr>
        <w:lastRenderedPageBreak/>
        <w:t xml:space="preserve">Novartis, and Teva Pharmaceuticals. </w:t>
      </w:r>
      <w:r w:rsidRPr="00AE6465">
        <w:rPr>
          <w:rFonts w:ascii="Times New Roman" w:hAnsi="Times New Roman"/>
        </w:rPr>
        <w:t>In addition, Jog has two patents PCT/CA2013/000804</w:t>
      </w:r>
      <w:r>
        <w:rPr>
          <w:rFonts w:ascii="Times New Roman" w:hAnsi="Times New Roman"/>
        </w:rPr>
        <w:t xml:space="preserve"> </w:t>
      </w:r>
      <w:r w:rsidRPr="00AE6465">
        <w:rPr>
          <w:rFonts w:ascii="Times New Roman" w:hAnsi="Times New Roman"/>
        </w:rPr>
        <w:t>and PCT/CA2014/050893 pending that are assigned to MDDT Inc.</w:t>
      </w:r>
      <w:r>
        <w:rPr>
          <w:rFonts w:ascii="Times New Roman" w:hAnsi="Times New Roman"/>
        </w:rPr>
        <w:t xml:space="preserve"> </w:t>
      </w:r>
      <w:r w:rsidRPr="006A12E8">
        <w:rPr>
          <w:rFonts w:ascii="Times New Roman" w:hAnsi="Times New Roman"/>
        </w:rPr>
        <w:t>Jog is a shareholder of MDDT Inc. MDDT Inc. has contract agreements with both Merz Pharma and Allergan on the commercial applications of TremorTek™ and Hinge Diagnostics™. Samotus report</w:t>
      </w:r>
      <w:r>
        <w:rPr>
          <w:rFonts w:ascii="Times New Roman" w:hAnsi="Times New Roman"/>
        </w:rPr>
        <w:t>s</w:t>
      </w:r>
      <w:r w:rsidRPr="006A12E8">
        <w:rPr>
          <w:rFonts w:ascii="Times New Roman" w:hAnsi="Times New Roman"/>
        </w:rPr>
        <w:t xml:space="preserve"> no conflict of interests</w:t>
      </w:r>
      <w:r>
        <w:rPr>
          <w:rFonts w:ascii="Times New Roman" w:hAnsi="Times New Roman"/>
        </w:rPr>
        <w:t xml:space="preserve"> during the conduct of the study and during the original writing and editing of the manuscript. </w:t>
      </w:r>
      <w:r w:rsidRPr="0001545F">
        <w:rPr>
          <w:rFonts w:ascii="Times New Roman" w:hAnsi="Times New Roman"/>
        </w:rPr>
        <w:t xml:space="preserve">Samotus collected and analyzed the study data and </w:t>
      </w:r>
      <w:r>
        <w:rPr>
          <w:rFonts w:ascii="Times New Roman" w:hAnsi="Times New Roman"/>
        </w:rPr>
        <w:t>co-</w:t>
      </w:r>
      <w:r w:rsidRPr="0001545F">
        <w:rPr>
          <w:rFonts w:ascii="Times New Roman" w:hAnsi="Times New Roman"/>
        </w:rPr>
        <w:t>wrote the manuscript as a researcher at the London Movement Disorders Centre – London Health Sciences Centre prior to joining Ipsen Biopharmaceuticals Canada Inc. Samotus is currently an Ipsen Biopharmaceuticals Canada employee</w:t>
      </w:r>
      <w:r>
        <w:rPr>
          <w:rFonts w:ascii="Times New Roman" w:hAnsi="Times New Roman"/>
        </w:rPr>
        <w:t xml:space="preserve">. </w:t>
      </w:r>
      <w:r>
        <w:rPr>
          <w:rStyle w:val="fontstyle01"/>
          <w:sz w:val="24"/>
          <w:szCs w:val="24"/>
        </w:rPr>
        <w:t>Jog and Samotus report no financial disclosures.</w:t>
      </w:r>
    </w:p>
    <w:p w14:paraId="60A22BCA" w14:textId="77777777" w:rsidR="006964B8" w:rsidRDefault="006964B8" w:rsidP="006964B8">
      <w:pPr>
        <w:tabs>
          <w:tab w:val="left" w:pos="3227"/>
        </w:tabs>
        <w:spacing w:line="480" w:lineRule="auto"/>
        <w:rPr>
          <w:rStyle w:val="fontstyle01"/>
          <w:b/>
          <w:bCs/>
          <w:sz w:val="24"/>
          <w:szCs w:val="24"/>
        </w:rPr>
      </w:pPr>
      <w:r w:rsidRPr="00F341FC">
        <w:rPr>
          <w:rStyle w:val="fontstyle01"/>
          <w:b/>
          <w:bCs/>
          <w:sz w:val="24"/>
          <w:szCs w:val="24"/>
        </w:rPr>
        <w:t>Data availability statement</w:t>
      </w:r>
    </w:p>
    <w:p w14:paraId="4876CB09" w14:textId="77777777" w:rsidR="006964B8" w:rsidRPr="00F341FC" w:rsidRDefault="006964B8" w:rsidP="006964B8">
      <w:pPr>
        <w:tabs>
          <w:tab w:val="left" w:pos="3227"/>
        </w:tabs>
        <w:spacing w:line="480" w:lineRule="auto"/>
        <w:rPr>
          <w:rStyle w:val="fontstyle01"/>
          <w:sz w:val="24"/>
          <w:szCs w:val="24"/>
        </w:rPr>
      </w:pPr>
      <w:r w:rsidRPr="00F341FC">
        <w:rPr>
          <w:rStyle w:val="fontstyle01"/>
          <w:sz w:val="24"/>
          <w:szCs w:val="24"/>
        </w:rPr>
        <w:t>All</w:t>
      </w:r>
      <w:r>
        <w:rPr>
          <w:rStyle w:val="fontstyle01"/>
          <w:sz w:val="24"/>
          <w:szCs w:val="24"/>
        </w:rPr>
        <w:t xml:space="preserve"> the data generated and used during the study is provided in the manuscript file.</w:t>
      </w:r>
    </w:p>
    <w:p w14:paraId="115F5EB1" w14:textId="77777777" w:rsidR="003F6F8D" w:rsidRDefault="003F6F8D" w:rsidP="00BA5576">
      <w:pPr>
        <w:tabs>
          <w:tab w:val="left" w:pos="3227"/>
        </w:tabs>
        <w:spacing w:line="480" w:lineRule="auto"/>
        <w:rPr>
          <w:rStyle w:val="fontstyle01"/>
          <w:sz w:val="24"/>
          <w:szCs w:val="24"/>
        </w:rPr>
      </w:pPr>
    </w:p>
    <w:p w14:paraId="0A3EED3C" w14:textId="34DDE563" w:rsidR="006F2109" w:rsidRDefault="006F2109" w:rsidP="006F2109">
      <w:pPr>
        <w:tabs>
          <w:tab w:val="left" w:pos="3227"/>
        </w:tabs>
        <w:spacing w:line="480" w:lineRule="auto"/>
        <w:rPr>
          <w:rFonts w:ascii="Times New Roman" w:hAnsi="Times New Roman"/>
          <w:b/>
          <w:bCs/>
        </w:rPr>
      </w:pPr>
      <w:r>
        <w:rPr>
          <w:rFonts w:ascii="Times New Roman" w:hAnsi="Times New Roman"/>
          <w:b/>
          <w:bCs/>
        </w:rPr>
        <w:t>References</w:t>
      </w:r>
    </w:p>
    <w:p w14:paraId="083752CC" w14:textId="2A2D85F0" w:rsidR="00D2690B" w:rsidRDefault="00D2690B" w:rsidP="00D2690B">
      <w:pPr>
        <w:pStyle w:val="ListParagraph"/>
        <w:numPr>
          <w:ilvl w:val="0"/>
          <w:numId w:val="1"/>
        </w:numPr>
        <w:tabs>
          <w:tab w:val="left" w:pos="3227"/>
        </w:tabs>
        <w:rPr>
          <w:rFonts w:ascii="Times New Roman" w:hAnsi="Times New Roman"/>
        </w:rPr>
      </w:pPr>
      <w:r w:rsidRPr="005456E0">
        <w:rPr>
          <w:rFonts w:ascii="Times New Roman" w:hAnsi="Times New Roman"/>
        </w:rPr>
        <w:t xml:space="preserve">Oral A. Is Botulinum Toxin Type A Efficacious, Safe, and Tolerable in Cervical Dystonia?: A Cochrane Review Summary With Commentary. </w:t>
      </w:r>
      <w:r w:rsidRPr="00345733">
        <w:rPr>
          <w:rFonts w:ascii="Times New Roman" w:hAnsi="Times New Roman"/>
          <w:i/>
          <w:iCs/>
        </w:rPr>
        <w:t>Am J Phys Med Rehabil</w:t>
      </w:r>
      <w:r w:rsidRPr="005456E0">
        <w:rPr>
          <w:rFonts w:ascii="Times New Roman" w:hAnsi="Times New Roman"/>
        </w:rPr>
        <w:t xml:space="preserve"> 2020;99(7):649-651.</w:t>
      </w:r>
    </w:p>
    <w:p w14:paraId="4D70053F" w14:textId="7640E05C" w:rsidR="00D2690B" w:rsidRPr="00AC5D5B" w:rsidRDefault="00D2690B" w:rsidP="00D2690B">
      <w:pPr>
        <w:pStyle w:val="ListParagraph"/>
        <w:numPr>
          <w:ilvl w:val="0"/>
          <w:numId w:val="1"/>
        </w:numPr>
        <w:tabs>
          <w:tab w:val="left" w:pos="3227"/>
        </w:tabs>
        <w:rPr>
          <w:rFonts w:ascii="Times New Roman" w:hAnsi="Times New Roman"/>
        </w:rPr>
      </w:pPr>
      <w:r w:rsidRPr="00AC5D5B">
        <w:rPr>
          <w:rFonts w:ascii="Times New Roman" w:hAnsi="Times New Roman"/>
        </w:rPr>
        <w:t xml:space="preserve">Comella C, Ferreira JJ, Pain E, Azoulai M, Om S. Patient perspectives on the therapeutic profile of botulinum neurotoxin type A in cervical dystonia. </w:t>
      </w:r>
      <w:r w:rsidRPr="00345733">
        <w:rPr>
          <w:rFonts w:ascii="Times New Roman" w:hAnsi="Times New Roman"/>
          <w:i/>
          <w:iCs/>
        </w:rPr>
        <w:t>J Neurol</w:t>
      </w:r>
      <w:r w:rsidRPr="00AC5D5B">
        <w:rPr>
          <w:rFonts w:ascii="Times New Roman" w:hAnsi="Times New Roman"/>
        </w:rPr>
        <w:t>. 2021;268(3):903-912.</w:t>
      </w:r>
    </w:p>
    <w:p w14:paraId="5D861102" w14:textId="31B3A4CA" w:rsidR="00D2690B" w:rsidRPr="00785225" w:rsidRDefault="00D2690B" w:rsidP="00D2690B">
      <w:pPr>
        <w:pStyle w:val="ListParagraph"/>
        <w:numPr>
          <w:ilvl w:val="0"/>
          <w:numId w:val="1"/>
        </w:numPr>
        <w:tabs>
          <w:tab w:val="left" w:pos="3227"/>
        </w:tabs>
        <w:rPr>
          <w:rFonts w:ascii="Times New Roman" w:hAnsi="Times New Roman"/>
        </w:rPr>
      </w:pPr>
      <w:r w:rsidRPr="00D76CB1">
        <w:rPr>
          <w:rFonts w:ascii="Times New Roman" w:hAnsi="Times New Roman"/>
        </w:rPr>
        <w:t>Jinnah HA, Comella CL, Perlmutter J, Lungu C, Hallett M, Investigators Dystonia Coalition</w:t>
      </w:r>
      <w:r>
        <w:rPr>
          <w:rFonts w:ascii="Times New Roman" w:hAnsi="Times New Roman"/>
        </w:rPr>
        <w:t xml:space="preserve">. </w:t>
      </w:r>
      <w:r w:rsidRPr="00D76CB1">
        <w:rPr>
          <w:rFonts w:ascii="Times New Roman" w:hAnsi="Times New Roman"/>
        </w:rPr>
        <w:t xml:space="preserve">Longitudinal studies of botulinum toxin in cervical dystonia: why do patients discontinue therapy? </w:t>
      </w:r>
      <w:r w:rsidRPr="00345733">
        <w:rPr>
          <w:rFonts w:ascii="Times New Roman" w:hAnsi="Times New Roman"/>
          <w:i/>
          <w:iCs/>
        </w:rPr>
        <w:t>Toxicon</w:t>
      </w:r>
      <w:r w:rsidRPr="00D76CB1">
        <w:t xml:space="preserve"> </w:t>
      </w:r>
      <w:r>
        <w:rPr>
          <w:rFonts w:ascii="Times New Roman" w:hAnsi="Times New Roman"/>
        </w:rPr>
        <w:t>2017;</w:t>
      </w:r>
      <w:r w:rsidRPr="00D76CB1">
        <w:rPr>
          <w:rFonts w:ascii="Times New Roman" w:hAnsi="Times New Roman"/>
        </w:rPr>
        <w:t>S0041-0101(17)30277-5</w:t>
      </w:r>
      <w:r>
        <w:rPr>
          <w:rFonts w:ascii="Times New Roman" w:hAnsi="Times New Roman"/>
        </w:rPr>
        <w:t>.</w:t>
      </w:r>
    </w:p>
    <w:p w14:paraId="7B4772BC" w14:textId="34875F6E" w:rsidR="00D2690B" w:rsidRPr="00AC5D5B" w:rsidRDefault="00D2690B" w:rsidP="00D2690B">
      <w:pPr>
        <w:pStyle w:val="ListParagraph"/>
        <w:numPr>
          <w:ilvl w:val="0"/>
          <w:numId w:val="1"/>
        </w:numPr>
        <w:tabs>
          <w:tab w:val="left" w:pos="3227"/>
        </w:tabs>
        <w:rPr>
          <w:rFonts w:ascii="Times New Roman" w:hAnsi="Times New Roman"/>
        </w:rPr>
      </w:pPr>
      <w:r w:rsidRPr="00AC5D5B">
        <w:rPr>
          <w:rFonts w:ascii="Times New Roman" w:hAnsi="Times New Roman"/>
        </w:rPr>
        <w:t xml:space="preserve">Sethi KD, Rodriguez R, Olayinka B. Satisfaction with botulinum toxin treatment: a cross-sectional survey of patients with cervical dystonia. </w:t>
      </w:r>
      <w:r w:rsidRPr="00345733">
        <w:rPr>
          <w:rFonts w:ascii="Times New Roman" w:hAnsi="Times New Roman"/>
          <w:i/>
          <w:iCs/>
        </w:rPr>
        <w:t>J Med Econ</w:t>
      </w:r>
      <w:r w:rsidRPr="00AC5D5B">
        <w:rPr>
          <w:rFonts w:ascii="Times New Roman" w:hAnsi="Times New Roman"/>
        </w:rPr>
        <w:t xml:space="preserve"> 2012;15(3):419-</w:t>
      </w:r>
      <w:r w:rsidR="009D7E44">
        <w:rPr>
          <w:rFonts w:ascii="Times New Roman" w:hAnsi="Times New Roman"/>
        </w:rPr>
        <w:t>4</w:t>
      </w:r>
      <w:r w:rsidRPr="00AC5D5B">
        <w:rPr>
          <w:rFonts w:ascii="Times New Roman" w:hAnsi="Times New Roman"/>
        </w:rPr>
        <w:t xml:space="preserve">23. </w:t>
      </w:r>
    </w:p>
    <w:p w14:paraId="7F097D8B" w14:textId="13712466" w:rsidR="00D2690B" w:rsidRPr="000D76CF" w:rsidRDefault="00D2690B" w:rsidP="00D2690B">
      <w:pPr>
        <w:pStyle w:val="ListParagraph"/>
        <w:numPr>
          <w:ilvl w:val="0"/>
          <w:numId w:val="1"/>
        </w:numPr>
        <w:tabs>
          <w:tab w:val="left" w:pos="3227"/>
        </w:tabs>
        <w:rPr>
          <w:rFonts w:ascii="Times New Roman" w:hAnsi="Times New Roman"/>
        </w:rPr>
      </w:pPr>
      <w:r w:rsidRPr="00B914E6">
        <w:rPr>
          <w:rFonts w:ascii="Times New Roman" w:hAnsi="Times New Roman"/>
        </w:rPr>
        <w:t xml:space="preserve">Swope D, Barbano R. Treatment recommendations and practical applications of botulinum toxin treatment of cervical dystonia. </w:t>
      </w:r>
      <w:r w:rsidRPr="00345733">
        <w:rPr>
          <w:rFonts w:ascii="Times New Roman" w:hAnsi="Times New Roman"/>
          <w:i/>
          <w:iCs/>
        </w:rPr>
        <w:t>Neurol Clin</w:t>
      </w:r>
      <w:r w:rsidRPr="00B914E6">
        <w:rPr>
          <w:rFonts w:ascii="Times New Roman" w:hAnsi="Times New Roman"/>
        </w:rPr>
        <w:t xml:space="preserve"> 2008;26(1 Suppl):54-65</w:t>
      </w:r>
      <w:r w:rsidR="009D7E44">
        <w:rPr>
          <w:rFonts w:ascii="Times New Roman" w:hAnsi="Times New Roman"/>
        </w:rPr>
        <w:t>.</w:t>
      </w:r>
    </w:p>
    <w:p w14:paraId="2A224964" w14:textId="77777777" w:rsidR="00D2690B" w:rsidRPr="00785225" w:rsidRDefault="00D2690B" w:rsidP="00D2690B">
      <w:pPr>
        <w:pStyle w:val="ListParagraph"/>
        <w:numPr>
          <w:ilvl w:val="0"/>
          <w:numId w:val="1"/>
        </w:numPr>
        <w:tabs>
          <w:tab w:val="left" w:pos="3227"/>
        </w:tabs>
        <w:rPr>
          <w:rFonts w:ascii="Times New Roman" w:hAnsi="Times New Roman"/>
        </w:rPr>
      </w:pPr>
      <w:r w:rsidRPr="00DA3CA0">
        <w:rPr>
          <w:rFonts w:ascii="Times New Roman" w:hAnsi="Times New Roman"/>
        </w:rPr>
        <w:t>Colosimo C, Charles D, Misra VP, Maisonobe P, Om S</w:t>
      </w:r>
      <w:r>
        <w:rPr>
          <w:rFonts w:ascii="Times New Roman" w:hAnsi="Times New Roman"/>
        </w:rPr>
        <w:t xml:space="preserve">. </w:t>
      </w:r>
      <w:r w:rsidRPr="00DA3CA0">
        <w:rPr>
          <w:rFonts w:ascii="Times New Roman" w:hAnsi="Times New Roman"/>
        </w:rPr>
        <w:t xml:space="preserve">How satisfied are cervical dystonia patients after 3 years of botulinum toxin type A treatment? Results from a prospective, long- term observational study. </w:t>
      </w:r>
      <w:r w:rsidRPr="00345733">
        <w:rPr>
          <w:rFonts w:ascii="Times New Roman" w:hAnsi="Times New Roman"/>
          <w:i/>
          <w:iCs/>
        </w:rPr>
        <w:t>J Neurol</w:t>
      </w:r>
      <w:r w:rsidRPr="00DA3CA0">
        <w:rPr>
          <w:rFonts w:ascii="Times New Roman" w:hAnsi="Times New Roman"/>
        </w:rPr>
        <w:t xml:space="preserve"> </w:t>
      </w:r>
      <w:r>
        <w:rPr>
          <w:rFonts w:ascii="Times New Roman" w:hAnsi="Times New Roman"/>
        </w:rPr>
        <w:t>2019;</w:t>
      </w:r>
      <w:r w:rsidRPr="00DA3CA0">
        <w:rPr>
          <w:rFonts w:ascii="Times New Roman" w:hAnsi="Times New Roman"/>
        </w:rPr>
        <w:t>266(12):3038–3046.</w:t>
      </w:r>
    </w:p>
    <w:p w14:paraId="0066399A" w14:textId="045B8F08" w:rsidR="00D2690B" w:rsidRDefault="00D2690B" w:rsidP="00D2690B">
      <w:pPr>
        <w:pStyle w:val="ListParagraph"/>
        <w:numPr>
          <w:ilvl w:val="0"/>
          <w:numId w:val="1"/>
        </w:numPr>
        <w:tabs>
          <w:tab w:val="left" w:pos="3227"/>
        </w:tabs>
        <w:rPr>
          <w:rFonts w:ascii="Times New Roman" w:hAnsi="Times New Roman"/>
        </w:rPr>
      </w:pPr>
      <w:r w:rsidRPr="00AC5D5B">
        <w:rPr>
          <w:rFonts w:ascii="Times New Roman" w:hAnsi="Times New Roman"/>
        </w:rPr>
        <w:lastRenderedPageBreak/>
        <w:t xml:space="preserve">Esquenazi A, Delgado MR, Hauser RA, Picaut P, Foster K, Lysandropoulos A, Gracies JM. Duration of Symptom Relief Between Injections for AbobotulinumtoxinA (Dysport®) in Spastic Paresis and Cervical Dystonia: Comparison of Evidence From Clinical Studies. </w:t>
      </w:r>
      <w:r w:rsidRPr="00345733">
        <w:rPr>
          <w:rFonts w:ascii="Times New Roman" w:hAnsi="Times New Roman"/>
          <w:i/>
          <w:iCs/>
        </w:rPr>
        <w:t>Front Neurol</w:t>
      </w:r>
      <w:r w:rsidRPr="00AC5D5B">
        <w:rPr>
          <w:rFonts w:ascii="Times New Roman" w:hAnsi="Times New Roman"/>
        </w:rPr>
        <w:t xml:space="preserve"> 2020;11:576117.</w:t>
      </w:r>
    </w:p>
    <w:p w14:paraId="6CBC8C3B" w14:textId="0D185609" w:rsidR="00D2690B" w:rsidRPr="00AC5D5B" w:rsidRDefault="00D2690B" w:rsidP="00D2690B">
      <w:pPr>
        <w:pStyle w:val="ListParagraph"/>
        <w:numPr>
          <w:ilvl w:val="0"/>
          <w:numId w:val="1"/>
        </w:numPr>
        <w:tabs>
          <w:tab w:val="left" w:pos="3227"/>
        </w:tabs>
        <w:rPr>
          <w:rFonts w:ascii="Times New Roman" w:hAnsi="Times New Roman"/>
        </w:rPr>
      </w:pPr>
      <w:r w:rsidRPr="001A4C40">
        <w:rPr>
          <w:rFonts w:ascii="Times New Roman" w:hAnsi="Times New Roman"/>
        </w:rPr>
        <w:t xml:space="preserve">Fasano A, Paramanandam V, Jog M. Use of AbobotulinumtoxinA in Adults with Cervical Dystonia: A Systematic Literature Review. </w:t>
      </w:r>
      <w:r w:rsidRPr="00345733">
        <w:rPr>
          <w:rFonts w:ascii="Times New Roman" w:hAnsi="Times New Roman"/>
          <w:i/>
          <w:iCs/>
        </w:rPr>
        <w:t>Toxins (Basel)</w:t>
      </w:r>
      <w:r w:rsidRPr="001A4C40">
        <w:rPr>
          <w:rFonts w:ascii="Times New Roman" w:hAnsi="Times New Roman"/>
        </w:rPr>
        <w:t xml:space="preserve"> 2020;12(8):470. </w:t>
      </w:r>
    </w:p>
    <w:p w14:paraId="185C919F" w14:textId="45625EDD" w:rsidR="00D2690B" w:rsidRDefault="00D2690B" w:rsidP="00D2690B">
      <w:pPr>
        <w:pStyle w:val="ListParagraph"/>
        <w:numPr>
          <w:ilvl w:val="0"/>
          <w:numId w:val="1"/>
        </w:numPr>
        <w:tabs>
          <w:tab w:val="left" w:pos="3227"/>
        </w:tabs>
        <w:rPr>
          <w:rFonts w:ascii="Times New Roman" w:hAnsi="Times New Roman"/>
        </w:rPr>
      </w:pPr>
      <w:r w:rsidRPr="00AC5D5B">
        <w:rPr>
          <w:rFonts w:ascii="Times New Roman" w:hAnsi="Times New Roman"/>
        </w:rPr>
        <w:t xml:space="preserve">Ranoux D, Gury C, Fondarai J, Mas JL, Zuber M. Respective potencies of Botox and Dysport: a double blind, randomised, crossover study in cervical dystonia. </w:t>
      </w:r>
      <w:r w:rsidRPr="00345733">
        <w:rPr>
          <w:rFonts w:ascii="Times New Roman" w:hAnsi="Times New Roman"/>
          <w:i/>
          <w:iCs/>
        </w:rPr>
        <w:t>J Neurol Neurosurg Psychiatry</w:t>
      </w:r>
      <w:r w:rsidRPr="00AC5D5B">
        <w:rPr>
          <w:rFonts w:ascii="Times New Roman" w:hAnsi="Times New Roman"/>
        </w:rPr>
        <w:t xml:space="preserve"> 2002;72(4):459-62</w:t>
      </w:r>
      <w:r w:rsidR="009D7E44">
        <w:rPr>
          <w:rFonts w:ascii="Times New Roman" w:hAnsi="Times New Roman"/>
        </w:rPr>
        <w:t>.</w:t>
      </w:r>
    </w:p>
    <w:p w14:paraId="324B4F10" w14:textId="1CAABF38" w:rsidR="00D2690B" w:rsidRDefault="00D2690B" w:rsidP="00D2690B">
      <w:pPr>
        <w:pStyle w:val="ListParagraph"/>
        <w:numPr>
          <w:ilvl w:val="0"/>
          <w:numId w:val="1"/>
        </w:numPr>
        <w:tabs>
          <w:tab w:val="left" w:pos="3227"/>
        </w:tabs>
        <w:rPr>
          <w:rFonts w:ascii="Times New Roman" w:hAnsi="Times New Roman"/>
        </w:rPr>
      </w:pPr>
      <w:r w:rsidRPr="00127D3E">
        <w:rPr>
          <w:rFonts w:ascii="Times New Roman" w:hAnsi="Times New Roman"/>
        </w:rPr>
        <w:t>Yun JY</w:t>
      </w:r>
      <w:r w:rsidR="009D7E44">
        <w:rPr>
          <w:rFonts w:ascii="Times New Roman" w:hAnsi="Times New Roman"/>
        </w:rPr>
        <w:t>,</w:t>
      </w:r>
      <w:r w:rsidRPr="00127D3E">
        <w:rPr>
          <w:rFonts w:ascii="Times New Roman" w:hAnsi="Times New Roman"/>
        </w:rPr>
        <w:t xml:space="preserve"> Kim JW</w:t>
      </w:r>
      <w:r w:rsidR="009D7E44">
        <w:rPr>
          <w:rFonts w:ascii="Times New Roman" w:hAnsi="Times New Roman"/>
        </w:rPr>
        <w:t>,</w:t>
      </w:r>
      <w:r w:rsidRPr="00127D3E">
        <w:rPr>
          <w:rFonts w:ascii="Times New Roman" w:hAnsi="Times New Roman"/>
        </w:rPr>
        <w:t xml:space="preserve"> Kim HT</w:t>
      </w:r>
      <w:r w:rsidR="009D7E44">
        <w:rPr>
          <w:rFonts w:ascii="Times New Roman" w:hAnsi="Times New Roman"/>
        </w:rPr>
        <w:t>,</w:t>
      </w:r>
      <w:r w:rsidRPr="00127D3E">
        <w:rPr>
          <w:rFonts w:ascii="Times New Roman" w:hAnsi="Times New Roman"/>
        </w:rPr>
        <w:t xml:space="preserve"> et al. Dysport and Botox at a ratio of 2.5:1 units in cervical dystonia: A double-blind, randomized study. </w:t>
      </w:r>
      <w:r w:rsidRPr="00345733">
        <w:rPr>
          <w:rFonts w:ascii="Times New Roman" w:hAnsi="Times New Roman"/>
          <w:i/>
          <w:iCs/>
        </w:rPr>
        <w:t>Mov Disord</w:t>
      </w:r>
      <w:r w:rsidRPr="00127D3E">
        <w:rPr>
          <w:rFonts w:ascii="Times New Roman" w:hAnsi="Times New Roman"/>
        </w:rPr>
        <w:t xml:space="preserve"> 2015</w:t>
      </w:r>
      <w:r w:rsidR="009D7E44">
        <w:rPr>
          <w:rFonts w:ascii="Times New Roman" w:hAnsi="Times New Roman"/>
        </w:rPr>
        <w:t>;</w:t>
      </w:r>
      <w:r w:rsidRPr="00127D3E">
        <w:rPr>
          <w:rFonts w:ascii="Times New Roman" w:hAnsi="Times New Roman"/>
        </w:rPr>
        <w:t>30</w:t>
      </w:r>
      <w:r w:rsidR="009D7E44">
        <w:rPr>
          <w:rFonts w:ascii="Times New Roman" w:hAnsi="Times New Roman"/>
        </w:rPr>
        <w:t>:</w:t>
      </w:r>
      <w:r w:rsidRPr="00127D3E">
        <w:rPr>
          <w:rFonts w:ascii="Times New Roman" w:hAnsi="Times New Roman"/>
        </w:rPr>
        <w:t>206–213.</w:t>
      </w:r>
    </w:p>
    <w:p w14:paraId="0E24EB89" w14:textId="281B7BE4" w:rsidR="00D2690B" w:rsidRDefault="00D2690B" w:rsidP="00D2690B">
      <w:pPr>
        <w:pStyle w:val="ListParagraph"/>
        <w:numPr>
          <w:ilvl w:val="0"/>
          <w:numId w:val="1"/>
        </w:numPr>
        <w:tabs>
          <w:tab w:val="left" w:pos="3227"/>
        </w:tabs>
        <w:rPr>
          <w:rFonts w:ascii="Times New Roman" w:hAnsi="Times New Roman"/>
        </w:rPr>
      </w:pPr>
      <w:r w:rsidRPr="00D76CB1">
        <w:rPr>
          <w:rFonts w:ascii="Times New Roman" w:hAnsi="Times New Roman"/>
        </w:rPr>
        <w:t>Jinnah HA, Goodmann E, Rosen AR, Evatt M, Freeman A, Factor S</w:t>
      </w:r>
      <w:r>
        <w:rPr>
          <w:rFonts w:ascii="Times New Roman" w:hAnsi="Times New Roman"/>
        </w:rPr>
        <w:t>.</w:t>
      </w:r>
      <w:r w:rsidRPr="00D76CB1">
        <w:rPr>
          <w:rFonts w:ascii="Times New Roman" w:hAnsi="Times New Roman"/>
        </w:rPr>
        <w:t xml:space="preserve"> Botulinum toxin treatment failures in cervical dystonia: causes, management, and outcomes. </w:t>
      </w:r>
      <w:r w:rsidRPr="00345733">
        <w:rPr>
          <w:rFonts w:ascii="Times New Roman" w:hAnsi="Times New Roman"/>
          <w:i/>
          <w:iCs/>
        </w:rPr>
        <w:t>J Neurol</w:t>
      </w:r>
      <w:r w:rsidRPr="00D76CB1">
        <w:rPr>
          <w:rFonts w:ascii="Times New Roman" w:hAnsi="Times New Roman"/>
        </w:rPr>
        <w:t xml:space="preserve"> </w:t>
      </w:r>
      <w:r>
        <w:rPr>
          <w:rFonts w:ascii="Times New Roman" w:hAnsi="Times New Roman"/>
        </w:rPr>
        <w:t>2016;</w:t>
      </w:r>
      <w:r w:rsidRPr="00D76CB1">
        <w:rPr>
          <w:rFonts w:ascii="Times New Roman" w:hAnsi="Times New Roman"/>
        </w:rPr>
        <w:t>263:1188–1194</w:t>
      </w:r>
      <w:r w:rsidR="009D7E44">
        <w:rPr>
          <w:rFonts w:ascii="Times New Roman" w:hAnsi="Times New Roman"/>
        </w:rPr>
        <w:t>.</w:t>
      </w:r>
    </w:p>
    <w:p w14:paraId="396CAEA0" w14:textId="7E7563FC" w:rsidR="00D2690B" w:rsidRPr="00785225" w:rsidRDefault="00D2690B" w:rsidP="00D2690B">
      <w:pPr>
        <w:pStyle w:val="ListParagraph"/>
        <w:numPr>
          <w:ilvl w:val="0"/>
          <w:numId w:val="1"/>
        </w:numPr>
        <w:tabs>
          <w:tab w:val="left" w:pos="3227"/>
        </w:tabs>
        <w:rPr>
          <w:rFonts w:ascii="Times New Roman" w:hAnsi="Times New Roman"/>
        </w:rPr>
      </w:pPr>
      <w:r w:rsidRPr="00D63B69">
        <w:rPr>
          <w:rFonts w:ascii="Times New Roman" w:hAnsi="Times New Roman"/>
        </w:rPr>
        <w:t>Contarino MF, Smit M, Van den Dool J, Volkmann J, Tijssen MAJ</w:t>
      </w:r>
      <w:r>
        <w:rPr>
          <w:rFonts w:ascii="Times New Roman" w:hAnsi="Times New Roman"/>
        </w:rPr>
        <w:t xml:space="preserve">. </w:t>
      </w:r>
      <w:r w:rsidRPr="00D63B69">
        <w:rPr>
          <w:rFonts w:ascii="Times New Roman" w:hAnsi="Times New Roman"/>
        </w:rPr>
        <w:t xml:space="preserve">Unmet needs in the management of cervical dystonia. </w:t>
      </w:r>
      <w:r w:rsidRPr="00345733">
        <w:rPr>
          <w:rFonts w:ascii="Times New Roman" w:hAnsi="Times New Roman"/>
          <w:i/>
          <w:iCs/>
        </w:rPr>
        <w:t>Front Neurol</w:t>
      </w:r>
      <w:r w:rsidRPr="00D63B69">
        <w:rPr>
          <w:rFonts w:ascii="Times New Roman" w:hAnsi="Times New Roman"/>
        </w:rPr>
        <w:t xml:space="preserve"> </w:t>
      </w:r>
      <w:r>
        <w:rPr>
          <w:rFonts w:ascii="Times New Roman" w:hAnsi="Times New Roman"/>
        </w:rPr>
        <w:t>2016;</w:t>
      </w:r>
      <w:r w:rsidRPr="00D63B69">
        <w:rPr>
          <w:rFonts w:ascii="Times New Roman" w:hAnsi="Times New Roman"/>
        </w:rPr>
        <w:t>7(165):1–7</w:t>
      </w:r>
      <w:r w:rsidR="009D7E44">
        <w:rPr>
          <w:rFonts w:ascii="Times New Roman" w:hAnsi="Times New Roman"/>
        </w:rPr>
        <w:t>.</w:t>
      </w:r>
    </w:p>
    <w:p w14:paraId="19741162" w14:textId="14574CA2" w:rsidR="00D2690B" w:rsidRDefault="00D2690B" w:rsidP="00D2690B">
      <w:pPr>
        <w:pStyle w:val="ListParagraph"/>
        <w:numPr>
          <w:ilvl w:val="0"/>
          <w:numId w:val="1"/>
        </w:numPr>
        <w:tabs>
          <w:tab w:val="left" w:pos="3227"/>
        </w:tabs>
        <w:rPr>
          <w:rFonts w:ascii="Times New Roman" w:hAnsi="Times New Roman"/>
        </w:rPr>
      </w:pPr>
      <w:r w:rsidRPr="000D76CF">
        <w:rPr>
          <w:rFonts w:ascii="Times New Roman" w:hAnsi="Times New Roman"/>
        </w:rPr>
        <w:t xml:space="preserve">Samotus O, Lee J, Jog M. Personalized botulinum toxin type A therapy for cervical dystonia based on kinematic guidance. </w:t>
      </w:r>
      <w:r w:rsidRPr="00345733">
        <w:rPr>
          <w:rFonts w:ascii="Times New Roman" w:hAnsi="Times New Roman"/>
          <w:i/>
          <w:iCs/>
        </w:rPr>
        <w:t>J Neurol</w:t>
      </w:r>
      <w:r w:rsidRPr="000D76CF">
        <w:rPr>
          <w:rFonts w:ascii="Times New Roman" w:hAnsi="Times New Roman"/>
        </w:rPr>
        <w:t xml:space="preserve"> 2018;265(6):1269-1278. </w:t>
      </w:r>
    </w:p>
    <w:p w14:paraId="14CBAD9A" w14:textId="3B7E0A42" w:rsidR="00D2690B" w:rsidRDefault="00D2690B" w:rsidP="00D2690B">
      <w:pPr>
        <w:pStyle w:val="ListParagraph"/>
        <w:numPr>
          <w:ilvl w:val="0"/>
          <w:numId w:val="1"/>
        </w:numPr>
        <w:tabs>
          <w:tab w:val="left" w:pos="3227"/>
        </w:tabs>
        <w:rPr>
          <w:rFonts w:ascii="Times New Roman" w:hAnsi="Times New Roman"/>
        </w:rPr>
      </w:pPr>
      <w:r>
        <w:rPr>
          <w:rFonts w:ascii="Times New Roman" w:hAnsi="Times New Roman"/>
        </w:rPr>
        <w:t>Trosch RM, Misra VP, Maisonobe</w:t>
      </w:r>
      <w:r w:rsidR="009D7E44">
        <w:rPr>
          <w:rFonts w:ascii="Times New Roman" w:hAnsi="Times New Roman"/>
        </w:rPr>
        <w:t xml:space="preserve"> </w:t>
      </w:r>
      <w:r>
        <w:rPr>
          <w:rFonts w:ascii="Times New Roman" w:hAnsi="Times New Roman"/>
        </w:rPr>
        <w:t xml:space="preserve">P, Om S. Impact of abobotulinumtoxinA on the clinical features of cervical dystonia in routine practice. </w:t>
      </w:r>
      <w:r w:rsidRPr="00345733">
        <w:rPr>
          <w:rFonts w:ascii="Times New Roman" w:hAnsi="Times New Roman"/>
          <w:i/>
          <w:iCs/>
        </w:rPr>
        <w:t>Clin Parkin Relat Disord</w:t>
      </w:r>
      <w:r>
        <w:rPr>
          <w:rFonts w:ascii="Times New Roman" w:hAnsi="Times New Roman"/>
        </w:rPr>
        <w:t xml:space="preserve"> 2020;3:100063.</w:t>
      </w:r>
    </w:p>
    <w:p w14:paraId="64CFADFB" w14:textId="77777777" w:rsidR="00D2690B" w:rsidRDefault="00D2690B" w:rsidP="00D2690B">
      <w:pPr>
        <w:pStyle w:val="ListParagraph"/>
        <w:numPr>
          <w:ilvl w:val="0"/>
          <w:numId w:val="1"/>
        </w:numPr>
        <w:tabs>
          <w:tab w:val="left" w:pos="3227"/>
        </w:tabs>
        <w:rPr>
          <w:rFonts w:ascii="Times New Roman" w:hAnsi="Times New Roman"/>
        </w:rPr>
      </w:pPr>
      <w:r w:rsidRPr="00556DD8">
        <w:rPr>
          <w:rFonts w:ascii="Times New Roman" w:hAnsi="Times New Roman"/>
        </w:rPr>
        <w:t xml:space="preserve">Poewe W. (2002). Respective potencies of Botox and Dysport: a double blind, randomised, crossover study in cervical dystonia. Journal of neurology, neurosurgery, and psychiatry, 72(4), 430. </w:t>
      </w:r>
    </w:p>
    <w:p w14:paraId="0E526980" w14:textId="76E79D0A" w:rsidR="00D2690B" w:rsidRDefault="00D2690B" w:rsidP="00D2690B">
      <w:pPr>
        <w:pStyle w:val="ListParagraph"/>
        <w:numPr>
          <w:ilvl w:val="0"/>
          <w:numId w:val="1"/>
        </w:numPr>
        <w:tabs>
          <w:tab w:val="left" w:pos="3227"/>
        </w:tabs>
        <w:rPr>
          <w:rFonts w:ascii="Times New Roman" w:hAnsi="Times New Roman"/>
        </w:rPr>
      </w:pPr>
      <w:r w:rsidRPr="00556DD8">
        <w:rPr>
          <w:rFonts w:ascii="Times New Roman" w:hAnsi="Times New Roman"/>
        </w:rPr>
        <w:t>Wohlfarth, K., Sycha, T., Ranoux, D., Naver, H., &amp; Caird, D. (2009). Dose equivalence of two commercial preparations of botulinum neurotoxin type A: time for a reassessment?. Current medical research and opinion</w:t>
      </w:r>
      <w:r w:rsidR="007D1C87">
        <w:rPr>
          <w:rFonts w:ascii="Times New Roman" w:hAnsi="Times New Roman"/>
        </w:rPr>
        <w:t xml:space="preserve"> 2009;</w:t>
      </w:r>
      <w:r w:rsidRPr="00556DD8">
        <w:rPr>
          <w:rFonts w:ascii="Times New Roman" w:hAnsi="Times New Roman"/>
        </w:rPr>
        <w:t>25(7), 1573–1584.</w:t>
      </w:r>
    </w:p>
    <w:p w14:paraId="0AA61BE2" w14:textId="0F9B2D28" w:rsidR="00D2690B" w:rsidRDefault="00D2690B" w:rsidP="00D2690B">
      <w:pPr>
        <w:pStyle w:val="ListParagraph"/>
        <w:numPr>
          <w:ilvl w:val="0"/>
          <w:numId w:val="1"/>
        </w:numPr>
        <w:tabs>
          <w:tab w:val="left" w:pos="3227"/>
        </w:tabs>
        <w:rPr>
          <w:rFonts w:ascii="Times New Roman" w:hAnsi="Times New Roman"/>
        </w:rPr>
      </w:pPr>
      <w:r>
        <w:rPr>
          <w:rFonts w:ascii="Times New Roman" w:hAnsi="Times New Roman"/>
        </w:rPr>
        <w:t>Pandey, S., Kreisler, A., Dru</w:t>
      </w:r>
      <w:r w:rsidRPr="0027579F">
        <w:rPr>
          <w:rFonts w:ascii="Times New Roman" w:hAnsi="Times New Roman"/>
        </w:rPr>
        <w:t>żdż</w:t>
      </w:r>
      <w:r>
        <w:rPr>
          <w:rFonts w:ascii="Times New Roman" w:hAnsi="Times New Roman"/>
        </w:rPr>
        <w:t>, A., et al.</w:t>
      </w:r>
      <w:r w:rsidRPr="0027579F">
        <w:t xml:space="preserve"> </w:t>
      </w:r>
      <w:r w:rsidRPr="0027579F">
        <w:rPr>
          <w:rFonts w:ascii="Times New Roman" w:hAnsi="Times New Roman"/>
        </w:rPr>
        <w:t>Tremor in idiopathic cervical dystonia – possible implications for botulinum toxin treatment considering the col-cap classification</w:t>
      </w:r>
      <w:r>
        <w:rPr>
          <w:rFonts w:ascii="Times New Roman" w:hAnsi="Times New Roman"/>
        </w:rPr>
        <w:t xml:space="preserve">. </w:t>
      </w:r>
      <w:r w:rsidRPr="0027579F">
        <w:rPr>
          <w:rFonts w:ascii="Times New Roman" w:hAnsi="Times New Roman"/>
        </w:rPr>
        <w:t>Tremor and Other Hyperkinetic Movements. 2020;10(1):13, pp. 1–8.</w:t>
      </w:r>
    </w:p>
    <w:p w14:paraId="2188726A" w14:textId="2E806EF3" w:rsidR="00D2690B" w:rsidRDefault="00D2690B" w:rsidP="00D2690B">
      <w:pPr>
        <w:pStyle w:val="ListParagraph"/>
        <w:numPr>
          <w:ilvl w:val="0"/>
          <w:numId w:val="1"/>
        </w:numPr>
        <w:tabs>
          <w:tab w:val="left" w:pos="3227"/>
        </w:tabs>
        <w:rPr>
          <w:rFonts w:ascii="Times New Roman" w:hAnsi="Times New Roman"/>
        </w:rPr>
      </w:pPr>
      <w:r w:rsidRPr="006D396F">
        <w:rPr>
          <w:rFonts w:ascii="Times New Roman" w:hAnsi="Times New Roman"/>
        </w:rPr>
        <w:t>Rystedt A, Zetterberg L, Burman J, et al</w:t>
      </w:r>
      <w:r w:rsidR="007D1C87">
        <w:rPr>
          <w:rFonts w:ascii="Times New Roman" w:hAnsi="Times New Roman"/>
        </w:rPr>
        <w:t xml:space="preserve">. </w:t>
      </w:r>
      <w:r w:rsidRPr="006D396F">
        <w:rPr>
          <w:rFonts w:ascii="Times New Roman" w:hAnsi="Times New Roman"/>
        </w:rPr>
        <w:t xml:space="preserve">A comparison of Botox 100 u/mL and Dysport 100 u/mL using dose conversion ratio 1: 3 and 1: 1.7 in the treatment of cervical dystonia: a double blind, randomized, crossover trial. </w:t>
      </w:r>
      <w:r w:rsidRPr="00345733">
        <w:rPr>
          <w:rFonts w:ascii="Times New Roman" w:hAnsi="Times New Roman"/>
          <w:i/>
          <w:iCs/>
        </w:rPr>
        <w:t>Clin Neuropharmacol</w:t>
      </w:r>
      <w:r w:rsidRPr="006D396F">
        <w:rPr>
          <w:rFonts w:ascii="Times New Roman" w:hAnsi="Times New Roman"/>
        </w:rPr>
        <w:t xml:space="preserve"> </w:t>
      </w:r>
      <w:r w:rsidR="007D1C87">
        <w:rPr>
          <w:rFonts w:ascii="Times New Roman" w:hAnsi="Times New Roman"/>
        </w:rPr>
        <w:t>2015;</w:t>
      </w:r>
      <w:r w:rsidRPr="006D396F">
        <w:rPr>
          <w:rFonts w:ascii="Times New Roman" w:hAnsi="Times New Roman"/>
        </w:rPr>
        <w:t>38:170-176</w:t>
      </w:r>
      <w:r w:rsidR="007D1C87">
        <w:rPr>
          <w:rFonts w:ascii="Times New Roman" w:hAnsi="Times New Roman"/>
        </w:rPr>
        <w:t>.</w:t>
      </w:r>
    </w:p>
    <w:p w14:paraId="0A9A00A9" w14:textId="084BBA47" w:rsidR="00D2690B" w:rsidRDefault="00D2690B" w:rsidP="00D2690B">
      <w:pPr>
        <w:pStyle w:val="ListParagraph"/>
        <w:numPr>
          <w:ilvl w:val="0"/>
          <w:numId w:val="1"/>
        </w:numPr>
        <w:tabs>
          <w:tab w:val="left" w:pos="3227"/>
        </w:tabs>
        <w:rPr>
          <w:rFonts w:ascii="Times New Roman" w:hAnsi="Times New Roman"/>
        </w:rPr>
      </w:pPr>
      <w:r>
        <w:rPr>
          <w:rFonts w:ascii="Times New Roman" w:hAnsi="Times New Roman"/>
        </w:rPr>
        <w:t xml:space="preserve">Trosch, RM., Espay, AJ., Truong, D., et al. Multicenter observational study of abobotulinumtoxinA neurotoxin in cervical dystonia: The ANCHOR-CD registry. </w:t>
      </w:r>
      <w:r w:rsidRPr="00345733">
        <w:rPr>
          <w:rFonts w:ascii="Times New Roman" w:hAnsi="Times New Roman"/>
          <w:i/>
          <w:iCs/>
        </w:rPr>
        <w:t>J Neurol Sci</w:t>
      </w:r>
      <w:r>
        <w:rPr>
          <w:rFonts w:ascii="Times New Roman" w:hAnsi="Times New Roman"/>
        </w:rPr>
        <w:t xml:space="preserve"> 2017;376:84-90. </w:t>
      </w:r>
    </w:p>
    <w:p w14:paraId="5118170E" w14:textId="3EEE6D8F" w:rsidR="00D2690B" w:rsidRPr="007C105C" w:rsidRDefault="00D2690B" w:rsidP="00D2690B">
      <w:pPr>
        <w:pStyle w:val="ListParagraph"/>
        <w:numPr>
          <w:ilvl w:val="0"/>
          <w:numId w:val="1"/>
        </w:numPr>
        <w:tabs>
          <w:tab w:val="left" w:pos="3227"/>
        </w:tabs>
        <w:rPr>
          <w:rFonts w:ascii="Times New Roman" w:hAnsi="Times New Roman"/>
        </w:rPr>
      </w:pPr>
      <w:r>
        <w:rPr>
          <w:rFonts w:ascii="Times New Roman" w:hAnsi="Times New Roman"/>
        </w:rPr>
        <w:t xml:space="preserve">Colosimo, C., Charles, D., Misra, VP., Maisonobe, P., Om, S., on behalf of the INTEREST IN CD2 study group. Cumulative effects of long-term </w:t>
      </w:r>
      <w:r>
        <w:rPr>
          <w:rFonts w:ascii="Times New Roman" w:hAnsi="Times New Roman"/>
        </w:rPr>
        <w:lastRenderedPageBreak/>
        <w:t xml:space="preserve">treatment with abobotulinumtoxinA in cervical dystonia: Findings from a prospective, observational study. </w:t>
      </w:r>
      <w:r w:rsidRPr="00345733">
        <w:rPr>
          <w:rFonts w:ascii="Times New Roman" w:hAnsi="Times New Roman"/>
          <w:i/>
          <w:iCs/>
        </w:rPr>
        <w:t>J Neurol Sci</w:t>
      </w:r>
      <w:r>
        <w:rPr>
          <w:rFonts w:ascii="Times New Roman" w:hAnsi="Times New Roman"/>
        </w:rPr>
        <w:t xml:space="preserve"> 2020;416:117015. </w:t>
      </w:r>
    </w:p>
    <w:p w14:paraId="0F0564DD" w14:textId="77777777" w:rsidR="00E77606" w:rsidRDefault="00E77606" w:rsidP="000A6FD5">
      <w:pPr>
        <w:tabs>
          <w:tab w:val="left" w:pos="3227"/>
        </w:tabs>
        <w:spacing w:line="480" w:lineRule="auto"/>
        <w:rPr>
          <w:rFonts w:ascii="Times New Roman" w:hAnsi="Times New Roman"/>
        </w:rPr>
        <w:sectPr w:rsidR="00E77606" w:rsidSect="00D12CC8">
          <w:pgSz w:w="12240" w:h="15840"/>
          <w:pgMar w:top="1440" w:right="1440" w:bottom="1440" w:left="1440" w:header="708" w:footer="708" w:gutter="0"/>
          <w:cols w:space="708"/>
          <w:docGrid w:linePitch="360"/>
        </w:sectPr>
      </w:pPr>
    </w:p>
    <w:p w14:paraId="63D1B2A3" w14:textId="1CA4D4A9" w:rsidR="00442F23" w:rsidRDefault="00EB4FED" w:rsidP="00F72EA7">
      <w:pPr>
        <w:pStyle w:val="paragraph"/>
        <w:spacing w:before="0" w:beforeAutospacing="0" w:after="0" w:afterAutospacing="0"/>
        <w:ind w:left="45" w:hanging="45"/>
        <w:jc w:val="both"/>
        <w:textAlignment w:val="baseline"/>
        <w:rPr>
          <w:rStyle w:val="normaltextrun"/>
          <w:b/>
          <w:bCs/>
          <w:sz w:val="21"/>
          <w:szCs w:val="21"/>
          <w:lang w:val="x-none"/>
        </w:rPr>
      </w:pPr>
      <w:bookmarkStart w:id="2" w:name="_Hlk145085346"/>
      <w:r w:rsidRPr="00EB4FED">
        <w:rPr>
          <w:rStyle w:val="normaltextrun"/>
          <w:b/>
          <w:bCs/>
          <w:sz w:val="21"/>
          <w:szCs w:val="21"/>
          <w:lang w:val="x-none"/>
        </w:rPr>
        <w:lastRenderedPageBreak/>
        <w:t>Author Biography</w:t>
      </w:r>
    </w:p>
    <w:p w14:paraId="7D94AC45" w14:textId="2155541F" w:rsidR="00442F23" w:rsidRPr="0078367C" w:rsidRDefault="00421226" w:rsidP="00F72EA7">
      <w:pPr>
        <w:pStyle w:val="paragraph"/>
        <w:spacing w:before="0" w:beforeAutospacing="0" w:after="0" w:afterAutospacing="0"/>
        <w:ind w:left="45" w:hanging="45"/>
        <w:jc w:val="both"/>
        <w:textAlignment w:val="baseline"/>
      </w:pPr>
      <w:r w:rsidRPr="00421226">
        <w:rPr>
          <w:b/>
          <w:noProof/>
          <w:sz w:val="20"/>
          <w:szCs w:val="20"/>
        </w:rPr>
        <w:pict w14:anchorId="390F9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A person with glasses and a bow tie&#10;&#10;Description automatically generated" style="width:1in;height:87pt;visibility:visible;mso-wrap-style:square">
            <v:imagedata r:id="rId9" o:title="A person with glasses and a bow tie&#10;&#10;Description automatically generated"/>
          </v:shape>
        </w:pict>
      </w:r>
      <w:r w:rsidR="00442F23" w:rsidRPr="00F70B8A">
        <w:rPr>
          <w:b/>
          <w:bCs/>
          <w:sz w:val="21"/>
          <w:szCs w:val="21"/>
          <w:lang w:val="x-none"/>
        </w:rPr>
        <w:t>Olivia Samotus</w:t>
      </w:r>
      <w:r w:rsidR="00442F23" w:rsidRPr="00F70B8A">
        <w:rPr>
          <w:sz w:val="21"/>
          <w:szCs w:val="21"/>
          <w:lang w:val="x-none"/>
        </w:rPr>
        <w:t xml:space="preserve"> received her Bachelor’s degree from Nanjing University of Science and Technology (2017). She is currently a Ph.D. student in London Health Sciences Centre – Lawson Health Research Institute. Her research interest focuses on cervical dystonia.</w:t>
      </w:r>
    </w:p>
    <w:bookmarkEnd w:id="2"/>
    <w:p w14:paraId="26477B3E" w14:textId="7F67F579" w:rsidR="00F72EA7" w:rsidRDefault="00F72EA7" w:rsidP="000A6FD5">
      <w:pPr>
        <w:tabs>
          <w:tab w:val="left" w:pos="3227"/>
        </w:tabs>
        <w:spacing w:line="480" w:lineRule="auto"/>
        <w:jc w:val="center"/>
        <w:rPr>
          <w:rFonts w:ascii="Times New Roman" w:hAnsi="Times New Roman"/>
          <w:b/>
          <w:bCs/>
        </w:rPr>
      </w:pPr>
    </w:p>
    <w:p w14:paraId="0C578E6F" w14:textId="6BE40959" w:rsidR="00E77606" w:rsidRDefault="00E77606" w:rsidP="000A6FD5">
      <w:pPr>
        <w:tabs>
          <w:tab w:val="left" w:pos="3227"/>
        </w:tabs>
        <w:spacing w:line="480" w:lineRule="auto"/>
        <w:jc w:val="center"/>
        <w:rPr>
          <w:rFonts w:ascii="Times New Roman" w:hAnsi="Times New Roman"/>
          <w:b/>
          <w:bCs/>
        </w:rPr>
      </w:pPr>
      <w:r>
        <w:rPr>
          <w:rFonts w:ascii="Times New Roman" w:hAnsi="Times New Roman"/>
          <w:b/>
          <w:bCs/>
        </w:rPr>
        <w:t>Legends:</w:t>
      </w:r>
    </w:p>
    <w:p w14:paraId="7C9BF6B3" w14:textId="77777777" w:rsidR="00D12CC8" w:rsidRDefault="00E77606" w:rsidP="00E77606">
      <w:pPr>
        <w:tabs>
          <w:tab w:val="left" w:pos="3227"/>
        </w:tabs>
        <w:rPr>
          <w:rFonts w:ascii="Times New Roman" w:hAnsi="Times New Roman"/>
          <w:sz w:val="22"/>
          <w:szCs w:val="22"/>
          <w:lang w:val="en-CA"/>
        </w:rPr>
      </w:pPr>
      <w:r w:rsidRPr="004011EC">
        <w:rPr>
          <w:rFonts w:ascii="Times New Roman" w:hAnsi="Times New Roman"/>
          <w:b/>
          <w:bCs/>
          <w:sz w:val="22"/>
          <w:szCs w:val="22"/>
          <w:lang w:val="en-CA"/>
        </w:rPr>
        <w:t>Figure 1</w:t>
      </w:r>
      <w:r w:rsidRPr="006F519E">
        <w:rPr>
          <w:rFonts w:ascii="Times New Roman" w:hAnsi="Times New Roman"/>
          <w:sz w:val="22"/>
          <w:szCs w:val="22"/>
          <w:lang w:val="en-CA"/>
        </w:rPr>
        <w:t xml:space="preserve">. </w:t>
      </w:r>
      <w:r w:rsidRPr="00EB6D64">
        <w:rPr>
          <w:rFonts w:ascii="Times New Roman" w:hAnsi="Times New Roman"/>
          <w:b/>
          <w:bCs/>
          <w:sz w:val="22"/>
          <w:szCs w:val="22"/>
          <w:lang w:val="en-CA"/>
        </w:rPr>
        <w:t xml:space="preserve">Mean waning time following the last clinic injection (“Original BoNT-A”), the 3 </w:t>
      </w:r>
      <w:r>
        <w:rPr>
          <w:rFonts w:ascii="Times New Roman" w:hAnsi="Times New Roman"/>
          <w:b/>
          <w:bCs/>
          <w:sz w:val="22"/>
          <w:szCs w:val="22"/>
          <w:lang w:val="en-CA"/>
        </w:rPr>
        <w:t>abo-BoNT-A</w:t>
      </w:r>
      <w:r w:rsidRPr="00EB6D64">
        <w:rPr>
          <w:rFonts w:ascii="Times New Roman" w:hAnsi="Times New Roman"/>
          <w:b/>
          <w:bCs/>
          <w:sz w:val="22"/>
          <w:szCs w:val="22"/>
          <w:lang w:val="en-CA"/>
        </w:rPr>
        <w:t xml:space="preserve"> treatments and the conversion back to the original BoNT-A using the same 3</w:t>
      </w:r>
      <w:r w:rsidRPr="00EB6D64">
        <w:rPr>
          <w:rFonts w:ascii="Times New Roman" w:hAnsi="Times New Roman"/>
          <w:b/>
          <w:bCs/>
          <w:sz w:val="22"/>
          <w:szCs w:val="22"/>
          <w:vertAlign w:val="superscript"/>
          <w:lang w:val="en-CA"/>
        </w:rPr>
        <w:t>rd</w:t>
      </w:r>
      <w:r w:rsidRPr="00EB6D64">
        <w:rPr>
          <w:rFonts w:ascii="Times New Roman" w:hAnsi="Times New Roman"/>
          <w:b/>
          <w:bCs/>
          <w:sz w:val="22"/>
          <w:szCs w:val="22"/>
          <w:lang w:val="en-CA"/>
        </w:rPr>
        <w:t xml:space="preserve"> </w:t>
      </w:r>
      <w:r>
        <w:rPr>
          <w:rFonts w:ascii="Times New Roman" w:hAnsi="Times New Roman"/>
          <w:b/>
          <w:bCs/>
          <w:sz w:val="22"/>
          <w:szCs w:val="22"/>
          <w:lang w:val="en-CA"/>
        </w:rPr>
        <w:t>abo-BoNT-A</w:t>
      </w:r>
      <w:r w:rsidRPr="00EB6D64">
        <w:rPr>
          <w:rFonts w:ascii="Times New Roman" w:hAnsi="Times New Roman"/>
          <w:b/>
          <w:bCs/>
          <w:sz w:val="22"/>
          <w:szCs w:val="22"/>
          <w:lang w:val="en-CA"/>
        </w:rPr>
        <w:t xml:space="preserve"> treatment pattern with a dose conversion ratio of 1:2.5 U (“Optimized Original BoNT-A”)</w:t>
      </w:r>
      <w:r>
        <w:rPr>
          <w:rFonts w:ascii="Times New Roman" w:hAnsi="Times New Roman"/>
          <w:b/>
          <w:bCs/>
          <w:sz w:val="22"/>
          <w:szCs w:val="22"/>
          <w:lang w:val="en-CA"/>
        </w:rPr>
        <w:t xml:space="preserve"> are plotted</w:t>
      </w:r>
      <w:r w:rsidRPr="00EB6D64">
        <w:rPr>
          <w:rFonts w:ascii="Times New Roman" w:hAnsi="Times New Roman"/>
          <w:b/>
          <w:bCs/>
          <w:sz w:val="22"/>
          <w:szCs w:val="22"/>
          <w:lang w:val="en-CA"/>
        </w:rPr>
        <w:t xml:space="preserve">. </w:t>
      </w:r>
      <w:r>
        <w:rPr>
          <w:rFonts w:ascii="Times New Roman" w:hAnsi="Times New Roman"/>
          <w:sz w:val="22"/>
          <w:szCs w:val="22"/>
          <w:lang w:val="en-CA"/>
        </w:rPr>
        <w:t>The 1</w:t>
      </w:r>
      <w:r w:rsidRPr="00C16B69">
        <w:rPr>
          <w:rFonts w:ascii="Times New Roman" w:hAnsi="Times New Roman"/>
          <w:sz w:val="22"/>
          <w:szCs w:val="22"/>
          <w:vertAlign w:val="superscript"/>
          <w:lang w:val="en-CA"/>
        </w:rPr>
        <w:t>st</w:t>
      </w:r>
      <w:r>
        <w:rPr>
          <w:rFonts w:ascii="Times New Roman" w:hAnsi="Times New Roman"/>
          <w:sz w:val="22"/>
          <w:szCs w:val="22"/>
          <w:lang w:val="en-CA"/>
        </w:rPr>
        <w:t xml:space="preserve"> abo-BoNT-A treatment pattern was converted using a dose ratio of 1:2.5 U from the “Original BoNT-A”. </w:t>
      </w:r>
      <w:r w:rsidRPr="006F519E">
        <w:rPr>
          <w:rFonts w:ascii="Times New Roman" w:hAnsi="Times New Roman"/>
          <w:sz w:val="22"/>
          <w:szCs w:val="22"/>
          <w:lang w:val="en-CA"/>
        </w:rPr>
        <w:t>Asterisks</w:t>
      </w:r>
      <w:r>
        <w:rPr>
          <w:rFonts w:ascii="Times New Roman" w:hAnsi="Times New Roman"/>
          <w:sz w:val="22"/>
          <w:szCs w:val="22"/>
          <w:lang w:val="en-CA"/>
        </w:rPr>
        <w:t xml:space="preserve"> (*)</w:t>
      </w:r>
      <w:r w:rsidRPr="006F519E">
        <w:rPr>
          <w:rFonts w:ascii="Times New Roman" w:hAnsi="Times New Roman"/>
          <w:sz w:val="22"/>
          <w:szCs w:val="22"/>
          <w:lang w:val="en-CA"/>
        </w:rPr>
        <w:t xml:space="preserve"> represent statistically significant differences between the time-points denoted by horizontal bars, error bars represent standard deviation</w:t>
      </w:r>
      <w:r>
        <w:rPr>
          <w:rFonts w:ascii="Times New Roman" w:hAnsi="Times New Roman"/>
          <w:sz w:val="22"/>
          <w:szCs w:val="22"/>
          <w:lang w:val="en-CA"/>
        </w:rPr>
        <w:t xml:space="preserve">. </w:t>
      </w:r>
    </w:p>
    <w:p w14:paraId="183BCCB5" w14:textId="042290C8" w:rsidR="00E77606" w:rsidRDefault="00D12CC8" w:rsidP="00E77606">
      <w:pPr>
        <w:tabs>
          <w:tab w:val="left" w:pos="3227"/>
        </w:tabs>
        <w:rPr>
          <w:rFonts w:ascii="Times New Roman" w:hAnsi="Times New Roman"/>
          <w:sz w:val="22"/>
          <w:szCs w:val="22"/>
          <w:lang w:val="en-CA"/>
        </w:rPr>
      </w:pPr>
      <w:r>
        <w:rPr>
          <w:rFonts w:ascii="Times New Roman" w:hAnsi="Times New Roman"/>
          <w:sz w:val="22"/>
          <w:szCs w:val="22"/>
          <w:lang w:val="en-CA"/>
        </w:rPr>
        <w:br/>
      </w:r>
      <w:r w:rsidR="00421226" w:rsidRPr="00421226">
        <w:rPr>
          <w:rFonts w:ascii="Times New Roman" w:hAnsi="Times New Roman"/>
          <w:noProof/>
          <w:sz w:val="22"/>
          <w:szCs w:val="22"/>
          <w:lang w:val="en-CA"/>
        </w:rPr>
        <w:pict w14:anchorId="50B6102A">
          <v:shape id="Picture 1" o:spid="_x0000_i1027" type="#_x0000_t75" style="width:432.75pt;height:223.5pt;visibility:visible;mso-wrap-style:square" o:bordertopcolor="black" o:borderleftcolor="black" o:borderbottomcolor="black" o:borderrightcolor="black">
            <v:imagedata r:id="rId10" o:title=""/>
            <w10:bordertop type="single" width="6"/>
            <w10:borderleft type="single" width="6"/>
            <w10:borderbottom type="single" width="6"/>
            <w10:borderright type="single" width="6"/>
          </v:shape>
        </w:pict>
      </w:r>
    </w:p>
    <w:p w14:paraId="4403C9DF" w14:textId="77777777" w:rsidR="00E77606" w:rsidRDefault="00E77606" w:rsidP="00E77606">
      <w:pPr>
        <w:tabs>
          <w:tab w:val="left" w:pos="3227"/>
        </w:tabs>
        <w:rPr>
          <w:rFonts w:ascii="Times New Roman" w:hAnsi="Times New Roman"/>
          <w:sz w:val="22"/>
          <w:szCs w:val="22"/>
          <w:lang w:val="en-CA"/>
        </w:rPr>
      </w:pPr>
    </w:p>
    <w:p w14:paraId="45C30698" w14:textId="4928F9CB" w:rsidR="00E77606" w:rsidRDefault="00E77606" w:rsidP="00E77606">
      <w:pPr>
        <w:tabs>
          <w:tab w:val="left" w:pos="3227"/>
        </w:tabs>
        <w:rPr>
          <w:rFonts w:ascii="Times New Roman" w:hAnsi="Times New Roman"/>
          <w:b/>
          <w:bCs/>
          <w:sz w:val="22"/>
          <w:szCs w:val="22"/>
        </w:rPr>
      </w:pPr>
      <w:r w:rsidRPr="00205DB2">
        <w:rPr>
          <w:rFonts w:ascii="Times New Roman" w:hAnsi="Times New Roman"/>
          <w:b/>
          <w:bCs/>
          <w:sz w:val="22"/>
          <w:szCs w:val="22"/>
          <w:lang w:val="en-CA"/>
        </w:rPr>
        <w:t>Figure 2</w:t>
      </w:r>
      <w:r w:rsidRPr="00205DB2">
        <w:rPr>
          <w:rFonts w:ascii="Times New Roman" w:hAnsi="Times New Roman"/>
          <w:sz w:val="22"/>
          <w:szCs w:val="22"/>
          <w:lang w:val="en-CA"/>
        </w:rPr>
        <w:t xml:space="preserve">. </w:t>
      </w:r>
      <w:r w:rsidRPr="00D3650C">
        <w:rPr>
          <w:rFonts w:ascii="Times New Roman" w:hAnsi="Times New Roman"/>
          <w:b/>
          <w:bCs/>
          <w:sz w:val="22"/>
          <w:szCs w:val="22"/>
          <w:lang w:val="en-CA"/>
        </w:rPr>
        <w:t xml:space="preserve">Mean changes in TWSTRS sub-scores 12-weeks following each injection (a) and at the peak effect (b) are displayed. </w:t>
      </w:r>
      <w:r>
        <w:rPr>
          <w:rFonts w:ascii="Times New Roman" w:hAnsi="Times New Roman"/>
          <w:sz w:val="22"/>
          <w:szCs w:val="22"/>
          <w:lang w:val="en-CA"/>
        </w:rPr>
        <w:t>TWSTRS part I, II and III represent sub-scores for CD severity, disability and pain associated with CD, respectively. Asterisks (*) represent statistically significance (</w:t>
      </w:r>
      <w:r>
        <w:rPr>
          <w:rFonts w:ascii="Times New Roman" w:hAnsi="Times New Roman"/>
          <w:i/>
          <w:iCs/>
          <w:sz w:val="22"/>
          <w:szCs w:val="22"/>
          <w:lang w:val="en-CA"/>
        </w:rPr>
        <w:t xml:space="preserve">p </w:t>
      </w:r>
      <w:r>
        <w:rPr>
          <w:rFonts w:ascii="Times New Roman" w:hAnsi="Times New Roman"/>
          <w:sz w:val="22"/>
          <w:szCs w:val="22"/>
          <w:lang w:val="en-CA"/>
        </w:rPr>
        <w:t>&lt; 0.05) compared to Original BoNT-A or comparisons are denoted by the horizontal bars.</w:t>
      </w:r>
    </w:p>
    <w:p w14:paraId="58D58BE3" w14:textId="1F1314E6" w:rsidR="00E77606" w:rsidRDefault="00E77606" w:rsidP="00E77606">
      <w:pPr>
        <w:tabs>
          <w:tab w:val="left" w:pos="3227"/>
        </w:tabs>
        <w:rPr>
          <w:rFonts w:ascii="Times New Roman" w:hAnsi="Times New Roman"/>
          <w:b/>
          <w:bCs/>
          <w:sz w:val="22"/>
          <w:szCs w:val="22"/>
        </w:rPr>
      </w:pPr>
    </w:p>
    <w:p w14:paraId="3A1585A9" w14:textId="2241534A" w:rsidR="00D12CC8" w:rsidRDefault="00421226" w:rsidP="00E77606">
      <w:pPr>
        <w:tabs>
          <w:tab w:val="left" w:pos="3227"/>
        </w:tabs>
        <w:rPr>
          <w:rFonts w:ascii="Times New Roman" w:hAnsi="Times New Roman"/>
          <w:b/>
          <w:bCs/>
          <w:sz w:val="22"/>
          <w:szCs w:val="22"/>
        </w:rPr>
      </w:pPr>
      <w:r w:rsidRPr="00421226">
        <w:rPr>
          <w:rFonts w:ascii="Times New Roman" w:hAnsi="Times New Roman"/>
          <w:b/>
          <w:noProof/>
          <w:sz w:val="22"/>
          <w:szCs w:val="22"/>
        </w:rPr>
        <w:lastRenderedPageBreak/>
        <w:pict w14:anchorId="156DABDC">
          <v:shape id="Picture 2" o:spid="_x0000_i1026" type="#_x0000_t75" style="width:434.25pt;height:208.5pt;visibility:visible;mso-wrap-style:square" o:bordertopcolor="black" o:borderleftcolor="black" o:borderbottomcolor="black" o:borderrightcolor="black">
            <v:imagedata r:id="rId11" o:title=""/>
            <w10:bordertop type="single" width="6"/>
            <w10:borderleft type="single" width="6"/>
            <w10:borderbottom type="single" width="6"/>
            <w10:borderright type="single" width="6"/>
          </v:shape>
        </w:pict>
      </w:r>
    </w:p>
    <w:p w14:paraId="6EFEB112" w14:textId="3EF7DC16" w:rsidR="00E77606" w:rsidRPr="00345733" w:rsidRDefault="00E77606" w:rsidP="00345733">
      <w:pPr>
        <w:tabs>
          <w:tab w:val="left" w:pos="3227"/>
        </w:tabs>
        <w:rPr>
          <w:rFonts w:ascii="Times New Roman" w:hAnsi="Times New Roman"/>
          <w:sz w:val="22"/>
          <w:szCs w:val="22"/>
        </w:rPr>
      </w:pPr>
      <w:r w:rsidRPr="00345733">
        <w:rPr>
          <w:rFonts w:ascii="Times New Roman" w:hAnsi="Times New Roman"/>
          <w:b/>
          <w:bCs/>
          <w:sz w:val="22"/>
          <w:szCs w:val="22"/>
        </w:rPr>
        <w:t xml:space="preserve">Figure 3. </w:t>
      </w:r>
      <w:r w:rsidRPr="00345733">
        <w:rPr>
          <w:rFonts w:ascii="Times New Roman" w:hAnsi="Times New Roman"/>
          <w:b/>
          <w:bCs/>
          <w:sz w:val="22"/>
          <w:szCs w:val="22"/>
          <w:lang w:val="en-CA"/>
        </w:rPr>
        <w:t>Mean changes in kinematic measures 12-weeks following all abo-BoNT-A injections (a,c) and at the peak effect (b,d) are displayed</w:t>
      </w:r>
      <w:r w:rsidRPr="00345733">
        <w:rPr>
          <w:rFonts w:ascii="Times New Roman" w:hAnsi="Times New Roman"/>
          <w:sz w:val="22"/>
          <w:szCs w:val="22"/>
          <w:lang w:val="en-CA"/>
        </w:rPr>
        <w:t>. The percent (%) of participants with neck posturing (tonic deviation) that returned to neutral were compared to participants who continued to present with neck posturing (c,d) at each time-point. Asterisks (*) represent statistically significance (</w:t>
      </w:r>
      <w:r w:rsidRPr="00345733">
        <w:rPr>
          <w:rFonts w:ascii="Times New Roman" w:hAnsi="Times New Roman"/>
          <w:i/>
          <w:iCs/>
          <w:sz w:val="22"/>
          <w:szCs w:val="22"/>
          <w:lang w:val="en-CA"/>
        </w:rPr>
        <w:t xml:space="preserve">p </w:t>
      </w:r>
      <w:r w:rsidRPr="00345733">
        <w:rPr>
          <w:rFonts w:ascii="Times New Roman" w:hAnsi="Times New Roman"/>
          <w:sz w:val="22"/>
          <w:szCs w:val="22"/>
          <w:lang w:val="en-CA"/>
        </w:rPr>
        <w:t>&lt; 0.05) compared to Original BoNT-A or comparisons are denoted by the horizontal bars. Error bars represent standard deviation.</w:t>
      </w:r>
    </w:p>
    <w:p w14:paraId="17F452E7" w14:textId="5BF02988" w:rsidR="00E77606" w:rsidRDefault="00E77606" w:rsidP="004665F9">
      <w:pPr>
        <w:tabs>
          <w:tab w:val="left" w:pos="3227"/>
        </w:tabs>
        <w:spacing w:line="480" w:lineRule="auto"/>
        <w:rPr>
          <w:rFonts w:ascii="Times New Roman" w:hAnsi="Times New Roman"/>
          <w:b/>
          <w:bCs/>
        </w:rPr>
      </w:pPr>
    </w:p>
    <w:p w14:paraId="27761CA7" w14:textId="67764A80" w:rsidR="00D12CC8" w:rsidRDefault="00421226" w:rsidP="004665F9">
      <w:pPr>
        <w:tabs>
          <w:tab w:val="left" w:pos="3227"/>
        </w:tabs>
        <w:spacing w:line="480" w:lineRule="auto"/>
        <w:rPr>
          <w:rFonts w:ascii="Times New Roman" w:hAnsi="Times New Roman"/>
          <w:b/>
          <w:bCs/>
        </w:rPr>
      </w:pPr>
      <w:r w:rsidRPr="00421226">
        <w:rPr>
          <w:rFonts w:ascii="Times New Roman" w:hAnsi="Times New Roman"/>
          <w:b/>
          <w:noProof/>
        </w:rPr>
        <w:pict w14:anchorId="16AB3C1B">
          <v:shape id="Picture 3" o:spid="_x0000_i1025" type="#_x0000_t75" style="width:435pt;height:241.5pt;visibility:visible;mso-wrap-style:square" o:bordertopcolor="black" o:borderleftcolor="black" o:borderbottomcolor="black" o:borderrightcolor="black">
            <v:imagedata r:id="rId12" o:title=""/>
            <w10:bordertop type="single" width="6"/>
            <w10:borderleft type="single" width="6"/>
            <w10:borderbottom type="single" width="6"/>
            <w10:borderright type="single" width="6"/>
          </v:shape>
        </w:pict>
      </w:r>
    </w:p>
    <w:p w14:paraId="095EE9BE" w14:textId="58AB7E3E" w:rsidR="004665F9" w:rsidRDefault="004665F9" w:rsidP="004665F9">
      <w:pPr>
        <w:tabs>
          <w:tab w:val="left" w:pos="3227"/>
        </w:tabs>
        <w:spacing w:line="480" w:lineRule="auto"/>
        <w:rPr>
          <w:rFonts w:ascii="Times New Roman" w:hAnsi="Times New Roman"/>
          <w:b/>
          <w:bCs/>
        </w:rPr>
      </w:pPr>
      <w:r>
        <w:rPr>
          <w:rFonts w:ascii="Times New Roman" w:hAnsi="Times New Roman"/>
          <w:b/>
          <w:bCs/>
        </w:rPr>
        <w:br w:type="page"/>
      </w:r>
    </w:p>
    <w:p w14:paraId="4CDF83F4" w14:textId="15FFF8B1" w:rsidR="000A6FD5" w:rsidRDefault="000A6FD5" w:rsidP="00345733">
      <w:pPr>
        <w:tabs>
          <w:tab w:val="left" w:pos="3227"/>
        </w:tabs>
        <w:spacing w:line="480" w:lineRule="auto"/>
        <w:jc w:val="center"/>
        <w:rPr>
          <w:rFonts w:ascii="Times New Roman" w:hAnsi="Times New Roman"/>
        </w:rPr>
      </w:pPr>
      <w:r>
        <w:rPr>
          <w:rFonts w:ascii="Times New Roman" w:hAnsi="Times New Roman"/>
          <w:b/>
          <w:bCs/>
        </w:rPr>
        <w:t xml:space="preserve">Table 1. </w:t>
      </w:r>
      <w:r>
        <w:rPr>
          <w:rFonts w:ascii="Times New Roman" w:hAnsi="Times New Roman"/>
        </w:rPr>
        <w:t>Total abo-BoNT-A dose administered at the 1</w:t>
      </w:r>
      <w:r w:rsidRPr="00FA21B9">
        <w:rPr>
          <w:rFonts w:ascii="Times New Roman" w:hAnsi="Times New Roman"/>
          <w:vertAlign w:val="superscript"/>
        </w:rPr>
        <w:t>st</w:t>
      </w:r>
      <w:r>
        <w:rPr>
          <w:rFonts w:ascii="Times New Roman" w:hAnsi="Times New Roman"/>
        </w:rPr>
        <w:t xml:space="preserve"> and 3</w:t>
      </w:r>
      <w:r w:rsidRPr="00FA21B9">
        <w:rPr>
          <w:rFonts w:ascii="Times New Roman" w:hAnsi="Times New Roman"/>
          <w:vertAlign w:val="superscript"/>
        </w:rPr>
        <w:t>rd</w:t>
      </w:r>
      <w:r>
        <w:rPr>
          <w:rFonts w:ascii="Times New Roman" w:hAnsi="Times New Roman"/>
        </w:rPr>
        <w:t xml:space="preserve"> treatment cycles per participant. </w:t>
      </w:r>
    </w:p>
    <w:tbl>
      <w:tblPr>
        <w:tblW w:w="5490" w:type="dxa"/>
        <w:tblLook w:val="04A0" w:firstRow="1" w:lastRow="0" w:firstColumn="1" w:lastColumn="0" w:noHBand="0" w:noVBand="1"/>
      </w:tblPr>
      <w:tblGrid>
        <w:gridCol w:w="1480"/>
        <w:gridCol w:w="1920"/>
        <w:gridCol w:w="2090"/>
      </w:tblGrid>
      <w:tr w:rsidR="000A6FD5" w:rsidRPr="00421226" w14:paraId="27F67FB6" w14:textId="77777777" w:rsidTr="00345733">
        <w:trPr>
          <w:trHeight w:val="870"/>
        </w:trPr>
        <w:tc>
          <w:tcPr>
            <w:tcW w:w="1480" w:type="dxa"/>
            <w:tcBorders>
              <w:top w:val="nil"/>
              <w:left w:val="nil"/>
              <w:bottom w:val="single" w:sz="4" w:space="0" w:color="auto"/>
              <w:right w:val="nil"/>
            </w:tcBorders>
            <w:shd w:val="clear" w:color="auto" w:fill="auto"/>
            <w:vAlign w:val="center"/>
            <w:hideMark/>
          </w:tcPr>
          <w:p w14:paraId="4A3849F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ID</w:t>
            </w:r>
          </w:p>
        </w:tc>
        <w:tc>
          <w:tcPr>
            <w:tcW w:w="1920" w:type="dxa"/>
            <w:tcBorders>
              <w:top w:val="nil"/>
              <w:left w:val="nil"/>
              <w:bottom w:val="single" w:sz="4" w:space="0" w:color="auto"/>
              <w:right w:val="nil"/>
            </w:tcBorders>
            <w:shd w:val="clear" w:color="auto" w:fill="auto"/>
            <w:vAlign w:val="center"/>
            <w:hideMark/>
          </w:tcPr>
          <w:p w14:paraId="6C7B02D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 xml:space="preserve">1st Abo-BoNT-A </w:t>
            </w:r>
          </w:p>
        </w:tc>
        <w:tc>
          <w:tcPr>
            <w:tcW w:w="2090" w:type="dxa"/>
            <w:tcBorders>
              <w:top w:val="nil"/>
              <w:left w:val="nil"/>
              <w:bottom w:val="single" w:sz="4" w:space="0" w:color="auto"/>
              <w:right w:val="nil"/>
            </w:tcBorders>
            <w:shd w:val="clear" w:color="auto" w:fill="auto"/>
            <w:vAlign w:val="center"/>
            <w:hideMark/>
          </w:tcPr>
          <w:p w14:paraId="4628D815"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3rd Abo-BoNT-A</w:t>
            </w:r>
          </w:p>
        </w:tc>
      </w:tr>
      <w:tr w:rsidR="000A6FD5" w:rsidRPr="00421226" w14:paraId="2EB9AA42" w14:textId="77777777" w:rsidTr="00345733">
        <w:trPr>
          <w:trHeight w:val="310"/>
        </w:trPr>
        <w:tc>
          <w:tcPr>
            <w:tcW w:w="1480" w:type="dxa"/>
            <w:tcBorders>
              <w:top w:val="nil"/>
              <w:left w:val="nil"/>
              <w:bottom w:val="nil"/>
              <w:right w:val="nil"/>
            </w:tcBorders>
            <w:shd w:val="clear" w:color="auto" w:fill="auto"/>
            <w:noWrap/>
            <w:vAlign w:val="center"/>
            <w:hideMark/>
          </w:tcPr>
          <w:p w14:paraId="368E3A0A"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w:t>
            </w:r>
          </w:p>
        </w:tc>
        <w:tc>
          <w:tcPr>
            <w:tcW w:w="1920" w:type="dxa"/>
            <w:tcBorders>
              <w:top w:val="nil"/>
              <w:left w:val="nil"/>
              <w:bottom w:val="nil"/>
              <w:right w:val="nil"/>
            </w:tcBorders>
            <w:shd w:val="clear" w:color="auto" w:fill="auto"/>
            <w:noWrap/>
            <w:vAlign w:val="center"/>
            <w:hideMark/>
          </w:tcPr>
          <w:p w14:paraId="09557212"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250</w:t>
            </w:r>
          </w:p>
        </w:tc>
        <w:tc>
          <w:tcPr>
            <w:tcW w:w="2090" w:type="dxa"/>
            <w:tcBorders>
              <w:top w:val="nil"/>
              <w:left w:val="nil"/>
              <w:bottom w:val="nil"/>
              <w:right w:val="nil"/>
            </w:tcBorders>
            <w:shd w:val="clear" w:color="auto" w:fill="auto"/>
            <w:noWrap/>
            <w:vAlign w:val="center"/>
            <w:hideMark/>
          </w:tcPr>
          <w:p w14:paraId="2E05C740"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375</w:t>
            </w:r>
          </w:p>
        </w:tc>
      </w:tr>
      <w:tr w:rsidR="000A6FD5" w:rsidRPr="00421226" w14:paraId="0D7BE4A8" w14:textId="77777777" w:rsidTr="00345733">
        <w:trPr>
          <w:trHeight w:val="310"/>
        </w:trPr>
        <w:tc>
          <w:tcPr>
            <w:tcW w:w="1480" w:type="dxa"/>
            <w:tcBorders>
              <w:top w:val="nil"/>
              <w:left w:val="nil"/>
              <w:bottom w:val="nil"/>
              <w:right w:val="nil"/>
            </w:tcBorders>
            <w:shd w:val="clear" w:color="auto" w:fill="auto"/>
            <w:noWrap/>
            <w:vAlign w:val="center"/>
            <w:hideMark/>
          </w:tcPr>
          <w:p w14:paraId="23C56ECF"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w:t>
            </w:r>
          </w:p>
        </w:tc>
        <w:tc>
          <w:tcPr>
            <w:tcW w:w="1920" w:type="dxa"/>
            <w:tcBorders>
              <w:top w:val="nil"/>
              <w:left w:val="nil"/>
              <w:bottom w:val="nil"/>
              <w:right w:val="nil"/>
            </w:tcBorders>
            <w:shd w:val="clear" w:color="auto" w:fill="auto"/>
            <w:noWrap/>
            <w:vAlign w:val="center"/>
            <w:hideMark/>
          </w:tcPr>
          <w:p w14:paraId="6838C3F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625</w:t>
            </w:r>
          </w:p>
        </w:tc>
        <w:tc>
          <w:tcPr>
            <w:tcW w:w="2090" w:type="dxa"/>
            <w:tcBorders>
              <w:top w:val="nil"/>
              <w:left w:val="nil"/>
              <w:bottom w:val="nil"/>
              <w:right w:val="nil"/>
            </w:tcBorders>
            <w:shd w:val="clear" w:color="auto" w:fill="auto"/>
            <w:noWrap/>
            <w:vAlign w:val="center"/>
            <w:hideMark/>
          </w:tcPr>
          <w:p w14:paraId="64C24FCA"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800</w:t>
            </w:r>
          </w:p>
        </w:tc>
      </w:tr>
      <w:tr w:rsidR="000A6FD5" w:rsidRPr="00421226" w14:paraId="0E2ED302" w14:textId="77777777" w:rsidTr="00345733">
        <w:trPr>
          <w:trHeight w:val="310"/>
        </w:trPr>
        <w:tc>
          <w:tcPr>
            <w:tcW w:w="1480" w:type="dxa"/>
            <w:tcBorders>
              <w:top w:val="nil"/>
              <w:left w:val="nil"/>
              <w:bottom w:val="nil"/>
              <w:right w:val="nil"/>
            </w:tcBorders>
            <w:shd w:val="clear" w:color="auto" w:fill="auto"/>
            <w:noWrap/>
            <w:vAlign w:val="center"/>
            <w:hideMark/>
          </w:tcPr>
          <w:p w14:paraId="64FFC690"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3</w:t>
            </w:r>
          </w:p>
        </w:tc>
        <w:tc>
          <w:tcPr>
            <w:tcW w:w="1920" w:type="dxa"/>
            <w:tcBorders>
              <w:top w:val="nil"/>
              <w:left w:val="nil"/>
              <w:bottom w:val="nil"/>
              <w:right w:val="nil"/>
            </w:tcBorders>
            <w:shd w:val="clear" w:color="auto" w:fill="auto"/>
            <w:noWrap/>
            <w:vAlign w:val="center"/>
            <w:hideMark/>
          </w:tcPr>
          <w:p w14:paraId="437171BB"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687.5</w:t>
            </w:r>
          </w:p>
        </w:tc>
        <w:tc>
          <w:tcPr>
            <w:tcW w:w="2090" w:type="dxa"/>
            <w:tcBorders>
              <w:top w:val="nil"/>
              <w:left w:val="nil"/>
              <w:bottom w:val="nil"/>
              <w:right w:val="nil"/>
            </w:tcBorders>
            <w:shd w:val="clear" w:color="auto" w:fill="auto"/>
            <w:noWrap/>
            <w:vAlign w:val="center"/>
            <w:hideMark/>
          </w:tcPr>
          <w:p w14:paraId="7224F09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775</w:t>
            </w:r>
          </w:p>
        </w:tc>
      </w:tr>
      <w:tr w:rsidR="000A6FD5" w:rsidRPr="00421226" w14:paraId="4BAC34BE" w14:textId="77777777" w:rsidTr="00345733">
        <w:trPr>
          <w:trHeight w:val="310"/>
        </w:trPr>
        <w:tc>
          <w:tcPr>
            <w:tcW w:w="1480" w:type="dxa"/>
            <w:tcBorders>
              <w:top w:val="nil"/>
              <w:left w:val="nil"/>
              <w:bottom w:val="nil"/>
              <w:right w:val="nil"/>
            </w:tcBorders>
            <w:shd w:val="clear" w:color="auto" w:fill="auto"/>
            <w:noWrap/>
            <w:vAlign w:val="center"/>
            <w:hideMark/>
          </w:tcPr>
          <w:p w14:paraId="3561BAD6"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4</w:t>
            </w:r>
          </w:p>
        </w:tc>
        <w:tc>
          <w:tcPr>
            <w:tcW w:w="1920" w:type="dxa"/>
            <w:tcBorders>
              <w:top w:val="nil"/>
              <w:left w:val="nil"/>
              <w:bottom w:val="nil"/>
              <w:right w:val="nil"/>
            </w:tcBorders>
            <w:shd w:val="clear" w:color="auto" w:fill="auto"/>
            <w:noWrap/>
            <w:vAlign w:val="center"/>
            <w:hideMark/>
          </w:tcPr>
          <w:p w14:paraId="014965AF"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312.5</w:t>
            </w:r>
          </w:p>
        </w:tc>
        <w:tc>
          <w:tcPr>
            <w:tcW w:w="2090" w:type="dxa"/>
            <w:tcBorders>
              <w:top w:val="nil"/>
              <w:left w:val="nil"/>
              <w:bottom w:val="nil"/>
              <w:right w:val="nil"/>
            </w:tcBorders>
            <w:shd w:val="clear" w:color="auto" w:fill="auto"/>
            <w:noWrap/>
            <w:vAlign w:val="center"/>
            <w:hideMark/>
          </w:tcPr>
          <w:p w14:paraId="77CE980D"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437.5</w:t>
            </w:r>
          </w:p>
        </w:tc>
      </w:tr>
      <w:tr w:rsidR="000A6FD5" w:rsidRPr="00421226" w14:paraId="197F29D4" w14:textId="77777777" w:rsidTr="00345733">
        <w:trPr>
          <w:trHeight w:val="310"/>
        </w:trPr>
        <w:tc>
          <w:tcPr>
            <w:tcW w:w="1480" w:type="dxa"/>
            <w:tcBorders>
              <w:top w:val="nil"/>
              <w:left w:val="nil"/>
              <w:bottom w:val="nil"/>
              <w:right w:val="nil"/>
            </w:tcBorders>
            <w:shd w:val="clear" w:color="auto" w:fill="auto"/>
            <w:noWrap/>
            <w:vAlign w:val="center"/>
            <w:hideMark/>
          </w:tcPr>
          <w:p w14:paraId="2870325E"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5</w:t>
            </w:r>
          </w:p>
        </w:tc>
        <w:tc>
          <w:tcPr>
            <w:tcW w:w="1920" w:type="dxa"/>
            <w:tcBorders>
              <w:top w:val="nil"/>
              <w:left w:val="nil"/>
              <w:bottom w:val="nil"/>
              <w:right w:val="nil"/>
            </w:tcBorders>
            <w:shd w:val="clear" w:color="auto" w:fill="auto"/>
            <w:noWrap/>
            <w:vAlign w:val="center"/>
            <w:hideMark/>
          </w:tcPr>
          <w:p w14:paraId="734915B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612.5</w:t>
            </w:r>
          </w:p>
        </w:tc>
        <w:tc>
          <w:tcPr>
            <w:tcW w:w="2090" w:type="dxa"/>
            <w:tcBorders>
              <w:top w:val="nil"/>
              <w:left w:val="nil"/>
              <w:bottom w:val="nil"/>
              <w:right w:val="nil"/>
            </w:tcBorders>
            <w:shd w:val="clear" w:color="auto" w:fill="auto"/>
            <w:noWrap/>
            <w:vAlign w:val="center"/>
            <w:hideMark/>
          </w:tcPr>
          <w:p w14:paraId="55D2F7F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962.5</w:t>
            </w:r>
          </w:p>
        </w:tc>
      </w:tr>
      <w:tr w:rsidR="000A6FD5" w:rsidRPr="00421226" w14:paraId="0E873085" w14:textId="77777777" w:rsidTr="00345733">
        <w:trPr>
          <w:trHeight w:val="310"/>
        </w:trPr>
        <w:tc>
          <w:tcPr>
            <w:tcW w:w="1480" w:type="dxa"/>
            <w:tcBorders>
              <w:top w:val="nil"/>
              <w:left w:val="nil"/>
              <w:bottom w:val="nil"/>
              <w:right w:val="nil"/>
            </w:tcBorders>
            <w:shd w:val="clear" w:color="auto" w:fill="auto"/>
            <w:noWrap/>
            <w:vAlign w:val="center"/>
            <w:hideMark/>
          </w:tcPr>
          <w:p w14:paraId="3E7469D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6</w:t>
            </w:r>
          </w:p>
        </w:tc>
        <w:tc>
          <w:tcPr>
            <w:tcW w:w="1920" w:type="dxa"/>
            <w:tcBorders>
              <w:top w:val="nil"/>
              <w:left w:val="nil"/>
              <w:bottom w:val="nil"/>
              <w:right w:val="nil"/>
            </w:tcBorders>
            <w:shd w:val="clear" w:color="auto" w:fill="auto"/>
            <w:noWrap/>
            <w:vAlign w:val="center"/>
            <w:hideMark/>
          </w:tcPr>
          <w:p w14:paraId="130DC71C"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350</w:t>
            </w:r>
          </w:p>
        </w:tc>
        <w:tc>
          <w:tcPr>
            <w:tcW w:w="2090" w:type="dxa"/>
            <w:tcBorders>
              <w:top w:val="nil"/>
              <w:left w:val="nil"/>
              <w:bottom w:val="nil"/>
              <w:right w:val="nil"/>
            </w:tcBorders>
            <w:shd w:val="clear" w:color="auto" w:fill="auto"/>
            <w:noWrap/>
            <w:vAlign w:val="center"/>
            <w:hideMark/>
          </w:tcPr>
          <w:p w14:paraId="129C3AC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525</w:t>
            </w:r>
          </w:p>
        </w:tc>
      </w:tr>
      <w:tr w:rsidR="000A6FD5" w:rsidRPr="00421226" w14:paraId="30730EED" w14:textId="77777777" w:rsidTr="00345733">
        <w:trPr>
          <w:trHeight w:val="310"/>
        </w:trPr>
        <w:tc>
          <w:tcPr>
            <w:tcW w:w="1480" w:type="dxa"/>
            <w:tcBorders>
              <w:top w:val="nil"/>
              <w:left w:val="nil"/>
              <w:bottom w:val="nil"/>
              <w:right w:val="nil"/>
            </w:tcBorders>
            <w:shd w:val="clear" w:color="auto" w:fill="auto"/>
            <w:noWrap/>
            <w:vAlign w:val="center"/>
            <w:hideMark/>
          </w:tcPr>
          <w:p w14:paraId="735D2472"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7</w:t>
            </w:r>
          </w:p>
        </w:tc>
        <w:tc>
          <w:tcPr>
            <w:tcW w:w="1920" w:type="dxa"/>
            <w:tcBorders>
              <w:top w:val="nil"/>
              <w:left w:val="nil"/>
              <w:bottom w:val="nil"/>
              <w:right w:val="nil"/>
            </w:tcBorders>
            <w:shd w:val="clear" w:color="auto" w:fill="auto"/>
            <w:noWrap/>
            <w:vAlign w:val="center"/>
            <w:hideMark/>
          </w:tcPr>
          <w:p w14:paraId="574C2A3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850</w:t>
            </w:r>
          </w:p>
        </w:tc>
        <w:tc>
          <w:tcPr>
            <w:tcW w:w="2090" w:type="dxa"/>
            <w:tcBorders>
              <w:top w:val="nil"/>
              <w:left w:val="nil"/>
              <w:bottom w:val="nil"/>
              <w:right w:val="nil"/>
            </w:tcBorders>
            <w:shd w:val="clear" w:color="auto" w:fill="auto"/>
            <w:noWrap/>
            <w:vAlign w:val="center"/>
            <w:hideMark/>
          </w:tcPr>
          <w:p w14:paraId="1FFC631D"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925</w:t>
            </w:r>
          </w:p>
        </w:tc>
      </w:tr>
      <w:tr w:rsidR="000A6FD5" w:rsidRPr="00421226" w14:paraId="3C35BCD1" w14:textId="77777777" w:rsidTr="00345733">
        <w:trPr>
          <w:trHeight w:val="310"/>
        </w:trPr>
        <w:tc>
          <w:tcPr>
            <w:tcW w:w="1480" w:type="dxa"/>
            <w:tcBorders>
              <w:top w:val="nil"/>
              <w:left w:val="nil"/>
              <w:bottom w:val="nil"/>
              <w:right w:val="nil"/>
            </w:tcBorders>
            <w:shd w:val="clear" w:color="auto" w:fill="auto"/>
            <w:noWrap/>
            <w:vAlign w:val="center"/>
            <w:hideMark/>
          </w:tcPr>
          <w:p w14:paraId="49106733"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8</w:t>
            </w:r>
          </w:p>
        </w:tc>
        <w:tc>
          <w:tcPr>
            <w:tcW w:w="1920" w:type="dxa"/>
            <w:tcBorders>
              <w:top w:val="nil"/>
              <w:left w:val="nil"/>
              <w:bottom w:val="nil"/>
              <w:right w:val="nil"/>
            </w:tcBorders>
            <w:shd w:val="clear" w:color="auto" w:fill="auto"/>
            <w:noWrap/>
            <w:vAlign w:val="center"/>
            <w:hideMark/>
          </w:tcPr>
          <w:p w14:paraId="1553E5D9"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375</w:t>
            </w:r>
          </w:p>
        </w:tc>
        <w:tc>
          <w:tcPr>
            <w:tcW w:w="2090" w:type="dxa"/>
            <w:tcBorders>
              <w:top w:val="nil"/>
              <w:left w:val="nil"/>
              <w:bottom w:val="nil"/>
              <w:right w:val="nil"/>
            </w:tcBorders>
            <w:shd w:val="clear" w:color="auto" w:fill="auto"/>
            <w:noWrap/>
            <w:vAlign w:val="center"/>
            <w:hideMark/>
          </w:tcPr>
          <w:p w14:paraId="4EA572E6"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650</w:t>
            </w:r>
          </w:p>
        </w:tc>
      </w:tr>
      <w:tr w:rsidR="000A6FD5" w:rsidRPr="00421226" w14:paraId="7BA7EB2A" w14:textId="77777777" w:rsidTr="00345733">
        <w:trPr>
          <w:trHeight w:val="310"/>
        </w:trPr>
        <w:tc>
          <w:tcPr>
            <w:tcW w:w="1480" w:type="dxa"/>
            <w:tcBorders>
              <w:top w:val="nil"/>
              <w:left w:val="nil"/>
              <w:bottom w:val="nil"/>
              <w:right w:val="nil"/>
            </w:tcBorders>
            <w:shd w:val="clear" w:color="auto" w:fill="auto"/>
            <w:noWrap/>
            <w:vAlign w:val="center"/>
            <w:hideMark/>
          </w:tcPr>
          <w:p w14:paraId="749980E7"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9</w:t>
            </w:r>
          </w:p>
        </w:tc>
        <w:tc>
          <w:tcPr>
            <w:tcW w:w="1920" w:type="dxa"/>
            <w:tcBorders>
              <w:top w:val="nil"/>
              <w:left w:val="nil"/>
              <w:bottom w:val="nil"/>
              <w:right w:val="nil"/>
            </w:tcBorders>
            <w:shd w:val="clear" w:color="auto" w:fill="auto"/>
            <w:noWrap/>
            <w:vAlign w:val="center"/>
            <w:hideMark/>
          </w:tcPr>
          <w:p w14:paraId="3FF31C19"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750</w:t>
            </w:r>
          </w:p>
        </w:tc>
        <w:tc>
          <w:tcPr>
            <w:tcW w:w="2090" w:type="dxa"/>
            <w:tcBorders>
              <w:top w:val="nil"/>
              <w:left w:val="nil"/>
              <w:bottom w:val="nil"/>
              <w:right w:val="nil"/>
            </w:tcBorders>
            <w:shd w:val="clear" w:color="auto" w:fill="auto"/>
            <w:noWrap/>
            <w:vAlign w:val="center"/>
            <w:hideMark/>
          </w:tcPr>
          <w:p w14:paraId="6C89C06C"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987.5</w:t>
            </w:r>
          </w:p>
        </w:tc>
      </w:tr>
      <w:tr w:rsidR="000A6FD5" w:rsidRPr="00421226" w14:paraId="46D6CF45" w14:textId="77777777" w:rsidTr="00345733">
        <w:trPr>
          <w:trHeight w:val="310"/>
        </w:trPr>
        <w:tc>
          <w:tcPr>
            <w:tcW w:w="1480" w:type="dxa"/>
            <w:tcBorders>
              <w:top w:val="nil"/>
              <w:left w:val="nil"/>
              <w:bottom w:val="nil"/>
              <w:right w:val="nil"/>
            </w:tcBorders>
            <w:shd w:val="clear" w:color="auto" w:fill="auto"/>
            <w:noWrap/>
            <w:vAlign w:val="center"/>
            <w:hideMark/>
          </w:tcPr>
          <w:p w14:paraId="73F594E1"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10</w:t>
            </w:r>
          </w:p>
        </w:tc>
        <w:tc>
          <w:tcPr>
            <w:tcW w:w="1920" w:type="dxa"/>
            <w:tcBorders>
              <w:top w:val="nil"/>
              <w:left w:val="nil"/>
              <w:bottom w:val="nil"/>
              <w:right w:val="nil"/>
            </w:tcBorders>
            <w:shd w:val="clear" w:color="auto" w:fill="auto"/>
            <w:noWrap/>
            <w:vAlign w:val="center"/>
            <w:hideMark/>
          </w:tcPr>
          <w:p w14:paraId="2F5D67DC"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375</w:t>
            </w:r>
          </w:p>
        </w:tc>
        <w:tc>
          <w:tcPr>
            <w:tcW w:w="2090" w:type="dxa"/>
            <w:tcBorders>
              <w:top w:val="nil"/>
              <w:left w:val="nil"/>
              <w:bottom w:val="nil"/>
              <w:right w:val="nil"/>
            </w:tcBorders>
            <w:shd w:val="clear" w:color="auto" w:fill="auto"/>
            <w:noWrap/>
            <w:vAlign w:val="center"/>
            <w:hideMark/>
          </w:tcPr>
          <w:p w14:paraId="2D6640F5"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375</w:t>
            </w:r>
          </w:p>
        </w:tc>
      </w:tr>
      <w:tr w:rsidR="000A6FD5" w:rsidRPr="00421226" w14:paraId="1F8A0C4C" w14:textId="77777777" w:rsidTr="00345733">
        <w:trPr>
          <w:trHeight w:val="310"/>
        </w:trPr>
        <w:tc>
          <w:tcPr>
            <w:tcW w:w="1480" w:type="dxa"/>
            <w:tcBorders>
              <w:top w:val="nil"/>
              <w:left w:val="nil"/>
              <w:bottom w:val="nil"/>
              <w:right w:val="nil"/>
            </w:tcBorders>
            <w:shd w:val="clear" w:color="auto" w:fill="auto"/>
            <w:noWrap/>
            <w:vAlign w:val="center"/>
            <w:hideMark/>
          </w:tcPr>
          <w:p w14:paraId="39DA62D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11</w:t>
            </w:r>
          </w:p>
        </w:tc>
        <w:tc>
          <w:tcPr>
            <w:tcW w:w="1920" w:type="dxa"/>
            <w:tcBorders>
              <w:top w:val="nil"/>
              <w:left w:val="nil"/>
              <w:bottom w:val="nil"/>
              <w:right w:val="nil"/>
            </w:tcBorders>
            <w:shd w:val="clear" w:color="auto" w:fill="auto"/>
            <w:noWrap/>
            <w:vAlign w:val="center"/>
            <w:hideMark/>
          </w:tcPr>
          <w:p w14:paraId="0A0F4EC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575</w:t>
            </w:r>
          </w:p>
        </w:tc>
        <w:tc>
          <w:tcPr>
            <w:tcW w:w="2090" w:type="dxa"/>
            <w:tcBorders>
              <w:top w:val="nil"/>
              <w:left w:val="nil"/>
              <w:bottom w:val="nil"/>
              <w:right w:val="nil"/>
            </w:tcBorders>
            <w:shd w:val="clear" w:color="auto" w:fill="auto"/>
            <w:noWrap/>
            <w:vAlign w:val="center"/>
            <w:hideMark/>
          </w:tcPr>
          <w:p w14:paraId="084D7B91"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450</w:t>
            </w:r>
          </w:p>
        </w:tc>
      </w:tr>
      <w:tr w:rsidR="000A6FD5" w:rsidRPr="00421226" w14:paraId="7ED38283" w14:textId="77777777" w:rsidTr="00345733">
        <w:trPr>
          <w:trHeight w:val="310"/>
        </w:trPr>
        <w:tc>
          <w:tcPr>
            <w:tcW w:w="1480" w:type="dxa"/>
            <w:tcBorders>
              <w:top w:val="nil"/>
              <w:left w:val="nil"/>
              <w:bottom w:val="nil"/>
              <w:right w:val="nil"/>
            </w:tcBorders>
            <w:shd w:val="clear" w:color="auto" w:fill="auto"/>
            <w:noWrap/>
            <w:vAlign w:val="center"/>
            <w:hideMark/>
          </w:tcPr>
          <w:p w14:paraId="0E066FF1"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12</w:t>
            </w:r>
          </w:p>
        </w:tc>
        <w:tc>
          <w:tcPr>
            <w:tcW w:w="1920" w:type="dxa"/>
            <w:tcBorders>
              <w:top w:val="nil"/>
              <w:left w:val="nil"/>
              <w:bottom w:val="nil"/>
              <w:right w:val="nil"/>
            </w:tcBorders>
            <w:shd w:val="clear" w:color="auto" w:fill="auto"/>
            <w:noWrap/>
            <w:vAlign w:val="center"/>
            <w:hideMark/>
          </w:tcPr>
          <w:p w14:paraId="28012A19"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687.5</w:t>
            </w:r>
          </w:p>
        </w:tc>
        <w:tc>
          <w:tcPr>
            <w:tcW w:w="2090" w:type="dxa"/>
            <w:tcBorders>
              <w:top w:val="nil"/>
              <w:left w:val="nil"/>
              <w:bottom w:val="nil"/>
              <w:right w:val="nil"/>
            </w:tcBorders>
            <w:shd w:val="clear" w:color="auto" w:fill="auto"/>
            <w:noWrap/>
            <w:vAlign w:val="center"/>
            <w:hideMark/>
          </w:tcPr>
          <w:p w14:paraId="4FB8C7BD"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800</w:t>
            </w:r>
          </w:p>
        </w:tc>
      </w:tr>
      <w:tr w:rsidR="000A6FD5" w:rsidRPr="00421226" w14:paraId="2CAF7355" w14:textId="77777777" w:rsidTr="00345733">
        <w:trPr>
          <w:trHeight w:val="310"/>
        </w:trPr>
        <w:tc>
          <w:tcPr>
            <w:tcW w:w="1480" w:type="dxa"/>
            <w:tcBorders>
              <w:top w:val="nil"/>
              <w:left w:val="nil"/>
              <w:bottom w:val="nil"/>
              <w:right w:val="nil"/>
            </w:tcBorders>
            <w:shd w:val="clear" w:color="auto" w:fill="auto"/>
            <w:noWrap/>
            <w:vAlign w:val="center"/>
            <w:hideMark/>
          </w:tcPr>
          <w:p w14:paraId="1342C82A"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13</w:t>
            </w:r>
          </w:p>
        </w:tc>
        <w:tc>
          <w:tcPr>
            <w:tcW w:w="1920" w:type="dxa"/>
            <w:tcBorders>
              <w:top w:val="nil"/>
              <w:left w:val="nil"/>
              <w:bottom w:val="nil"/>
              <w:right w:val="nil"/>
            </w:tcBorders>
            <w:shd w:val="clear" w:color="auto" w:fill="auto"/>
            <w:noWrap/>
            <w:vAlign w:val="center"/>
            <w:hideMark/>
          </w:tcPr>
          <w:p w14:paraId="0405AE61"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500</w:t>
            </w:r>
          </w:p>
        </w:tc>
        <w:tc>
          <w:tcPr>
            <w:tcW w:w="2090" w:type="dxa"/>
            <w:tcBorders>
              <w:top w:val="nil"/>
              <w:left w:val="nil"/>
              <w:bottom w:val="nil"/>
              <w:right w:val="nil"/>
            </w:tcBorders>
            <w:shd w:val="clear" w:color="auto" w:fill="auto"/>
            <w:noWrap/>
            <w:vAlign w:val="center"/>
            <w:hideMark/>
          </w:tcPr>
          <w:p w14:paraId="68FF7EC6"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750</w:t>
            </w:r>
          </w:p>
        </w:tc>
      </w:tr>
      <w:tr w:rsidR="000A6FD5" w:rsidRPr="00421226" w14:paraId="21C9A05D" w14:textId="77777777" w:rsidTr="00345733">
        <w:trPr>
          <w:trHeight w:val="310"/>
        </w:trPr>
        <w:tc>
          <w:tcPr>
            <w:tcW w:w="1480" w:type="dxa"/>
            <w:tcBorders>
              <w:top w:val="nil"/>
              <w:left w:val="nil"/>
              <w:bottom w:val="nil"/>
              <w:right w:val="nil"/>
            </w:tcBorders>
            <w:shd w:val="clear" w:color="auto" w:fill="auto"/>
            <w:noWrap/>
            <w:vAlign w:val="center"/>
            <w:hideMark/>
          </w:tcPr>
          <w:p w14:paraId="61E851F4"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14</w:t>
            </w:r>
          </w:p>
        </w:tc>
        <w:tc>
          <w:tcPr>
            <w:tcW w:w="1920" w:type="dxa"/>
            <w:tcBorders>
              <w:top w:val="nil"/>
              <w:left w:val="nil"/>
              <w:bottom w:val="nil"/>
              <w:right w:val="nil"/>
            </w:tcBorders>
            <w:shd w:val="clear" w:color="auto" w:fill="auto"/>
            <w:noWrap/>
            <w:vAlign w:val="center"/>
            <w:hideMark/>
          </w:tcPr>
          <w:p w14:paraId="289CE1D2"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625</w:t>
            </w:r>
          </w:p>
        </w:tc>
        <w:tc>
          <w:tcPr>
            <w:tcW w:w="2090" w:type="dxa"/>
            <w:tcBorders>
              <w:top w:val="nil"/>
              <w:left w:val="nil"/>
              <w:bottom w:val="nil"/>
              <w:right w:val="nil"/>
            </w:tcBorders>
            <w:shd w:val="clear" w:color="auto" w:fill="auto"/>
            <w:noWrap/>
            <w:vAlign w:val="center"/>
            <w:hideMark/>
          </w:tcPr>
          <w:p w14:paraId="25900983"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875</w:t>
            </w:r>
          </w:p>
        </w:tc>
      </w:tr>
      <w:tr w:rsidR="000A6FD5" w:rsidRPr="00421226" w14:paraId="624E9892" w14:textId="77777777" w:rsidTr="00345733">
        <w:trPr>
          <w:trHeight w:val="310"/>
        </w:trPr>
        <w:tc>
          <w:tcPr>
            <w:tcW w:w="1480" w:type="dxa"/>
            <w:tcBorders>
              <w:top w:val="nil"/>
              <w:left w:val="nil"/>
              <w:bottom w:val="nil"/>
              <w:right w:val="nil"/>
            </w:tcBorders>
            <w:shd w:val="clear" w:color="auto" w:fill="auto"/>
            <w:noWrap/>
            <w:vAlign w:val="center"/>
            <w:hideMark/>
          </w:tcPr>
          <w:p w14:paraId="4F19C4FC"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15</w:t>
            </w:r>
          </w:p>
        </w:tc>
        <w:tc>
          <w:tcPr>
            <w:tcW w:w="1920" w:type="dxa"/>
            <w:tcBorders>
              <w:top w:val="nil"/>
              <w:left w:val="nil"/>
              <w:bottom w:val="nil"/>
              <w:right w:val="nil"/>
            </w:tcBorders>
            <w:shd w:val="clear" w:color="auto" w:fill="auto"/>
            <w:noWrap/>
            <w:vAlign w:val="center"/>
            <w:hideMark/>
          </w:tcPr>
          <w:p w14:paraId="2AA6D00A"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800</w:t>
            </w:r>
          </w:p>
        </w:tc>
        <w:tc>
          <w:tcPr>
            <w:tcW w:w="2090" w:type="dxa"/>
            <w:tcBorders>
              <w:top w:val="nil"/>
              <w:left w:val="nil"/>
              <w:bottom w:val="nil"/>
              <w:right w:val="nil"/>
            </w:tcBorders>
            <w:shd w:val="clear" w:color="auto" w:fill="auto"/>
            <w:noWrap/>
            <w:vAlign w:val="center"/>
            <w:hideMark/>
          </w:tcPr>
          <w:p w14:paraId="5C87D6F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850</w:t>
            </w:r>
          </w:p>
        </w:tc>
      </w:tr>
      <w:tr w:rsidR="000A6FD5" w:rsidRPr="00421226" w14:paraId="653A4801" w14:textId="77777777" w:rsidTr="00345733">
        <w:trPr>
          <w:trHeight w:val="310"/>
        </w:trPr>
        <w:tc>
          <w:tcPr>
            <w:tcW w:w="1480" w:type="dxa"/>
            <w:tcBorders>
              <w:top w:val="nil"/>
              <w:left w:val="nil"/>
              <w:bottom w:val="nil"/>
              <w:right w:val="nil"/>
            </w:tcBorders>
            <w:shd w:val="clear" w:color="auto" w:fill="auto"/>
            <w:noWrap/>
            <w:vAlign w:val="center"/>
            <w:hideMark/>
          </w:tcPr>
          <w:p w14:paraId="7C4006E1"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16</w:t>
            </w:r>
          </w:p>
        </w:tc>
        <w:tc>
          <w:tcPr>
            <w:tcW w:w="1920" w:type="dxa"/>
            <w:tcBorders>
              <w:top w:val="nil"/>
              <w:left w:val="nil"/>
              <w:bottom w:val="nil"/>
              <w:right w:val="nil"/>
            </w:tcBorders>
            <w:shd w:val="clear" w:color="auto" w:fill="auto"/>
            <w:noWrap/>
            <w:vAlign w:val="center"/>
            <w:hideMark/>
          </w:tcPr>
          <w:p w14:paraId="3F54F0E1"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800</w:t>
            </w:r>
          </w:p>
        </w:tc>
        <w:tc>
          <w:tcPr>
            <w:tcW w:w="2090" w:type="dxa"/>
            <w:tcBorders>
              <w:top w:val="nil"/>
              <w:left w:val="nil"/>
              <w:bottom w:val="nil"/>
              <w:right w:val="nil"/>
            </w:tcBorders>
            <w:shd w:val="clear" w:color="auto" w:fill="auto"/>
            <w:noWrap/>
            <w:vAlign w:val="center"/>
            <w:hideMark/>
          </w:tcPr>
          <w:p w14:paraId="38A9CD6B"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900</w:t>
            </w:r>
          </w:p>
        </w:tc>
      </w:tr>
      <w:tr w:rsidR="000A6FD5" w:rsidRPr="00421226" w14:paraId="5262263D" w14:textId="77777777" w:rsidTr="00345733">
        <w:trPr>
          <w:trHeight w:val="310"/>
        </w:trPr>
        <w:tc>
          <w:tcPr>
            <w:tcW w:w="1480" w:type="dxa"/>
            <w:tcBorders>
              <w:top w:val="nil"/>
              <w:left w:val="nil"/>
              <w:bottom w:val="nil"/>
              <w:right w:val="nil"/>
            </w:tcBorders>
            <w:shd w:val="clear" w:color="auto" w:fill="auto"/>
            <w:noWrap/>
            <w:vAlign w:val="center"/>
            <w:hideMark/>
          </w:tcPr>
          <w:p w14:paraId="07E928CE"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17</w:t>
            </w:r>
          </w:p>
        </w:tc>
        <w:tc>
          <w:tcPr>
            <w:tcW w:w="1920" w:type="dxa"/>
            <w:tcBorders>
              <w:top w:val="nil"/>
              <w:left w:val="nil"/>
              <w:bottom w:val="nil"/>
              <w:right w:val="nil"/>
            </w:tcBorders>
            <w:shd w:val="clear" w:color="auto" w:fill="auto"/>
            <w:noWrap/>
            <w:vAlign w:val="center"/>
            <w:hideMark/>
          </w:tcPr>
          <w:p w14:paraId="16CF2388"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550</w:t>
            </w:r>
          </w:p>
        </w:tc>
        <w:tc>
          <w:tcPr>
            <w:tcW w:w="2090" w:type="dxa"/>
            <w:tcBorders>
              <w:top w:val="nil"/>
              <w:left w:val="nil"/>
              <w:bottom w:val="nil"/>
              <w:right w:val="nil"/>
            </w:tcBorders>
            <w:shd w:val="clear" w:color="auto" w:fill="auto"/>
            <w:noWrap/>
            <w:vAlign w:val="center"/>
            <w:hideMark/>
          </w:tcPr>
          <w:p w14:paraId="2392D0D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675</w:t>
            </w:r>
          </w:p>
        </w:tc>
      </w:tr>
      <w:tr w:rsidR="000A6FD5" w:rsidRPr="00421226" w14:paraId="39F5ED0F" w14:textId="77777777" w:rsidTr="00345733">
        <w:trPr>
          <w:trHeight w:val="310"/>
        </w:trPr>
        <w:tc>
          <w:tcPr>
            <w:tcW w:w="1480" w:type="dxa"/>
            <w:tcBorders>
              <w:top w:val="nil"/>
              <w:left w:val="nil"/>
              <w:bottom w:val="nil"/>
              <w:right w:val="nil"/>
            </w:tcBorders>
            <w:shd w:val="clear" w:color="auto" w:fill="auto"/>
            <w:noWrap/>
            <w:vAlign w:val="center"/>
            <w:hideMark/>
          </w:tcPr>
          <w:p w14:paraId="1A61C81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18</w:t>
            </w:r>
          </w:p>
        </w:tc>
        <w:tc>
          <w:tcPr>
            <w:tcW w:w="1920" w:type="dxa"/>
            <w:tcBorders>
              <w:top w:val="nil"/>
              <w:left w:val="nil"/>
              <w:bottom w:val="nil"/>
              <w:right w:val="nil"/>
            </w:tcBorders>
            <w:shd w:val="clear" w:color="auto" w:fill="auto"/>
            <w:noWrap/>
            <w:vAlign w:val="center"/>
            <w:hideMark/>
          </w:tcPr>
          <w:p w14:paraId="34467466"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375</w:t>
            </w:r>
          </w:p>
        </w:tc>
        <w:tc>
          <w:tcPr>
            <w:tcW w:w="2090" w:type="dxa"/>
            <w:tcBorders>
              <w:top w:val="nil"/>
              <w:left w:val="nil"/>
              <w:bottom w:val="nil"/>
              <w:right w:val="nil"/>
            </w:tcBorders>
            <w:shd w:val="clear" w:color="auto" w:fill="auto"/>
            <w:noWrap/>
            <w:vAlign w:val="center"/>
            <w:hideMark/>
          </w:tcPr>
          <w:p w14:paraId="0DEC3690"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375</w:t>
            </w:r>
          </w:p>
        </w:tc>
      </w:tr>
      <w:tr w:rsidR="000A6FD5" w:rsidRPr="00421226" w14:paraId="72BAC967" w14:textId="77777777" w:rsidTr="00345733">
        <w:trPr>
          <w:trHeight w:val="310"/>
        </w:trPr>
        <w:tc>
          <w:tcPr>
            <w:tcW w:w="1480" w:type="dxa"/>
            <w:tcBorders>
              <w:top w:val="nil"/>
              <w:left w:val="nil"/>
              <w:bottom w:val="nil"/>
              <w:right w:val="nil"/>
            </w:tcBorders>
            <w:shd w:val="clear" w:color="auto" w:fill="auto"/>
            <w:noWrap/>
            <w:vAlign w:val="center"/>
            <w:hideMark/>
          </w:tcPr>
          <w:p w14:paraId="2A941B83"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19</w:t>
            </w:r>
          </w:p>
        </w:tc>
        <w:tc>
          <w:tcPr>
            <w:tcW w:w="1920" w:type="dxa"/>
            <w:tcBorders>
              <w:top w:val="nil"/>
              <w:left w:val="nil"/>
              <w:bottom w:val="nil"/>
              <w:right w:val="nil"/>
            </w:tcBorders>
            <w:shd w:val="clear" w:color="auto" w:fill="auto"/>
            <w:noWrap/>
            <w:vAlign w:val="center"/>
            <w:hideMark/>
          </w:tcPr>
          <w:p w14:paraId="0EF039DF"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237.5</w:t>
            </w:r>
          </w:p>
        </w:tc>
        <w:tc>
          <w:tcPr>
            <w:tcW w:w="2090" w:type="dxa"/>
            <w:tcBorders>
              <w:top w:val="nil"/>
              <w:left w:val="nil"/>
              <w:bottom w:val="nil"/>
              <w:right w:val="nil"/>
            </w:tcBorders>
            <w:shd w:val="clear" w:color="auto" w:fill="auto"/>
            <w:noWrap/>
            <w:vAlign w:val="center"/>
            <w:hideMark/>
          </w:tcPr>
          <w:p w14:paraId="30E8EC3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387.5</w:t>
            </w:r>
          </w:p>
        </w:tc>
      </w:tr>
      <w:tr w:rsidR="000A6FD5" w:rsidRPr="00421226" w14:paraId="5E464BBF" w14:textId="77777777" w:rsidTr="00345733">
        <w:trPr>
          <w:trHeight w:val="310"/>
        </w:trPr>
        <w:tc>
          <w:tcPr>
            <w:tcW w:w="1480" w:type="dxa"/>
            <w:tcBorders>
              <w:top w:val="nil"/>
              <w:left w:val="nil"/>
              <w:bottom w:val="nil"/>
              <w:right w:val="nil"/>
            </w:tcBorders>
            <w:shd w:val="clear" w:color="auto" w:fill="auto"/>
            <w:noWrap/>
            <w:vAlign w:val="center"/>
            <w:hideMark/>
          </w:tcPr>
          <w:p w14:paraId="02CD62F1"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20</w:t>
            </w:r>
          </w:p>
        </w:tc>
        <w:tc>
          <w:tcPr>
            <w:tcW w:w="1920" w:type="dxa"/>
            <w:tcBorders>
              <w:top w:val="nil"/>
              <w:left w:val="nil"/>
              <w:bottom w:val="nil"/>
              <w:right w:val="nil"/>
            </w:tcBorders>
            <w:shd w:val="clear" w:color="auto" w:fill="auto"/>
            <w:noWrap/>
            <w:vAlign w:val="center"/>
            <w:hideMark/>
          </w:tcPr>
          <w:p w14:paraId="1C596808"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375</w:t>
            </w:r>
          </w:p>
        </w:tc>
        <w:tc>
          <w:tcPr>
            <w:tcW w:w="2090" w:type="dxa"/>
            <w:tcBorders>
              <w:top w:val="nil"/>
              <w:left w:val="nil"/>
              <w:bottom w:val="nil"/>
              <w:right w:val="nil"/>
            </w:tcBorders>
            <w:shd w:val="clear" w:color="auto" w:fill="auto"/>
            <w:noWrap/>
            <w:vAlign w:val="center"/>
            <w:hideMark/>
          </w:tcPr>
          <w:p w14:paraId="2CF8C26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512.5</w:t>
            </w:r>
          </w:p>
        </w:tc>
      </w:tr>
      <w:tr w:rsidR="000A6FD5" w:rsidRPr="00421226" w14:paraId="7DCB6C08" w14:textId="77777777" w:rsidTr="00345733">
        <w:trPr>
          <w:trHeight w:val="310"/>
        </w:trPr>
        <w:tc>
          <w:tcPr>
            <w:tcW w:w="1480" w:type="dxa"/>
            <w:tcBorders>
              <w:top w:val="nil"/>
              <w:left w:val="nil"/>
              <w:bottom w:val="nil"/>
              <w:right w:val="nil"/>
            </w:tcBorders>
            <w:shd w:val="clear" w:color="auto" w:fill="auto"/>
            <w:noWrap/>
            <w:vAlign w:val="center"/>
            <w:hideMark/>
          </w:tcPr>
          <w:p w14:paraId="49D4BAEC"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21</w:t>
            </w:r>
          </w:p>
        </w:tc>
        <w:tc>
          <w:tcPr>
            <w:tcW w:w="1920" w:type="dxa"/>
            <w:tcBorders>
              <w:top w:val="nil"/>
              <w:left w:val="nil"/>
              <w:bottom w:val="nil"/>
              <w:right w:val="nil"/>
            </w:tcBorders>
            <w:shd w:val="clear" w:color="auto" w:fill="auto"/>
            <w:noWrap/>
            <w:vAlign w:val="center"/>
            <w:hideMark/>
          </w:tcPr>
          <w:p w14:paraId="0113D61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250</w:t>
            </w:r>
          </w:p>
        </w:tc>
        <w:tc>
          <w:tcPr>
            <w:tcW w:w="2090" w:type="dxa"/>
            <w:tcBorders>
              <w:top w:val="nil"/>
              <w:left w:val="nil"/>
              <w:bottom w:val="nil"/>
              <w:right w:val="nil"/>
            </w:tcBorders>
            <w:shd w:val="clear" w:color="auto" w:fill="auto"/>
            <w:noWrap/>
            <w:vAlign w:val="center"/>
            <w:hideMark/>
          </w:tcPr>
          <w:p w14:paraId="7108E879"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275</w:t>
            </w:r>
          </w:p>
        </w:tc>
      </w:tr>
      <w:tr w:rsidR="000A6FD5" w:rsidRPr="00421226" w14:paraId="6CA30A61" w14:textId="77777777" w:rsidTr="00345733">
        <w:trPr>
          <w:trHeight w:val="310"/>
        </w:trPr>
        <w:tc>
          <w:tcPr>
            <w:tcW w:w="1480" w:type="dxa"/>
            <w:tcBorders>
              <w:top w:val="nil"/>
              <w:left w:val="nil"/>
              <w:bottom w:val="nil"/>
              <w:right w:val="nil"/>
            </w:tcBorders>
            <w:shd w:val="clear" w:color="auto" w:fill="auto"/>
            <w:noWrap/>
            <w:vAlign w:val="center"/>
            <w:hideMark/>
          </w:tcPr>
          <w:p w14:paraId="7FFC60DE"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22</w:t>
            </w:r>
          </w:p>
        </w:tc>
        <w:tc>
          <w:tcPr>
            <w:tcW w:w="1920" w:type="dxa"/>
            <w:tcBorders>
              <w:top w:val="nil"/>
              <w:left w:val="nil"/>
              <w:bottom w:val="nil"/>
              <w:right w:val="nil"/>
            </w:tcBorders>
            <w:shd w:val="clear" w:color="auto" w:fill="auto"/>
            <w:noWrap/>
            <w:vAlign w:val="center"/>
            <w:hideMark/>
          </w:tcPr>
          <w:p w14:paraId="101D2F7E"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500</w:t>
            </w:r>
          </w:p>
        </w:tc>
        <w:tc>
          <w:tcPr>
            <w:tcW w:w="2090" w:type="dxa"/>
            <w:tcBorders>
              <w:top w:val="nil"/>
              <w:left w:val="nil"/>
              <w:bottom w:val="nil"/>
              <w:right w:val="nil"/>
            </w:tcBorders>
            <w:shd w:val="clear" w:color="auto" w:fill="auto"/>
            <w:noWrap/>
            <w:vAlign w:val="center"/>
            <w:hideMark/>
          </w:tcPr>
          <w:p w14:paraId="4AB3BE9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475</w:t>
            </w:r>
          </w:p>
        </w:tc>
      </w:tr>
      <w:tr w:rsidR="000A6FD5" w:rsidRPr="00421226" w14:paraId="460E0444" w14:textId="77777777" w:rsidTr="00345733">
        <w:trPr>
          <w:trHeight w:val="310"/>
        </w:trPr>
        <w:tc>
          <w:tcPr>
            <w:tcW w:w="1480" w:type="dxa"/>
            <w:tcBorders>
              <w:top w:val="nil"/>
              <w:left w:val="nil"/>
              <w:bottom w:val="nil"/>
              <w:right w:val="nil"/>
            </w:tcBorders>
            <w:shd w:val="clear" w:color="auto" w:fill="auto"/>
            <w:noWrap/>
            <w:vAlign w:val="center"/>
            <w:hideMark/>
          </w:tcPr>
          <w:p w14:paraId="45D22A8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23</w:t>
            </w:r>
          </w:p>
        </w:tc>
        <w:tc>
          <w:tcPr>
            <w:tcW w:w="1920" w:type="dxa"/>
            <w:tcBorders>
              <w:top w:val="nil"/>
              <w:left w:val="nil"/>
              <w:bottom w:val="nil"/>
              <w:right w:val="nil"/>
            </w:tcBorders>
            <w:shd w:val="clear" w:color="auto" w:fill="auto"/>
            <w:noWrap/>
            <w:vAlign w:val="center"/>
            <w:hideMark/>
          </w:tcPr>
          <w:p w14:paraId="2AB6E15A"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175</w:t>
            </w:r>
          </w:p>
        </w:tc>
        <w:tc>
          <w:tcPr>
            <w:tcW w:w="2090" w:type="dxa"/>
            <w:tcBorders>
              <w:top w:val="nil"/>
              <w:left w:val="nil"/>
              <w:bottom w:val="nil"/>
              <w:right w:val="nil"/>
            </w:tcBorders>
            <w:shd w:val="clear" w:color="auto" w:fill="auto"/>
            <w:noWrap/>
            <w:vAlign w:val="center"/>
            <w:hideMark/>
          </w:tcPr>
          <w:p w14:paraId="44EFFEC7"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275</w:t>
            </w:r>
          </w:p>
        </w:tc>
      </w:tr>
      <w:tr w:rsidR="000A6FD5" w:rsidRPr="00421226" w14:paraId="376E41C1" w14:textId="77777777" w:rsidTr="00345733">
        <w:trPr>
          <w:trHeight w:val="310"/>
        </w:trPr>
        <w:tc>
          <w:tcPr>
            <w:tcW w:w="1480" w:type="dxa"/>
            <w:tcBorders>
              <w:top w:val="nil"/>
              <w:left w:val="nil"/>
              <w:bottom w:val="nil"/>
              <w:right w:val="nil"/>
            </w:tcBorders>
            <w:shd w:val="clear" w:color="auto" w:fill="auto"/>
            <w:noWrap/>
            <w:vAlign w:val="center"/>
            <w:hideMark/>
          </w:tcPr>
          <w:p w14:paraId="22C674B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24</w:t>
            </w:r>
          </w:p>
        </w:tc>
        <w:tc>
          <w:tcPr>
            <w:tcW w:w="1920" w:type="dxa"/>
            <w:tcBorders>
              <w:top w:val="nil"/>
              <w:left w:val="nil"/>
              <w:bottom w:val="nil"/>
              <w:right w:val="nil"/>
            </w:tcBorders>
            <w:shd w:val="clear" w:color="auto" w:fill="auto"/>
            <w:noWrap/>
            <w:vAlign w:val="center"/>
            <w:hideMark/>
          </w:tcPr>
          <w:p w14:paraId="3278DD1C"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387.5</w:t>
            </w:r>
          </w:p>
        </w:tc>
        <w:tc>
          <w:tcPr>
            <w:tcW w:w="2090" w:type="dxa"/>
            <w:tcBorders>
              <w:top w:val="nil"/>
              <w:left w:val="nil"/>
              <w:bottom w:val="nil"/>
              <w:right w:val="nil"/>
            </w:tcBorders>
            <w:shd w:val="clear" w:color="auto" w:fill="auto"/>
            <w:noWrap/>
            <w:vAlign w:val="center"/>
            <w:hideMark/>
          </w:tcPr>
          <w:p w14:paraId="61C75755"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400</w:t>
            </w:r>
          </w:p>
        </w:tc>
      </w:tr>
      <w:tr w:rsidR="000A6FD5" w:rsidRPr="00421226" w14:paraId="14BFF6E2" w14:textId="77777777" w:rsidTr="00345733">
        <w:trPr>
          <w:trHeight w:val="310"/>
        </w:trPr>
        <w:tc>
          <w:tcPr>
            <w:tcW w:w="1480" w:type="dxa"/>
            <w:tcBorders>
              <w:top w:val="nil"/>
              <w:left w:val="nil"/>
              <w:bottom w:val="nil"/>
              <w:right w:val="nil"/>
            </w:tcBorders>
            <w:shd w:val="clear" w:color="auto" w:fill="auto"/>
            <w:noWrap/>
            <w:vAlign w:val="center"/>
            <w:hideMark/>
          </w:tcPr>
          <w:p w14:paraId="1BDD55D8"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25</w:t>
            </w:r>
          </w:p>
        </w:tc>
        <w:tc>
          <w:tcPr>
            <w:tcW w:w="1920" w:type="dxa"/>
            <w:tcBorders>
              <w:top w:val="nil"/>
              <w:left w:val="nil"/>
              <w:bottom w:val="nil"/>
              <w:right w:val="nil"/>
            </w:tcBorders>
            <w:shd w:val="clear" w:color="auto" w:fill="auto"/>
            <w:noWrap/>
            <w:vAlign w:val="center"/>
            <w:hideMark/>
          </w:tcPr>
          <w:p w14:paraId="1532F2F3"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450</w:t>
            </w:r>
          </w:p>
        </w:tc>
        <w:tc>
          <w:tcPr>
            <w:tcW w:w="2090" w:type="dxa"/>
            <w:tcBorders>
              <w:top w:val="nil"/>
              <w:left w:val="nil"/>
              <w:bottom w:val="nil"/>
              <w:right w:val="nil"/>
            </w:tcBorders>
            <w:shd w:val="clear" w:color="auto" w:fill="auto"/>
            <w:noWrap/>
            <w:vAlign w:val="center"/>
            <w:hideMark/>
          </w:tcPr>
          <w:p w14:paraId="5E9EFF96"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487.5</w:t>
            </w:r>
          </w:p>
        </w:tc>
      </w:tr>
      <w:tr w:rsidR="000A6FD5" w:rsidRPr="00421226" w14:paraId="32EB6208" w14:textId="77777777" w:rsidTr="00345733">
        <w:trPr>
          <w:trHeight w:val="310"/>
        </w:trPr>
        <w:tc>
          <w:tcPr>
            <w:tcW w:w="1480" w:type="dxa"/>
            <w:tcBorders>
              <w:top w:val="nil"/>
              <w:left w:val="nil"/>
              <w:bottom w:val="nil"/>
              <w:right w:val="nil"/>
            </w:tcBorders>
            <w:shd w:val="clear" w:color="auto" w:fill="auto"/>
            <w:noWrap/>
            <w:vAlign w:val="center"/>
            <w:hideMark/>
          </w:tcPr>
          <w:p w14:paraId="236F0A54"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26</w:t>
            </w:r>
          </w:p>
        </w:tc>
        <w:tc>
          <w:tcPr>
            <w:tcW w:w="1920" w:type="dxa"/>
            <w:tcBorders>
              <w:top w:val="nil"/>
              <w:left w:val="nil"/>
              <w:bottom w:val="nil"/>
              <w:right w:val="nil"/>
            </w:tcBorders>
            <w:shd w:val="clear" w:color="auto" w:fill="auto"/>
            <w:noWrap/>
            <w:vAlign w:val="center"/>
            <w:hideMark/>
          </w:tcPr>
          <w:p w14:paraId="75EC0444"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500</w:t>
            </w:r>
          </w:p>
        </w:tc>
        <w:tc>
          <w:tcPr>
            <w:tcW w:w="2090" w:type="dxa"/>
            <w:tcBorders>
              <w:top w:val="nil"/>
              <w:left w:val="nil"/>
              <w:bottom w:val="nil"/>
              <w:right w:val="nil"/>
            </w:tcBorders>
            <w:shd w:val="clear" w:color="auto" w:fill="auto"/>
            <w:noWrap/>
            <w:vAlign w:val="center"/>
            <w:hideMark/>
          </w:tcPr>
          <w:p w14:paraId="7A6C970A"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675</w:t>
            </w:r>
          </w:p>
        </w:tc>
      </w:tr>
      <w:tr w:rsidR="000A6FD5" w:rsidRPr="00421226" w14:paraId="3962A509" w14:textId="77777777" w:rsidTr="00345733">
        <w:trPr>
          <w:trHeight w:val="310"/>
        </w:trPr>
        <w:tc>
          <w:tcPr>
            <w:tcW w:w="1480" w:type="dxa"/>
            <w:tcBorders>
              <w:top w:val="nil"/>
              <w:left w:val="nil"/>
              <w:bottom w:val="single" w:sz="4" w:space="0" w:color="auto"/>
              <w:right w:val="nil"/>
            </w:tcBorders>
            <w:shd w:val="clear" w:color="auto" w:fill="auto"/>
            <w:noWrap/>
            <w:vAlign w:val="center"/>
            <w:hideMark/>
          </w:tcPr>
          <w:p w14:paraId="0B1C8914"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27</w:t>
            </w:r>
          </w:p>
        </w:tc>
        <w:tc>
          <w:tcPr>
            <w:tcW w:w="1920" w:type="dxa"/>
            <w:tcBorders>
              <w:top w:val="nil"/>
              <w:left w:val="nil"/>
              <w:bottom w:val="single" w:sz="4" w:space="0" w:color="auto"/>
              <w:right w:val="nil"/>
            </w:tcBorders>
            <w:shd w:val="clear" w:color="auto" w:fill="auto"/>
            <w:noWrap/>
            <w:vAlign w:val="center"/>
            <w:hideMark/>
          </w:tcPr>
          <w:p w14:paraId="60C37245"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312.5</w:t>
            </w:r>
          </w:p>
        </w:tc>
        <w:tc>
          <w:tcPr>
            <w:tcW w:w="2090" w:type="dxa"/>
            <w:tcBorders>
              <w:top w:val="nil"/>
              <w:left w:val="nil"/>
              <w:bottom w:val="single" w:sz="4" w:space="0" w:color="auto"/>
              <w:right w:val="nil"/>
            </w:tcBorders>
            <w:shd w:val="clear" w:color="auto" w:fill="auto"/>
            <w:noWrap/>
            <w:vAlign w:val="center"/>
            <w:hideMark/>
          </w:tcPr>
          <w:p w14:paraId="4503AF23" w14:textId="77777777" w:rsidR="000A6FD5" w:rsidRPr="000A6FD5" w:rsidRDefault="000A6FD5" w:rsidP="000A6FD5">
            <w:pPr>
              <w:jc w:val="center"/>
              <w:rPr>
                <w:rFonts w:ascii="Times New Roman" w:hAnsi="Times New Roman"/>
                <w:color w:val="000000"/>
              </w:rPr>
            </w:pPr>
            <w:r w:rsidRPr="000A6FD5">
              <w:rPr>
                <w:rFonts w:ascii="Times New Roman" w:hAnsi="Times New Roman"/>
                <w:color w:val="000000"/>
              </w:rPr>
              <w:t>212.5</w:t>
            </w:r>
          </w:p>
        </w:tc>
      </w:tr>
      <w:tr w:rsidR="000A6FD5" w:rsidRPr="00421226" w14:paraId="74FF4E86" w14:textId="77777777" w:rsidTr="00345733">
        <w:trPr>
          <w:trHeight w:val="300"/>
        </w:trPr>
        <w:tc>
          <w:tcPr>
            <w:tcW w:w="1480" w:type="dxa"/>
            <w:tcBorders>
              <w:top w:val="nil"/>
              <w:left w:val="nil"/>
              <w:bottom w:val="nil"/>
              <w:right w:val="nil"/>
            </w:tcBorders>
            <w:shd w:val="clear" w:color="auto" w:fill="auto"/>
            <w:noWrap/>
            <w:vAlign w:val="center"/>
            <w:hideMark/>
          </w:tcPr>
          <w:p w14:paraId="18622383"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Mean</w:t>
            </w:r>
          </w:p>
        </w:tc>
        <w:tc>
          <w:tcPr>
            <w:tcW w:w="1920" w:type="dxa"/>
            <w:tcBorders>
              <w:top w:val="nil"/>
              <w:left w:val="nil"/>
              <w:bottom w:val="nil"/>
              <w:right w:val="nil"/>
            </w:tcBorders>
            <w:shd w:val="clear" w:color="auto" w:fill="auto"/>
            <w:noWrap/>
            <w:vAlign w:val="center"/>
            <w:hideMark/>
          </w:tcPr>
          <w:p w14:paraId="07F918E2"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492.1</w:t>
            </w:r>
          </w:p>
        </w:tc>
        <w:tc>
          <w:tcPr>
            <w:tcW w:w="2090" w:type="dxa"/>
            <w:tcBorders>
              <w:top w:val="nil"/>
              <w:left w:val="nil"/>
              <w:bottom w:val="nil"/>
              <w:right w:val="nil"/>
            </w:tcBorders>
            <w:shd w:val="clear" w:color="auto" w:fill="auto"/>
            <w:noWrap/>
            <w:vAlign w:val="center"/>
            <w:hideMark/>
          </w:tcPr>
          <w:p w14:paraId="7A3C43B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599.5</w:t>
            </w:r>
          </w:p>
        </w:tc>
      </w:tr>
      <w:tr w:rsidR="000A6FD5" w:rsidRPr="00421226" w14:paraId="42EAD5AC" w14:textId="77777777" w:rsidTr="00345733">
        <w:trPr>
          <w:trHeight w:val="300"/>
        </w:trPr>
        <w:tc>
          <w:tcPr>
            <w:tcW w:w="1480" w:type="dxa"/>
            <w:tcBorders>
              <w:top w:val="nil"/>
              <w:left w:val="nil"/>
              <w:bottom w:val="nil"/>
              <w:right w:val="nil"/>
            </w:tcBorders>
            <w:shd w:val="clear" w:color="auto" w:fill="auto"/>
            <w:noWrap/>
            <w:vAlign w:val="center"/>
            <w:hideMark/>
          </w:tcPr>
          <w:p w14:paraId="0174529C"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SD</w:t>
            </w:r>
          </w:p>
        </w:tc>
        <w:tc>
          <w:tcPr>
            <w:tcW w:w="1920" w:type="dxa"/>
            <w:tcBorders>
              <w:top w:val="nil"/>
              <w:left w:val="nil"/>
              <w:bottom w:val="nil"/>
              <w:right w:val="nil"/>
            </w:tcBorders>
            <w:shd w:val="clear" w:color="auto" w:fill="auto"/>
            <w:noWrap/>
            <w:vAlign w:val="center"/>
            <w:hideMark/>
          </w:tcPr>
          <w:p w14:paraId="6691DBBF"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191.7</w:t>
            </w:r>
          </w:p>
        </w:tc>
        <w:tc>
          <w:tcPr>
            <w:tcW w:w="2090" w:type="dxa"/>
            <w:tcBorders>
              <w:top w:val="nil"/>
              <w:left w:val="nil"/>
              <w:bottom w:val="nil"/>
              <w:right w:val="nil"/>
            </w:tcBorders>
            <w:shd w:val="clear" w:color="auto" w:fill="auto"/>
            <w:noWrap/>
            <w:vAlign w:val="center"/>
            <w:hideMark/>
          </w:tcPr>
          <w:p w14:paraId="04A82D9F"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236.2</w:t>
            </w:r>
          </w:p>
        </w:tc>
      </w:tr>
      <w:tr w:rsidR="000A6FD5" w:rsidRPr="00421226" w14:paraId="79D74C78" w14:textId="77777777" w:rsidTr="00345733">
        <w:trPr>
          <w:trHeight w:val="300"/>
        </w:trPr>
        <w:tc>
          <w:tcPr>
            <w:tcW w:w="1480" w:type="dxa"/>
            <w:tcBorders>
              <w:top w:val="nil"/>
              <w:left w:val="nil"/>
              <w:bottom w:val="nil"/>
              <w:right w:val="nil"/>
            </w:tcBorders>
            <w:shd w:val="clear" w:color="auto" w:fill="auto"/>
            <w:noWrap/>
            <w:vAlign w:val="center"/>
            <w:hideMark/>
          </w:tcPr>
          <w:p w14:paraId="46140811"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Median</w:t>
            </w:r>
          </w:p>
        </w:tc>
        <w:tc>
          <w:tcPr>
            <w:tcW w:w="1920" w:type="dxa"/>
            <w:tcBorders>
              <w:top w:val="nil"/>
              <w:left w:val="nil"/>
              <w:bottom w:val="nil"/>
              <w:right w:val="nil"/>
            </w:tcBorders>
            <w:shd w:val="clear" w:color="auto" w:fill="auto"/>
            <w:noWrap/>
            <w:vAlign w:val="center"/>
            <w:hideMark/>
          </w:tcPr>
          <w:p w14:paraId="09865330"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500.0</w:t>
            </w:r>
          </w:p>
        </w:tc>
        <w:tc>
          <w:tcPr>
            <w:tcW w:w="2090" w:type="dxa"/>
            <w:tcBorders>
              <w:top w:val="nil"/>
              <w:left w:val="nil"/>
              <w:bottom w:val="nil"/>
              <w:right w:val="nil"/>
            </w:tcBorders>
            <w:shd w:val="clear" w:color="auto" w:fill="auto"/>
            <w:noWrap/>
            <w:vAlign w:val="center"/>
            <w:hideMark/>
          </w:tcPr>
          <w:p w14:paraId="01321835"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525.0</w:t>
            </w:r>
          </w:p>
        </w:tc>
      </w:tr>
      <w:tr w:rsidR="000A6FD5" w:rsidRPr="00421226" w14:paraId="62A1CE58" w14:textId="77777777" w:rsidTr="00345733">
        <w:trPr>
          <w:trHeight w:val="300"/>
        </w:trPr>
        <w:tc>
          <w:tcPr>
            <w:tcW w:w="1480" w:type="dxa"/>
            <w:tcBorders>
              <w:top w:val="nil"/>
              <w:left w:val="nil"/>
              <w:bottom w:val="nil"/>
              <w:right w:val="nil"/>
            </w:tcBorders>
            <w:shd w:val="clear" w:color="auto" w:fill="auto"/>
            <w:noWrap/>
            <w:vAlign w:val="center"/>
            <w:hideMark/>
          </w:tcPr>
          <w:p w14:paraId="539D7FA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Range (min)</w:t>
            </w:r>
          </w:p>
        </w:tc>
        <w:tc>
          <w:tcPr>
            <w:tcW w:w="1920" w:type="dxa"/>
            <w:tcBorders>
              <w:top w:val="nil"/>
              <w:left w:val="nil"/>
              <w:bottom w:val="nil"/>
              <w:right w:val="nil"/>
            </w:tcBorders>
            <w:shd w:val="clear" w:color="auto" w:fill="auto"/>
            <w:noWrap/>
            <w:vAlign w:val="center"/>
            <w:hideMark/>
          </w:tcPr>
          <w:p w14:paraId="5C37B409"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175</w:t>
            </w:r>
          </w:p>
        </w:tc>
        <w:tc>
          <w:tcPr>
            <w:tcW w:w="2090" w:type="dxa"/>
            <w:tcBorders>
              <w:top w:val="nil"/>
              <w:left w:val="nil"/>
              <w:bottom w:val="nil"/>
              <w:right w:val="nil"/>
            </w:tcBorders>
            <w:shd w:val="clear" w:color="auto" w:fill="auto"/>
            <w:noWrap/>
            <w:vAlign w:val="center"/>
            <w:hideMark/>
          </w:tcPr>
          <w:p w14:paraId="6002B334"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212.5</w:t>
            </w:r>
          </w:p>
        </w:tc>
      </w:tr>
      <w:tr w:rsidR="000A6FD5" w:rsidRPr="00421226" w14:paraId="05914BCB" w14:textId="77777777" w:rsidTr="00345733">
        <w:trPr>
          <w:trHeight w:val="300"/>
        </w:trPr>
        <w:tc>
          <w:tcPr>
            <w:tcW w:w="1480" w:type="dxa"/>
            <w:tcBorders>
              <w:top w:val="nil"/>
              <w:left w:val="nil"/>
              <w:bottom w:val="nil"/>
              <w:right w:val="nil"/>
            </w:tcBorders>
            <w:shd w:val="clear" w:color="auto" w:fill="auto"/>
            <w:noWrap/>
            <w:vAlign w:val="center"/>
            <w:hideMark/>
          </w:tcPr>
          <w:p w14:paraId="7475FADB"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Range (max)</w:t>
            </w:r>
          </w:p>
        </w:tc>
        <w:tc>
          <w:tcPr>
            <w:tcW w:w="1920" w:type="dxa"/>
            <w:tcBorders>
              <w:top w:val="nil"/>
              <w:left w:val="nil"/>
              <w:bottom w:val="nil"/>
              <w:right w:val="nil"/>
            </w:tcBorders>
            <w:shd w:val="clear" w:color="auto" w:fill="auto"/>
            <w:noWrap/>
            <w:vAlign w:val="center"/>
            <w:hideMark/>
          </w:tcPr>
          <w:p w14:paraId="6D258B2F"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850</w:t>
            </w:r>
          </w:p>
        </w:tc>
        <w:tc>
          <w:tcPr>
            <w:tcW w:w="2090" w:type="dxa"/>
            <w:tcBorders>
              <w:top w:val="nil"/>
              <w:left w:val="nil"/>
              <w:bottom w:val="nil"/>
              <w:right w:val="nil"/>
            </w:tcBorders>
            <w:shd w:val="clear" w:color="auto" w:fill="auto"/>
            <w:noWrap/>
            <w:vAlign w:val="center"/>
            <w:hideMark/>
          </w:tcPr>
          <w:p w14:paraId="54596C01" w14:textId="77777777" w:rsidR="000A6FD5" w:rsidRPr="000A6FD5" w:rsidRDefault="000A6FD5" w:rsidP="000A6FD5">
            <w:pPr>
              <w:jc w:val="center"/>
              <w:rPr>
                <w:rFonts w:ascii="Times New Roman" w:hAnsi="Times New Roman"/>
                <w:b/>
                <w:bCs/>
                <w:color w:val="000000"/>
              </w:rPr>
            </w:pPr>
            <w:r w:rsidRPr="000A6FD5">
              <w:rPr>
                <w:rFonts w:ascii="Times New Roman" w:hAnsi="Times New Roman"/>
                <w:b/>
                <w:bCs/>
                <w:color w:val="000000"/>
              </w:rPr>
              <w:t>987.5</w:t>
            </w:r>
          </w:p>
        </w:tc>
      </w:tr>
    </w:tbl>
    <w:p w14:paraId="331D79BF" w14:textId="44328EF7" w:rsidR="006E308E" w:rsidRDefault="006E308E">
      <w:pPr>
        <w:rPr>
          <w:rFonts w:ascii="Times New Roman" w:hAnsi="Times New Roman"/>
        </w:rPr>
        <w:sectPr w:rsidR="006E308E">
          <w:pgSz w:w="12240" w:h="15840"/>
          <w:pgMar w:top="1440" w:right="1440" w:bottom="1440" w:left="1440" w:header="708" w:footer="708" w:gutter="0"/>
          <w:cols w:space="708"/>
          <w:docGrid w:linePitch="360"/>
        </w:sectPr>
      </w:pPr>
    </w:p>
    <w:p w14:paraId="55E2196A" w14:textId="49BD1FCF" w:rsidR="000A6FD5" w:rsidRPr="00D85770" w:rsidRDefault="000A6FD5" w:rsidP="000A6FD5">
      <w:pPr>
        <w:tabs>
          <w:tab w:val="left" w:pos="3227"/>
        </w:tabs>
        <w:spacing w:line="480" w:lineRule="auto"/>
        <w:jc w:val="center"/>
        <w:rPr>
          <w:rFonts w:ascii="Times New Roman" w:hAnsi="Times New Roman"/>
        </w:rPr>
      </w:pPr>
      <w:r>
        <w:rPr>
          <w:rFonts w:ascii="Times New Roman" w:hAnsi="Times New Roman"/>
          <w:b/>
          <w:bCs/>
        </w:rPr>
        <w:lastRenderedPageBreak/>
        <w:t xml:space="preserve">Table </w:t>
      </w:r>
      <w:r w:rsidR="006165D2">
        <w:rPr>
          <w:rFonts w:ascii="Times New Roman" w:hAnsi="Times New Roman"/>
          <w:b/>
          <w:bCs/>
        </w:rPr>
        <w:t>2</w:t>
      </w:r>
      <w:r>
        <w:rPr>
          <w:rFonts w:ascii="Times New Roman" w:hAnsi="Times New Roman"/>
          <w:b/>
          <w:bCs/>
        </w:rPr>
        <w:t xml:space="preserve">. </w:t>
      </w:r>
      <w:r>
        <w:rPr>
          <w:rFonts w:ascii="Times New Roman" w:hAnsi="Times New Roman"/>
        </w:rPr>
        <w:t>Number of participants with adverse events during the study treatment course.</w:t>
      </w:r>
    </w:p>
    <w:tbl>
      <w:tblPr>
        <w:tblW w:w="10200" w:type="dxa"/>
        <w:tblCellMar>
          <w:left w:w="0" w:type="dxa"/>
          <w:right w:w="0" w:type="dxa"/>
        </w:tblCellMar>
        <w:tblLook w:val="0420" w:firstRow="1" w:lastRow="0" w:firstColumn="0" w:lastColumn="0" w:noHBand="0" w:noVBand="1"/>
      </w:tblPr>
      <w:tblGrid>
        <w:gridCol w:w="1800"/>
        <w:gridCol w:w="1720"/>
        <w:gridCol w:w="1700"/>
        <w:gridCol w:w="1520"/>
        <w:gridCol w:w="1440"/>
        <w:gridCol w:w="2020"/>
      </w:tblGrid>
      <w:tr w:rsidR="000A6FD5" w:rsidRPr="00421226" w14:paraId="026E93FB" w14:textId="77777777" w:rsidTr="00FA21B9">
        <w:trPr>
          <w:trHeight w:val="584"/>
        </w:trPr>
        <w:tc>
          <w:tcPr>
            <w:tcW w:w="1800" w:type="dxa"/>
            <w:tcBorders>
              <w:bottom w:val="single" w:sz="4" w:space="0" w:color="auto"/>
              <w:right w:val="single" w:sz="4" w:space="0" w:color="auto"/>
            </w:tcBorders>
            <w:shd w:val="clear" w:color="auto" w:fill="auto"/>
            <w:tcMar>
              <w:top w:w="72" w:type="dxa"/>
              <w:left w:w="144" w:type="dxa"/>
              <w:bottom w:w="72" w:type="dxa"/>
              <w:right w:w="144" w:type="dxa"/>
            </w:tcMar>
            <w:hideMark/>
          </w:tcPr>
          <w:p w14:paraId="5DF5D637"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b/>
                <w:bCs/>
                <w:color w:val="000000"/>
                <w:kern w:val="24"/>
                <w:lang w:val="en-CA" w:eastAsia="en-CA"/>
              </w:rPr>
              <w:t>Adverse event n (%)</w:t>
            </w:r>
          </w:p>
        </w:tc>
        <w:tc>
          <w:tcPr>
            <w:tcW w:w="1720" w:type="dxa"/>
            <w:tcBorders>
              <w:left w:val="single" w:sz="4" w:space="0" w:color="auto"/>
              <w:bottom w:val="single" w:sz="4" w:space="0" w:color="auto"/>
            </w:tcBorders>
            <w:shd w:val="clear" w:color="auto" w:fill="auto"/>
            <w:tcMar>
              <w:top w:w="72" w:type="dxa"/>
              <w:left w:w="144" w:type="dxa"/>
              <w:bottom w:w="72" w:type="dxa"/>
              <w:right w:w="144" w:type="dxa"/>
            </w:tcMar>
            <w:hideMark/>
          </w:tcPr>
          <w:p w14:paraId="3B27EC99"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b/>
                <w:bCs/>
                <w:color w:val="000000"/>
                <w:kern w:val="24"/>
                <w:lang w:val="en-CA" w:eastAsia="en-CA"/>
              </w:rPr>
              <w:t>Original BoNT-A (from clinic)</w:t>
            </w:r>
          </w:p>
        </w:tc>
        <w:tc>
          <w:tcPr>
            <w:tcW w:w="1700" w:type="dxa"/>
            <w:tcBorders>
              <w:bottom w:val="single" w:sz="4" w:space="0" w:color="auto"/>
            </w:tcBorders>
            <w:shd w:val="clear" w:color="auto" w:fill="auto"/>
            <w:tcMar>
              <w:top w:w="72" w:type="dxa"/>
              <w:left w:w="144" w:type="dxa"/>
              <w:bottom w:w="72" w:type="dxa"/>
              <w:right w:w="144" w:type="dxa"/>
            </w:tcMar>
            <w:hideMark/>
          </w:tcPr>
          <w:p w14:paraId="05AC83A6"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b/>
                <w:bCs/>
                <w:color w:val="000000"/>
                <w:kern w:val="24"/>
                <w:lang w:val="en-CA" w:eastAsia="en-CA"/>
              </w:rPr>
              <w:t>1</w:t>
            </w:r>
            <w:r w:rsidRPr="009248C8">
              <w:rPr>
                <w:rFonts w:ascii="Times New Roman" w:hAnsi="Times New Roman"/>
                <w:b/>
                <w:bCs/>
                <w:color w:val="000000"/>
                <w:kern w:val="24"/>
                <w:position w:val="7"/>
                <w:vertAlign w:val="superscript"/>
                <w:lang w:val="en-CA" w:eastAsia="en-CA"/>
              </w:rPr>
              <w:t>st</w:t>
            </w:r>
            <w:r w:rsidRPr="009248C8">
              <w:rPr>
                <w:rFonts w:ascii="Times New Roman" w:hAnsi="Times New Roman"/>
                <w:b/>
                <w:bCs/>
                <w:color w:val="000000"/>
                <w:kern w:val="24"/>
                <w:lang w:val="en-CA" w:eastAsia="en-CA"/>
              </w:rPr>
              <w:t xml:space="preserve"> </w:t>
            </w:r>
            <w:r>
              <w:rPr>
                <w:rFonts w:ascii="Times New Roman" w:hAnsi="Times New Roman"/>
                <w:b/>
                <w:bCs/>
                <w:color w:val="000000"/>
                <w:kern w:val="24"/>
                <w:lang w:val="en-CA" w:eastAsia="en-CA"/>
              </w:rPr>
              <w:t>Abo-BoNT-A</w:t>
            </w:r>
          </w:p>
        </w:tc>
        <w:tc>
          <w:tcPr>
            <w:tcW w:w="1520" w:type="dxa"/>
            <w:tcBorders>
              <w:bottom w:val="single" w:sz="4" w:space="0" w:color="auto"/>
            </w:tcBorders>
            <w:shd w:val="clear" w:color="auto" w:fill="auto"/>
            <w:tcMar>
              <w:top w:w="72" w:type="dxa"/>
              <w:left w:w="144" w:type="dxa"/>
              <w:bottom w:w="72" w:type="dxa"/>
              <w:right w:w="144" w:type="dxa"/>
            </w:tcMar>
            <w:hideMark/>
          </w:tcPr>
          <w:p w14:paraId="46433785"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b/>
                <w:bCs/>
                <w:color w:val="000000"/>
                <w:kern w:val="24"/>
                <w:lang w:val="en-CA" w:eastAsia="en-CA"/>
              </w:rPr>
              <w:t>2</w:t>
            </w:r>
            <w:r w:rsidRPr="009248C8">
              <w:rPr>
                <w:rFonts w:ascii="Times New Roman" w:hAnsi="Times New Roman"/>
                <w:b/>
                <w:bCs/>
                <w:color w:val="000000"/>
                <w:kern w:val="24"/>
                <w:position w:val="7"/>
                <w:vertAlign w:val="superscript"/>
                <w:lang w:val="en-CA" w:eastAsia="en-CA"/>
              </w:rPr>
              <w:t>nd</w:t>
            </w:r>
            <w:r w:rsidRPr="009248C8">
              <w:rPr>
                <w:rFonts w:ascii="Times New Roman" w:hAnsi="Times New Roman"/>
                <w:b/>
                <w:bCs/>
                <w:color w:val="000000"/>
                <w:kern w:val="24"/>
                <w:lang w:val="en-CA" w:eastAsia="en-CA"/>
              </w:rPr>
              <w:t xml:space="preserve"> </w:t>
            </w:r>
            <w:r>
              <w:rPr>
                <w:rFonts w:ascii="Times New Roman" w:hAnsi="Times New Roman"/>
                <w:b/>
                <w:bCs/>
                <w:color w:val="000000"/>
                <w:kern w:val="24"/>
                <w:lang w:val="en-CA" w:eastAsia="en-CA"/>
              </w:rPr>
              <w:t>Abo-BoNT-A</w:t>
            </w:r>
          </w:p>
        </w:tc>
        <w:tc>
          <w:tcPr>
            <w:tcW w:w="1440" w:type="dxa"/>
            <w:tcBorders>
              <w:bottom w:val="single" w:sz="4" w:space="0" w:color="auto"/>
            </w:tcBorders>
            <w:shd w:val="clear" w:color="auto" w:fill="auto"/>
            <w:tcMar>
              <w:top w:w="72" w:type="dxa"/>
              <w:left w:w="144" w:type="dxa"/>
              <w:bottom w:w="72" w:type="dxa"/>
              <w:right w:w="144" w:type="dxa"/>
            </w:tcMar>
            <w:hideMark/>
          </w:tcPr>
          <w:p w14:paraId="1BB5B658"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b/>
                <w:bCs/>
                <w:color w:val="000000"/>
                <w:kern w:val="24"/>
                <w:lang w:val="en-CA" w:eastAsia="en-CA"/>
              </w:rPr>
              <w:t>3</w:t>
            </w:r>
            <w:r w:rsidRPr="009248C8">
              <w:rPr>
                <w:rFonts w:ascii="Times New Roman" w:hAnsi="Times New Roman"/>
                <w:b/>
                <w:bCs/>
                <w:color w:val="000000"/>
                <w:kern w:val="24"/>
                <w:position w:val="7"/>
                <w:vertAlign w:val="superscript"/>
                <w:lang w:val="en-CA" w:eastAsia="en-CA"/>
              </w:rPr>
              <w:t>rd</w:t>
            </w:r>
            <w:r w:rsidRPr="009248C8">
              <w:rPr>
                <w:rFonts w:ascii="Times New Roman" w:hAnsi="Times New Roman"/>
                <w:b/>
                <w:bCs/>
                <w:color w:val="000000"/>
                <w:kern w:val="24"/>
                <w:lang w:val="en-CA" w:eastAsia="en-CA"/>
              </w:rPr>
              <w:t xml:space="preserve"> </w:t>
            </w:r>
            <w:r>
              <w:rPr>
                <w:rFonts w:ascii="Times New Roman" w:hAnsi="Times New Roman"/>
                <w:b/>
                <w:bCs/>
                <w:color w:val="000000"/>
                <w:kern w:val="24"/>
                <w:lang w:val="en-CA" w:eastAsia="en-CA"/>
              </w:rPr>
              <w:t>Abo-BoNT-A</w:t>
            </w:r>
          </w:p>
        </w:tc>
        <w:tc>
          <w:tcPr>
            <w:tcW w:w="2020" w:type="dxa"/>
            <w:tcBorders>
              <w:bottom w:val="single" w:sz="4" w:space="0" w:color="auto"/>
            </w:tcBorders>
            <w:shd w:val="clear" w:color="auto" w:fill="auto"/>
            <w:tcMar>
              <w:top w:w="72" w:type="dxa"/>
              <w:left w:w="144" w:type="dxa"/>
              <w:bottom w:w="72" w:type="dxa"/>
              <w:right w:w="144" w:type="dxa"/>
            </w:tcMar>
            <w:hideMark/>
          </w:tcPr>
          <w:p w14:paraId="25211D52"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b/>
                <w:bCs/>
                <w:color w:val="000000"/>
                <w:kern w:val="24"/>
                <w:lang w:val="en-CA" w:eastAsia="en-CA"/>
              </w:rPr>
              <w:t>4</w:t>
            </w:r>
            <w:r w:rsidRPr="009248C8">
              <w:rPr>
                <w:rFonts w:ascii="Times New Roman" w:hAnsi="Times New Roman"/>
                <w:b/>
                <w:bCs/>
                <w:color w:val="000000"/>
                <w:kern w:val="24"/>
                <w:position w:val="7"/>
                <w:vertAlign w:val="superscript"/>
                <w:lang w:val="en-CA" w:eastAsia="en-CA"/>
              </w:rPr>
              <w:t>th</w:t>
            </w:r>
            <w:r w:rsidRPr="009248C8">
              <w:rPr>
                <w:rFonts w:ascii="Times New Roman" w:hAnsi="Times New Roman"/>
                <w:b/>
                <w:bCs/>
                <w:color w:val="000000"/>
                <w:kern w:val="24"/>
                <w:lang w:val="en-CA" w:eastAsia="en-CA"/>
              </w:rPr>
              <w:t xml:space="preserve"> Original BoNT-A (same dose as 3</w:t>
            </w:r>
            <w:r w:rsidRPr="009248C8">
              <w:rPr>
                <w:rFonts w:ascii="Times New Roman" w:hAnsi="Times New Roman"/>
                <w:b/>
                <w:bCs/>
                <w:color w:val="000000"/>
                <w:kern w:val="24"/>
                <w:position w:val="7"/>
                <w:vertAlign w:val="superscript"/>
                <w:lang w:val="en-CA" w:eastAsia="en-CA"/>
              </w:rPr>
              <w:t>rd</w:t>
            </w:r>
            <w:r w:rsidRPr="009248C8">
              <w:rPr>
                <w:rFonts w:ascii="Times New Roman" w:hAnsi="Times New Roman"/>
                <w:b/>
                <w:bCs/>
                <w:color w:val="000000"/>
                <w:kern w:val="24"/>
                <w:lang w:val="en-CA" w:eastAsia="en-CA"/>
              </w:rPr>
              <w:t xml:space="preserve"> </w:t>
            </w:r>
            <w:r>
              <w:rPr>
                <w:rFonts w:ascii="Times New Roman" w:hAnsi="Times New Roman"/>
                <w:b/>
                <w:bCs/>
                <w:color w:val="000000"/>
                <w:kern w:val="24"/>
                <w:lang w:val="en-CA" w:eastAsia="en-CA"/>
              </w:rPr>
              <w:t>Abo-BoNT-A</w:t>
            </w:r>
            <w:r w:rsidRPr="009248C8">
              <w:rPr>
                <w:rFonts w:ascii="Times New Roman" w:hAnsi="Times New Roman"/>
                <w:b/>
                <w:bCs/>
                <w:color w:val="000000"/>
                <w:kern w:val="24"/>
                <w:lang w:val="en-CA" w:eastAsia="en-CA"/>
              </w:rPr>
              <w:t>)</w:t>
            </w:r>
          </w:p>
        </w:tc>
      </w:tr>
      <w:tr w:rsidR="000A6FD5" w:rsidRPr="00421226" w14:paraId="37CD7A16" w14:textId="77777777" w:rsidTr="00FA21B9">
        <w:trPr>
          <w:trHeight w:val="584"/>
        </w:trPr>
        <w:tc>
          <w:tcPr>
            <w:tcW w:w="1800" w:type="dxa"/>
            <w:tcBorders>
              <w:top w:val="single" w:sz="4" w:space="0" w:color="auto"/>
              <w:right w:val="single" w:sz="4" w:space="0" w:color="auto"/>
            </w:tcBorders>
            <w:shd w:val="clear" w:color="auto" w:fill="auto"/>
            <w:tcMar>
              <w:top w:w="72" w:type="dxa"/>
              <w:left w:w="144" w:type="dxa"/>
              <w:bottom w:w="72" w:type="dxa"/>
              <w:right w:w="144" w:type="dxa"/>
            </w:tcMar>
            <w:hideMark/>
          </w:tcPr>
          <w:p w14:paraId="672FB8B5" w14:textId="77777777" w:rsidR="000A6FD5" w:rsidRPr="009248C8" w:rsidRDefault="000A6FD5" w:rsidP="00FA21B9">
            <w:pPr>
              <w:rPr>
                <w:rFonts w:ascii="Arial" w:hAnsi="Arial" w:cs="Arial"/>
                <w:sz w:val="36"/>
                <w:szCs w:val="36"/>
                <w:lang w:val="en-CA" w:eastAsia="en-CA"/>
              </w:rPr>
            </w:pPr>
            <w:r w:rsidRPr="009248C8">
              <w:rPr>
                <w:rFonts w:ascii="Times New Roman" w:hAnsi="Times New Roman"/>
                <w:b/>
                <w:bCs/>
                <w:color w:val="000000"/>
                <w:kern w:val="24"/>
                <w:lang w:val="en-CA" w:eastAsia="en-CA"/>
              </w:rPr>
              <w:t>Muscle weakness</w:t>
            </w:r>
          </w:p>
        </w:tc>
        <w:tc>
          <w:tcPr>
            <w:tcW w:w="1720" w:type="dxa"/>
            <w:tcBorders>
              <w:top w:val="single" w:sz="4" w:space="0" w:color="auto"/>
              <w:left w:val="single" w:sz="4" w:space="0" w:color="auto"/>
            </w:tcBorders>
            <w:shd w:val="clear" w:color="auto" w:fill="auto"/>
            <w:tcMar>
              <w:top w:w="72" w:type="dxa"/>
              <w:left w:w="144" w:type="dxa"/>
              <w:bottom w:w="72" w:type="dxa"/>
              <w:right w:w="144" w:type="dxa"/>
            </w:tcMar>
            <w:vAlign w:val="center"/>
            <w:hideMark/>
          </w:tcPr>
          <w:p w14:paraId="2CCDDE42"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2 (6%)</w:t>
            </w:r>
          </w:p>
        </w:tc>
        <w:tc>
          <w:tcPr>
            <w:tcW w:w="1700" w:type="dxa"/>
            <w:tcBorders>
              <w:top w:val="single" w:sz="4" w:space="0" w:color="auto"/>
            </w:tcBorders>
            <w:shd w:val="clear" w:color="auto" w:fill="auto"/>
            <w:tcMar>
              <w:top w:w="72" w:type="dxa"/>
              <w:left w:w="144" w:type="dxa"/>
              <w:bottom w:w="72" w:type="dxa"/>
              <w:right w:w="144" w:type="dxa"/>
            </w:tcMar>
            <w:vAlign w:val="center"/>
            <w:hideMark/>
          </w:tcPr>
          <w:p w14:paraId="70D46709"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c>
          <w:tcPr>
            <w:tcW w:w="1520" w:type="dxa"/>
            <w:tcBorders>
              <w:top w:val="single" w:sz="4" w:space="0" w:color="auto"/>
            </w:tcBorders>
            <w:shd w:val="clear" w:color="auto" w:fill="auto"/>
            <w:tcMar>
              <w:top w:w="72" w:type="dxa"/>
              <w:left w:w="144" w:type="dxa"/>
              <w:bottom w:w="72" w:type="dxa"/>
              <w:right w:w="144" w:type="dxa"/>
            </w:tcMar>
            <w:vAlign w:val="center"/>
            <w:hideMark/>
          </w:tcPr>
          <w:p w14:paraId="1F81B50A"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c>
          <w:tcPr>
            <w:tcW w:w="1440" w:type="dxa"/>
            <w:tcBorders>
              <w:top w:val="single" w:sz="4" w:space="0" w:color="auto"/>
            </w:tcBorders>
            <w:shd w:val="clear" w:color="auto" w:fill="auto"/>
            <w:tcMar>
              <w:top w:w="72" w:type="dxa"/>
              <w:left w:w="144" w:type="dxa"/>
              <w:bottom w:w="72" w:type="dxa"/>
              <w:right w:w="144" w:type="dxa"/>
            </w:tcMar>
            <w:vAlign w:val="center"/>
            <w:hideMark/>
          </w:tcPr>
          <w:p w14:paraId="4E0B0258"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1 (4%)</w:t>
            </w:r>
          </w:p>
        </w:tc>
        <w:tc>
          <w:tcPr>
            <w:tcW w:w="2020" w:type="dxa"/>
            <w:tcBorders>
              <w:top w:val="single" w:sz="4" w:space="0" w:color="auto"/>
            </w:tcBorders>
            <w:shd w:val="clear" w:color="auto" w:fill="auto"/>
            <w:tcMar>
              <w:top w:w="72" w:type="dxa"/>
              <w:left w:w="144" w:type="dxa"/>
              <w:bottom w:w="72" w:type="dxa"/>
              <w:right w:w="144" w:type="dxa"/>
            </w:tcMar>
            <w:vAlign w:val="center"/>
            <w:hideMark/>
          </w:tcPr>
          <w:p w14:paraId="1765CF46"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r>
      <w:tr w:rsidR="000A6FD5" w:rsidRPr="00421226" w14:paraId="24045292" w14:textId="77777777" w:rsidTr="00FA21B9">
        <w:trPr>
          <w:trHeight w:val="393"/>
        </w:trPr>
        <w:tc>
          <w:tcPr>
            <w:tcW w:w="1800" w:type="dxa"/>
            <w:tcBorders>
              <w:right w:val="single" w:sz="4" w:space="0" w:color="auto"/>
            </w:tcBorders>
            <w:shd w:val="clear" w:color="auto" w:fill="auto"/>
            <w:tcMar>
              <w:top w:w="72" w:type="dxa"/>
              <w:left w:w="144" w:type="dxa"/>
              <w:bottom w:w="72" w:type="dxa"/>
              <w:right w:w="144" w:type="dxa"/>
            </w:tcMar>
            <w:hideMark/>
          </w:tcPr>
          <w:p w14:paraId="60D166AC" w14:textId="77777777" w:rsidR="000A6FD5" w:rsidRPr="009248C8" w:rsidRDefault="000A6FD5" w:rsidP="00FA21B9">
            <w:pPr>
              <w:rPr>
                <w:rFonts w:ascii="Arial" w:hAnsi="Arial" w:cs="Arial"/>
                <w:sz w:val="36"/>
                <w:szCs w:val="36"/>
                <w:lang w:val="en-CA" w:eastAsia="en-CA"/>
              </w:rPr>
            </w:pPr>
            <w:r w:rsidRPr="009248C8">
              <w:rPr>
                <w:rFonts w:ascii="Times New Roman" w:hAnsi="Times New Roman"/>
                <w:b/>
                <w:bCs/>
                <w:color w:val="000000"/>
                <w:kern w:val="24"/>
                <w:lang w:val="en-CA" w:eastAsia="en-CA"/>
              </w:rPr>
              <w:t>Dysphagia</w:t>
            </w:r>
          </w:p>
        </w:tc>
        <w:tc>
          <w:tcPr>
            <w:tcW w:w="1720" w:type="dxa"/>
            <w:tcBorders>
              <w:left w:val="single" w:sz="4" w:space="0" w:color="auto"/>
            </w:tcBorders>
            <w:shd w:val="clear" w:color="auto" w:fill="auto"/>
            <w:tcMar>
              <w:top w:w="72" w:type="dxa"/>
              <w:left w:w="144" w:type="dxa"/>
              <w:bottom w:w="72" w:type="dxa"/>
              <w:right w:w="144" w:type="dxa"/>
            </w:tcMar>
            <w:vAlign w:val="center"/>
            <w:hideMark/>
          </w:tcPr>
          <w:p w14:paraId="5C5CB5AA"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4 (12%)</w:t>
            </w:r>
          </w:p>
        </w:tc>
        <w:tc>
          <w:tcPr>
            <w:tcW w:w="1700" w:type="dxa"/>
            <w:shd w:val="clear" w:color="auto" w:fill="auto"/>
            <w:tcMar>
              <w:top w:w="72" w:type="dxa"/>
              <w:left w:w="144" w:type="dxa"/>
              <w:bottom w:w="72" w:type="dxa"/>
              <w:right w:w="144" w:type="dxa"/>
            </w:tcMar>
            <w:vAlign w:val="center"/>
            <w:hideMark/>
          </w:tcPr>
          <w:p w14:paraId="6BB22B26"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2 (7%)</w:t>
            </w:r>
          </w:p>
        </w:tc>
        <w:tc>
          <w:tcPr>
            <w:tcW w:w="1520" w:type="dxa"/>
            <w:shd w:val="clear" w:color="auto" w:fill="auto"/>
            <w:tcMar>
              <w:top w:w="72" w:type="dxa"/>
              <w:left w:w="144" w:type="dxa"/>
              <w:bottom w:w="72" w:type="dxa"/>
              <w:right w:w="144" w:type="dxa"/>
            </w:tcMar>
            <w:vAlign w:val="center"/>
            <w:hideMark/>
          </w:tcPr>
          <w:p w14:paraId="2D2E3C54"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4 (13%)</w:t>
            </w:r>
          </w:p>
        </w:tc>
        <w:tc>
          <w:tcPr>
            <w:tcW w:w="1440" w:type="dxa"/>
            <w:shd w:val="clear" w:color="auto" w:fill="auto"/>
            <w:tcMar>
              <w:top w:w="72" w:type="dxa"/>
              <w:left w:w="144" w:type="dxa"/>
              <w:bottom w:w="72" w:type="dxa"/>
              <w:right w:w="144" w:type="dxa"/>
            </w:tcMar>
            <w:vAlign w:val="center"/>
            <w:hideMark/>
          </w:tcPr>
          <w:p w14:paraId="61CD2F2A"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5 (18%)</w:t>
            </w:r>
          </w:p>
        </w:tc>
        <w:tc>
          <w:tcPr>
            <w:tcW w:w="2020" w:type="dxa"/>
            <w:shd w:val="clear" w:color="auto" w:fill="auto"/>
            <w:tcMar>
              <w:top w:w="72" w:type="dxa"/>
              <w:left w:w="144" w:type="dxa"/>
              <w:bottom w:w="72" w:type="dxa"/>
              <w:right w:w="144" w:type="dxa"/>
            </w:tcMar>
            <w:vAlign w:val="center"/>
            <w:hideMark/>
          </w:tcPr>
          <w:p w14:paraId="1797577F"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 xml:space="preserve">2 (7%) </w:t>
            </w:r>
            <w:r w:rsidRPr="009248C8">
              <w:rPr>
                <w:rFonts w:ascii="Times New Roman" w:hAnsi="Times New Roman"/>
                <w:color w:val="000000"/>
                <w:kern w:val="24"/>
                <w:position w:val="7"/>
                <w:vertAlign w:val="superscript"/>
                <w:lang w:val="en-CA" w:eastAsia="en-CA"/>
              </w:rPr>
              <w:t>a</w:t>
            </w:r>
          </w:p>
        </w:tc>
      </w:tr>
      <w:tr w:rsidR="000A6FD5" w:rsidRPr="00421226" w14:paraId="317DAB54" w14:textId="77777777" w:rsidTr="00FA21B9">
        <w:trPr>
          <w:trHeight w:val="996"/>
        </w:trPr>
        <w:tc>
          <w:tcPr>
            <w:tcW w:w="1800" w:type="dxa"/>
            <w:tcBorders>
              <w:right w:val="single" w:sz="4" w:space="0" w:color="auto"/>
            </w:tcBorders>
            <w:shd w:val="clear" w:color="auto" w:fill="auto"/>
            <w:tcMar>
              <w:top w:w="72" w:type="dxa"/>
              <w:left w:w="144" w:type="dxa"/>
              <w:bottom w:w="72" w:type="dxa"/>
              <w:right w:w="144" w:type="dxa"/>
            </w:tcMar>
            <w:hideMark/>
          </w:tcPr>
          <w:p w14:paraId="54E05DB1" w14:textId="77777777" w:rsidR="000A6FD5" w:rsidRPr="009248C8" w:rsidRDefault="000A6FD5" w:rsidP="00FA21B9">
            <w:pPr>
              <w:rPr>
                <w:rFonts w:ascii="Arial" w:hAnsi="Arial" w:cs="Arial"/>
                <w:sz w:val="36"/>
                <w:szCs w:val="36"/>
                <w:lang w:val="en-CA" w:eastAsia="en-CA"/>
              </w:rPr>
            </w:pPr>
            <w:r w:rsidRPr="009248C8">
              <w:rPr>
                <w:rFonts w:ascii="Times New Roman" w:hAnsi="Times New Roman"/>
                <w:b/>
                <w:bCs/>
                <w:color w:val="000000"/>
                <w:kern w:val="24"/>
                <w:lang w:val="en-CA" w:eastAsia="en-CA"/>
              </w:rPr>
              <w:t>Dysphagia and neck muscle weakness</w:t>
            </w:r>
          </w:p>
        </w:tc>
        <w:tc>
          <w:tcPr>
            <w:tcW w:w="1720" w:type="dxa"/>
            <w:tcBorders>
              <w:left w:val="single" w:sz="4" w:space="0" w:color="auto"/>
            </w:tcBorders>
            <w:shd w:val="clear" w:color="auto" w:fill="auto"/>
            <w:tcMar>
              <w:top w:w="72" w:type="dxa"/>
              <w:left w:w="144" w:type="dxa"/>
              <w:bottom w:w="72" w:type="dxa"/>
              <w:right w:w="144" w:type="dxa"/>
            </w:tcMar>
            <w:vAlign w:val="center"/>
            <w:hideMark/>
          </w:tcPr>
          <w:p w14:paraId="3E77210C"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1 (3%)</w:t>
            </w:r>
          </w:p>
        </w:tc>
        <w:tc>
          <w:tcPr>
            <w:tcW w:w="1700" w:type="dxa"/>
            <w:shd w:val="clear" w:color="auto" w:fill="auto"/>
            <w:tcMar>
              <w:top w:w="72" w:type="dxa"/>
              <w:left w:w="144" w:type="dxa"/>
              <w:bottom w:w="72" w:type="dxa"/>
              <w:right w:w="144" w:type="dxa"/>
            </w:tcMar>
            <w:vAlign w:val="center"/>
            <w:hideMark/>
          </w:tcPr>
          <w:p w14:paraId="7B3BA9B7"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2 (7%)</w:t>
            </w:r>
          </w:p>
        </w:tc>
        <w:tc>
          <w:tcPr>
            <w:tcW w:w="1520" w:type="dxa"/>
            <w:shd w:val="clear" w:color="auto" w:fill="auto"/>
            <w:tcMar>
              <w:top w:w="72" w:type="dxa"/>
              <w:left w:w="144" w:type="dxa"/>
              <w:bottom w:w="72" w:type="dxa"/>
              <w:right w:w="144" w:type="dxa"/>
            </w:tcMar>
            <w:vAlign w:val="center"/>
            <w:hideMark/>
          </w:tcPr>
          <w:p w14:paraId="3AEAC1F3"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c>
          <w:tcPr>
            <w:tcW w:w="1440" w:type="dxa"/>
            <w:shd w:val="clear" w:color="auto" w:fill="auto"/>
            <w:tcMar>
              <w:top w:w="72" w:type="dxa"/>
              <w:left w:w="144" w:type="dxa"/>
              <w:bottom w:w="72" w:type="dxa"/>
              <w:right w:w="144" w:type="dxa"/>
            </w:tcMar>
            <w:vAlign w:val="center"/>
            <w:hideMark/>
          </w:tcPr>
          <w:p w14:paraId="5B1F537A"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c>
          <w:tcPr>
            <w:tcW w:w="2020" w:type="dxa"/>
            <w:shd w:val="clear" w:color="auto" w:fill="auto"/>
            <w:tcMar>
              <w:top w:w="72" w:type="dxa"/>
              <w:left w:w="144" w:type="dxa"/>
              <w:bottom w:w="72" w:type="dxa"/>
              <w:right w:w="144" w:type="dxa"/>
            </w:tcMar>
            <w:vAlign w:val="center"/>
            <w:hideMark/>
          </w:tcPr>
          <w:p w14:paraId="5BD2651B"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r>
      <w:tr w:rsidR="000A6FD5" w:rsidRPr="00421226" w14:paraId="6EEA7B90" w14:textId="77777777" w:rsidTr="00FA21B9">
        <w:trPr>
          <w:trHeight w:val="584"/>
        </w:trPr>
        <w:tc>
          <w:tcPr>
            <w:tcW w:w="1800" w:type="dxa"/>
            <w:tcBorders>
              <w:right w:val="single" w:sz="4" w:space="0" w:color="auto"/>
            </w:tcBorders>
            <w:shd w:val="clear" w:color="auto" w:fill="auto"/>
            <w:tcMar>
              <w:top w:w="72" w:type="dxa"/>
              <w:left w:w="144" w:type="dxa"/>
              <w:bottom w:w="72" w:type="dxa"/>
              <w:right w:w="144" w:type="dxa"/>
            </w:tcMar>
            <w:hideMark/>
          </w:tcPr>
          <w:p w14:paraId="3D228C48" w14:textId="77777777" w:rsidR="000A6FD5" w:rsidRPr="009248C8" w:rsidRDefault="000A6FD5" w:rsidP="00FA21B9">
            <w:pPr>
              <w:rPr>
                <w:rFonts w:ascii="Arial" w:hAnsi="Arial" w:cs="Arial"/>
                <w:sz w:val="36"/>
                <w:szCs w:val="36"/>
                <w:lang w:val="en-CA" w:eastAsia="en-CA"/>
              </w:rPr>
            </w:pPr>
            <w:r w:rsidRPr="009248C8">
              <w:rPr>
                <w:rFonts w:ascii="Times New Roman" w:hAnsi="Times New Roman"/>
                <w:b/>
                <w:bCs/>
                <w:color w:val="000000"/>
                <w:kern w:val="24"/>
                <w:lang w:val="en-CA" w:eastAsia="en-CA"/>
              </w:rPr>
              <w:t>Increased neck pain</w:t>
            </w:r>
          </w:p>
        </w:tc>
        <w:tc>
          <w:tcPr>
            <w:tcW w:w="1720" w:type="dxa"/>
            <w:tcBorders>
              <w:left w:val="single" w:sz="4" w:space="0" w:color="auto"/>
            </w:tcBorders>
            <w:shd w:val="clear" w:color="auto" w:fill="auto"/>
            <w:tcMar>
              <w:top w:w="72" w:type="dxa"/>
              <w:left w:w="144" w:type="dxa"/>
              <w:bottom w:w="72" w:type="dxa"/>
              <w:right w:w="144" w:type="dxa"/>
            </w:tcMar>
            <w:vAlign w:val="center"/>
            <w:hideMark/>
          </w:tcPr>
          <w:p w14:paraId="716C8D08"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c>
          <w:tcPr>
            <w:tcW w:w="1700" w:type="dxa"/>
            <w:shd w:val="clear" w:color="auto" w:fill="auto"/>
            <w:tcMar>
              <w:top w:w="72" w:type="dxa"/>
              <w:left w:w="144" w:type="dxa"/>
              <w:bottom w:w="72" w:type="dxa"/>
              <w:right w:w="144" w:type="dxa"/>
            </w:tcMar>
            <w:vAlign w:val="center"/>
            <w:hideMark/>
          </w:tcPr>
          <w:p w14:paraId="6C6B54CE"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1 (4%)</w:t>
            </w:r>
          </w:p>
        </w:tc>
        <w:tc>
          <w:tcPr>
            <w:tcW w:w="1520" w:type="dxa"/>
            <w:shd w:val="clear" w:color="auto" w:fill="auto"/>
            <w:tcMar>
              <w:top w:w="72" w:type="dxa"/>
              <w:left w:w="144" w:type="dxa"/>
              <w:bottom w:w="72" w:type="dxa"/>
              <w:right w:w="144" w:type="dxa"/>
            </w:tcMar>
            <w:vAlign w:val="center"/>
            <w:hideMark/>
          </w:tcPr>
          <w:p w14:paraId="6CA14810"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c>
          <w:tcPr>
            <w:tcW w:w="1440" w:type="dxa"/>
            <w:shd w:val="clear" w:color="auto" w:fill="auto"/>
            <w:tcMar>
              <w:top w:w="72" w:type="dxa"/>
              <w:left w:w="144" w:type="dxa"/>
              <w:bottom w:w="72" w:type="dxa"/>
              <w:right w:w="144" w:type="dxa"/>
            </w:tcMar>
            <w:vAlign w:val="center"/>
            <w:hideMark/>
          </w:tcPr>
          <w:p w14:paraId="025676F1"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1 (4%)</w:t>
            </w:r>
          </w:p>
        </w:tc>
        <w:tc>
          <w:tcPr>
            <w:tcW w:w="2020" w:type="dxa"/>
            <w:shd w:val="clear" w:color="auto" w:fill="auto"/>
            <w:tcMar>
              <w:top w:w="72" w:type="dxa"/>
              <w:left w:w="144" w:type="dxa"/>
              <w:bottom w:w="72" w:type="dxa"/>
              <w:right w:w="144" w:type="dxa"/>
            </w:tcMar>
            <w:vAlign w:val="center"/>
            <w:hideMark/>
          </w:tcPr>
          <w:p w14:paraId="4A1DA908" w14:textId="77777777" w:rsidR="000A6FD5" w:rsidRPr="009248C8" w:rsidRDefault="000A6FD5" w:rsidP="00FA21B9">
            <w:pPr>
              <w:jc w:val="center"/>
              <w:rPr>
                <w:rFonts w:ascii="Arial" w:hAnsi="Arial" w:cs="Arial"/>
                <w:sz w:val="36"/>
                <w:szCs w:val="36"/>
                <w:lang w:val="en-CA" w:eastAsia="en-CA"/>
              </w:rPr>
            </w:pPr>
            <w:r w:rsidRPr="009248C8">
              <w:rPr>
                <w:rFonts w:ascii="Times New Roman" w:hAnsi="Times New Roman"/>
                <w:color w:val="000000"/>
                <w:kern w:val="24"/>
                <w:lang w:val="en-CA" w:eastAsia="en-CA"/>
              </w:rPr>
              <w:t>0</w:t>
            </w:r>
          </w:p>
        </w:tc>
      </w:tr>
    </w:tbl>
    <w:p w14:paraId="3493241F" w14:textId="3A128A6A" w:rsidR="000A6FD5" w:rsidRDefault="000A6FD5" w:rsidP="000A6FD5">
      <w:pPr>
        <w:tabs>
          <w:tab w:val="left" w:pos="3227"/>
        </w:tabs>
        <w:rPr>
          <w:rFonts w:ascii="Times New Roman" w:hAnsi="Times New Roman"/>
          <w:sz w:val="20"/>
          <w:szCs w:val="20"/>
        </w:rPr>
      </w:pPr>
      <w:r>
        <w:rPr>
          <w:rFonts w:ascii="Times New Roman" w:hAnsi="Times New Roman"/>
          <w:sz w:val="20"/>
          <w:szCs w:val="20"/>
          <w:vertAlign w:val="superscript"/>
        </w:rPr>
        <w:t>a</w:t>
      </w:r>
      <w:r>
        <w:rPr>
          <w:rFonts w:ascii="Times New Roman" w:hAnsi="Times New Roman"/>
          <w:sz w:val="20"/>
          <w:szCs w:val="20"/>
        </w:rPr>
        <w:t xml:space="preserve"> Five participants required a dose reduction in the SCM muscles to minimize likelihood of dysphagia. Abo-BoNT-A: abotulinumtoxinA; n: sample size</w:t>
      </w:r>
    </w:p>
    <w:p w14:paraId="7454E2B1" w14:textId="77898680" w:rsidR="0080644E" w:rsidRDefault="0080644E" w:rsidP="000A6FD5">
      <w:pPr>
        <w:tabs>
          <w:tab w:val="left" w:pos="3227"/>
        </w:tabs>
        <w:rPr>
          <w:rFonts w:ascii="Times New Roman" w:hAnsi="Times New Roman"/>
          <w:sz w:val="20"/>
          <w:szCs w:val="20"/>
        </w:rPr>
      </w:pPr>
    </w:p>
    <w:p w14:paraId="71F9D369" w14:textId="77777777" w:rsidR="0080644E" w:rsidRDefault="0080644E" w:rsidP="000A6FD5">
      <w:pPr>
        <w:tabs>
          <w:tab w:val="left" w:pos="3227"/>
        </w:tabs>
        <w:rPr>
          <w:rFonts w:ascii="Times New Roman" w:hAnsi="Times New Roman"/>
          <w:sz w:val="20"/>
          <w:szCs w:val="20"/>
        </w:rPr>
      </w:pPr>
    </w:p>
    <w:sectPr w:rsidR="0080644E" w:rsidSect="003457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6253" w14:textId="77777777" w:rsidR="00224721" w:rsidRDefault="00224721" w:rsidP="00931ACB">
      <w:r>
        <w:separator/>
      </w:r>
    </w:p>
  </w:endnote>
  <w:endnote w:type="continuationSeparator" w:id="0">
    <w:p w14:paraId="382259DE" w14:textId="77777777" w:rsidR="00224721" w:rsidRDefault="00224721" w:rsidP="00931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7054" w14:textId="77777777" w:rsidR="00224721" w:rsidRDefault="00224721" w:rsidP="00931ACB">
      <w:r>
        <w:separator/>
      </w:r>
    </w:p>
  </w:footnote>
  <w:footnote w:type="continuationSeparator" w:id="0">
    <w:p w14:paraId="36DD9AA1" w14:textId="77777777" w:rsidR="00224721" w:rsidRDefault="00224721" w:rsidP="00931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6FC9"/>
    <w:multiLevelType w:val="hybridMultilevel"/>
    <w:tmpl w:val="3DDECAF0"/>
    <w:lvl w:ilvl="0" w:tplc="0B52C0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666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7D51"/>
    <w:rsid w:val="00001242"/>
    <w:rsid w:val="00001CC2"/>
    <w:rsid w:val="0000336A"/>
    <w:rsid w:val="000051FC"/>
    <w:rsid w:val="000113C2"/>
    <w:rsid w:val="0001369F"/>
    <w:rsid w:val="0001545F"/>
    <w:rsid w:val="000175C8"/>
    <w:rsid w:val="0002145C"/>
    <w:rsid w:val="00021E4C"/>
    <w:rsid w:val="00024546"/>
    <w:rsid w:val="000276AB"/>
    <w:rsid w:val="00040CBF"/>
    <w:rsid w:val="00043037"/>
    <w:rsid w:val="0004355E"/>
    <w:rsid w:val="00050893"/>
    <w:rsid w:val="00051444"/>
    <w:rsid w:val="00052CD2"/>
    <w:rsid w:val="0005351B"/>
    <w:rsid w:val="0005743E"/>
    <w:rsid w:val="0005791F"/>
    <w:rsid w:val="000663A8"/>
    <w:rsid w:val="00073781"/>
    <w:rsid w:val="0007414C"/>
    <w:rsid w:val="000803EE"/>
    <w:rsid w:val="000846D0"/>
    <w:rsid w:val="0008660C"/>
    <w:rsid w:val="00091FE7"/>
    <w:rsid w:val="00093BC0"/>
    <w:rsid w:val="000A1730"/>
    <w:rsid w:val="000A4303"/>
    <w:rsid w:val="000A4C41"/>
    <w:rsid w:val="000A6FD5"/>
    <w:rsid w:val="000A7024"/>
    <w:rsid w:val="000B7582"/>
    <w:rsid w:val="000B7652"/>
    <w:rsid w:val="000B7828"/>
    <w:rsid w:val="000C1AD1"/>
    <w:rsid w:val="000C36CF"/>
    <w:rsid w:val="000C554C"/>
    <w:rsid w:val="000C5EE6"/>
    <w:rsid w:val="000C74F6"/>
    <w:rsid w:val="000C75E6"/>
    <w:rsid w:val="000D3EB0"/>
    <w:rsid w:val="000D76CF"/>
    <w:rsid w:val="000E29FC"/>
    <w:rsid w:val="000E39F0"/>
    <w:rsid w:val="000E4464"/>
    <w:rsid w:val="000E7F56"/>
    <w:rsid w:val="00106B79"/>
    <w:rsid w:val="0011129B"/>
    <w:rsid w:val="001132EC"/>
    <w:rsid w:val="00114A74"/>
    <w:rsid w:val="001154AE"/>
    <w:rsid w:val="00116A69"/>
    <w:rsid w:val="00122E4B"/>
    <w:rsid w:val="00127D3E"/>
    <w:rsid w:val="00132456"/>
    <w:rsid w:val="00133307"/>
    <w:rsid w:val="00134E7D"/>
    <w:rsid w:val="00135823"/>
    <w:rsid w:val="0014447C"/>
    <w:rsid w:val="00144CBA"/>
    <w:rsid w:val="00145CB0"/>
    <w:rsid w:val="00146167"/>
    <w:rsid w:val="00146FD7"/>
    <w:rsid w:val="0015129C"/>
    <w:rsid w:val="0015190A"/>
    <w:rsid w:val="001644FE"/>
    <w:rsid w:val="00166454"/>
    <w:rsid w:val="0017001A"/>
    <w:rsid w:val="001758F3"/>
    <w:rsid w:val="001851D2"/>
    <w:rsid w:val="00185FA5"/>
    <w:rsid w:val="00191A98"/>
    <w:rsid w:val="001A4810"/>
    <w:rsid w:val="001A4884"/>
    <w:rsid w:val="001A4C40"/>
    <w:rsid w:val="001B01BC"/>
    <w:rsid w:val="001B028B"/>
    <w:rsid w:val="001B0C9D"/>
    <w:rsid w:val="001B5FCE"/>
    <w:rsid w:val="001C4AF4"/>
    <w:rsid w:val="001C67B8"/>
    <w:rsid w:val="001C6CB6"/>
    <w:rsid w:val="001C6EA5"/>
    <w:rsid w:val="001D0DF2"/>
    <w:rsid w:val="001D37BD"/>
    <w:rsid w:val="001D5E79"/>
    <w:rsid w:val="001D63A7"/>
    <w:rsid w:val="001D7ECA"/>
    <w:rsid w:val="001E4F14"/>
    <w:rsid w:val="001F0EA5"/>
    <w:rsid w:val="00205DB2"/>
    <w:rsid w:val="00213D6F"/>
    <w:rsid w:val="00214832"/>
    <w:rsid w:val="002149AC"/>
    <w:rsid w:val="00215128"/>
    <w:rsid w:val="00215523"/>
    <w:rsid w:val="00216A39"/>
    <w:rsid w:val="00221D13"/>
    <w:rsid w:val="002220F2"/>
    <w:rsid w:val="00224721"/>
    <w:rsid w:val="00226561"/>
    <w:rsid w:val="00230459"/>
    <w:rsid w:val="002327FC"/>
    <w:rsid w:val="002357CB"/>
    <w:rsid w:val="0024340F"/>
    <w:rsid w:val="00247671"/>
    <w:rsid w:val="00247FFB"/>
    <w:rsid w:val="00253A07"/>
    <w:rsid w:val="002605C7"/>
    <w:rsid w:val="00260CBE"/>
    <w:rsid w:val="002678E2"/>
    <w:rsid w:val="00271210"/>
    <w:rsid w:val="00272275"/>
    <w:rsid w:val="0027258A"/>
    <w:rsid w:val="00273B6F"/>
    <w:rsid w:val="00273C28"/>
    <w:rsid w:val="00273E70"/>
    <w:rsid w:val="0027579F"/>
    <w:rsid w:val="002840C7"/>
    <w:rsid w:val="0028428F"/>
    <w:rsid w:val="002866F9"/>
    <w:rsid w:val="00291940"/>
    <w:rsid w:val="00297591"/>
    <w:rsid w:val="002A0540"/>
    <w:rsid w:val="002A1B74"/>
    <w:rsid w:val="002A33BE"/>
    <w:rsid w:val="002A68FA"/>
    <w:rsid w:val="002B541B"/>
    <w:rsid w:val="002B5688"/>
    <w:rsid w:val="002B6ABC"/>
    <w:rsid w:val="002B6CA9"/>
    <w:rsid w:val="002C3D99"/>
    <w:rsid w:val="002C47AD"/>
    <w:rsid w:val="002C5069"/>
    <w:rsid w:val="002C5D8B"/>
    <w:rsid w:val="002C681C"/>
    <w:rsid w:val="002C7ADC"/>
    <w:rsid w:val="002E0BC6"/>
    <w:rsid w:val="002E61E4"/>
    <w:rsid w:val="003036FC"/>
    <w:rsid w:val="00305511"/>
    <w:rsid w:val="003079CB"/>
    <w:rsid w:val="00320F6D"/>
    <w:rsid w:val="00321A24"/>
    <w:rsid w:val="003236B9"/>
    <w:rsid w:val="00324D1B"/>
    <w:rsid w:val="0032618C"/>
    <w:rsid w:val="0032712D"/>
    <w:rsid w:val="0033027D"/>
    <w:rsid w:val="00330873"/>
    <w:rsid w:val="00334F57"/>
    <w:rsid w:val="00335D4A"/>
    <w:rsid w:val="003456DF"/>
    <w:rsid w:val="00345733"/>
    <w:rsid w:val="00353754"/>
    <w:rsid w:val="00354213"/>
    <w:rsid w:val="003579C8"/>
    <w:rsid w:val="00361E83"/>
    <w:rsid w:val="003622EC"/>
    <w:rsid w:val="00365411"/>
    <w:rsid w:val="00371A5A"/>
    <w:rsid w:val="00381A59"/>
    <w:rsid w:val="003841FB"/>
    <w:rsid w:val="00384BAD"/>
    <w:rsid w:val="00392C12"/>
    <w:rsid w:val="00395753"/>
    <w:rsid w:val="00397FB2"/>
    <w:rsid w:val="003A05B7"/>
    <w:rsid w:val="003A087C"/>
    <w:rsid w:val="003A26DE"/>
    <w:rsid w:val="003B030E"/>
    <w:rsid w:val="003B45FC"/>
    <w:rsid w:val="003B521B"/>
    <w:rsid w:val="003B7C0D"/>
    <w:rsid w:val="003B7F6F"/>
    <w:rsid w:val="003C08BA"/>
    <w:rsid w:val="003C3148"/>
    <w:rsid w:val="003C7E65"/>
    <w:rsid w:val="003D13E1"/>
    <w:rsid w:val="003D3578"/>
    <w:rsid w:val="003D380E"/>
    <w:rsid w:val="003D3FD1"/>
    <w:rsid w:val="003D46C4"/>
    <w:rsid w:val="003E3F83"/>
    <w:rsid w:val="003E5633"/>
    <w:rsid w:val="003F2AB6"/>
    <w:rsid w:val="003F6F8D"/>
    <w:rsid w:val="003F7C97"/>
    <w:rsid w:val="004011EC"/>
    <w:rsid w:val="004062FD"/>
    <w:rsid w:val="00413C9C"/>
    <w:rsid w:val="00414629"/>
    <w:rsid w:val="00414C7E"/>
    <w:rsid w:val="00421226"/>
    <w:rsid w:val="00426E16"/>
    <w:rsid w:val="00432C32"/>
    <w:rsid w:val="00433490"/>
    <w:rsid w:val="00433BC3"/>
    <w:rsid w:val="0044007A"/>
    <w:rsid w:val="00442F23"/>
    <w:rsid w:val="0044625C"/>
    <w:rsid w:val="00447BB1"/>
    <w:rsid w:val="0045237A"/>
    <w:rsid w:val="004530EB"/>
    <w:rsid w:val="00455345"/>
    <w:rsid w:val="004570CD"/>
    <w:rsid w:val="00460B57"/>
    <w:rsid w:val="004632CB"/>
    <w:rsid w:val="004665F9"/>
    <w:rsid w:val="004716A9"/>
    <w:rsid w:val="004716FE"/>
    <w:rsid w:val="004749C1"/>
    <w:rsid w:val="00482E9D"/>
    <w:rsid w:val="0048357F"/>
    <w:rsid w:val="00484585"/>
    <w:rsid w:val="00487813"/>
    <w:rsid w:val="00487FA5"/>
    <w:rsid w:val="004914B8"/>
    <w:rsid w:val="00495BB1"/>
    <w:rsid w:val="004A41CD"/>
    <w:rsid w:val="004A5840"/>
    <w:rsid w:val="004A6EAC"/>
    <w:rsid w:val="004B35EE"/>
    <w:rsid w:val="004C3348"/>
    <w:rsid w:val="004C5851"/>
    <w:rsid w:val="004D27E1"/>
    <w:rsid w:val="004D2F1C"/>
    <w:rsid w:val="004D4A72"/>
    <w:rsid w:val="004D6F32"/>
    <w:rsid w:val="004E0956"/>
    <w:rsid w:val="004E185A"/>
    <w:rsid w:val="004E1D2D"/>
    <w:rsid w:val="004E298F"/>
    <w:rsid w:val="004E3713"/>
    <w:rsid w:val="004E6281"/>
    <w:rsid w:val="004F1A24"/>
    <w:rsid w:val="004F6D47"/>
    <w:rsid w:val="0050054E"/>
    <w:rsid w:val="00501EBF"/>
    <w:rsid w:val="00503537"/>
    <w:rsid w:val="00505602"/>
    <w:rsid w:val="00505EE9"/>
    <w:rsid w:val="00506F30"/>
    <w:rsid w:val="0051549D"/>
    <w:rsid w:val="0052110B"/>
    <w:rsid w:val="00522B6B"/>
    <w:rsid w:val="00524513"/>
    <w:rsid w:val="005246A6"/>
    <w:rsid w:val="00534914"/>
    <w:rsid w:val="005456E0"/>
    <w:rsid w:val="00545A45"/>
    <w:rsid w:val="00545F21"/>
    <w:rsid w:val="005463EF"/>
    <w:rsid w:val="00551171"/>
    <w:rsid w:val="00552317"/>
    <w:rsid w:val="00552D6C"/>
    <w:rsid w:val="00553830"/>
    <w:rsid w:val="00554D53"/>
    <w:rsid w:val="0055518C"/>
    <w:rsid w:val="00555F25"/>
    <w:rsid w:val="00556259"/>
    <w:rsid w:val="00556DD8"/>
    <w:rsid w:val="00562774"/>
    <w:rsid w:val="00564751"/>
    <w:rsid w:val="005772EB"/>
    <w:rsid w:val="00577876"/>
    <w:rsid w:val="00581C2C"/>
    <w:rsid w:val="00584E14"/>
    <w:rsid w:val="00590730"/>
    <w:rsid w:val="00591EE2"/>
    <w:rsid w:val="00591FFA"/>
    <w:rsid w:val="00596232"/>
    <w:rsid w:val="005A1877"/>
    <w:rsid w:val="005A24D5"/>
    <w:rsid w:val="005B0C03"/>
    <w:rsid w:val="005B2050"/>
    <w:rsid w:val="005C6FF8"/>
    <w:rsid w:val="005D213C"/>
    <w:rsid w:val="005D3330"/>
    <w:rsid w:val="005D663D"/>
    <w:rsid w:val="005F0F94"/>
    <w:rsid w:val="005F4110"/>
    <w:rsid w:val="006003F3"/>
    <w:rsid w:val="006006D8"/>
    <w:rsid w:val="00605963"/>
    <w:rsid w:val="006073D7"/>
    <w:rsid w:val="006105F7"/>
    <w:rsid w:val="00614440"/>
    <w:rsid w:val="00615AB3"/>
    <w:rsid w:val="006165D2"/>
    <w:rsid w:val="006212E9"/>
    <w:rsid w:val="00625184"/>
    <w:rsid w:val="00625186"/>
    <w:rsid w:val="00630A05"/>
    <w:rsid w:val="00632F3B"/>
    <w:rsid w:val="0063433E"/>
    <w:rsid w:val="00636A39"/>
    <w:rsid w:val="00637B6C"/>
    <w:rsid w:val="00641412"/>
    <w:rsid w:val="00643FA1"/>
    <w:rsid w:val="00651D81"/>
    <w:rsid w:val="0065232A"/>
    <w:rsid w:val="00662D0B"/>
    <w:rsid w:val="00663199"/>
    <w:rsid w:val="00664DEC"/>
    <w:rsid w:val="0066698B"/>
    <w:rsid w:val="00673DFF"/>
    <w:rsid w:val="00674567"/>
    <w:rsid w:val="00685822"/>
    <w:rsid w:val="00685CBD"/>
    <w:rsid w:val="006903C1"/>
    <w:rsid w:val="006964B8"/>
    <w:rsid w:val="006A0704"/>
    <w:rsid w:val="006A53E7"/>
    <w:rsid w:val="006B1142"/>
    <w:rsid w:val="006B54CE"/>
    <w:rsid w:val="006B764D"/>
    <w:rsid w:val="006C3211"/>
    <w:rsid w:val="006C4287"/>
    <w:rsid w:val="006C5EC4"/>
    <w:rsid w:val="006D0A6B"/>
    <w:rsid w:val="006D2B38"/>
    <w:rsid w:val="006D43B5"/>
    <w:rsid w:val="006D5E33"/>
    <w:rsid w:val="006E308E"/>
    <w:rsid w:val="006E628A"/>
    <w:rsid w:val="006F1CB3"/>
    <w:rsid w:val="006F2109"/>
    <w:rsid w:val="006F519E"/>
    <w:rsid w:val="006F5363"/>
    <w:rsid w:val="006F7372"/>
    <w:rsid w:val="00707E02"/>
    <w:rsid w:val="00711490"/>
    <w:rsid w:val="00712203"/>
    <w:rsid w:val="00716B78"/>
    <w:rsid w:val="00720E31"/>
    <w:rsid w:val="00725A3B"/>
    <w:rsid w:val="007311F1"/>
    <w:rsid w:val="00741ADF"/>
    <w:rsid w:val="00751FE3"/>
    <w:rsid w:val="00752C8C"/>
    <w:rsid w:val="00753F05"/>
    <w:rsid w:val="007557DE"/>
    <w:rsid w:val="00757DB3"/>
    <w:rsid w:val="00760098"/>
    <w:rsid w:val="00760A8F"/>
    <w:rsid w:val="007651EA"/>
    <w:rsid w:val="00765D70"/>
    <w:rsid w:val="0076651D"/>
    <w:rsid w:val="00767005"/>
    <w:rsid w:val="00767778"/>
    <w:rsid w:val="00770E20"/>
    <w:rsid w:val="0078367C"/>
    <w:rsid w:val="00783CBA"/>
    <w:rsid w:val="00784F25"/>
    <w:rsid w:val="0079008D"/>
    <w:rsid w:val="00790251"/>
    <w:rsid w:val="007922E3"/>
    <w:rsid w:val="00792469"/>
    <w:rsid w:val="00796DD5"/>
    <w:rsid w:val="007A27B2"/>
    <w:rsid w:val="007A2BBF"/>
    <w:rsid w:val="007A3113"/>
    <w:rsid w:val="007A60C7"/>
    <w:rsid w:val="007A6644"/>
    <w:rsid w:val="007A7D51"/>
    <w:rsid w:val="007B5D24"/>
    <w:rsid w:val="007C105C"/>
    <w:rsid w:val="007C1CF0"/>
    <w:rsid w:val="007C1F55"/>
    <w:rsid w:val="007D1C87"/>
    <w:rsid w:val="007D2D90"/>
    <w:rsid w:val="007D2F55"/>
    <w:rsid w:val="007D382D"/>
    <w:rsid w:val="007E1B2F"/>
    <w:rsid w:val="007E2311"/>
    <w:rsid w:val="007E32DB"/>
    <w:rsid w:val="007E3987"/>
    <w:rsid w:val="007E4102"/>
    <w:rsid w:val="007E4C7C"/>
    <w:rsid w:val="007F0A89"/>
    <w:rsid w:val="007F1583"/>
    <w:rsid w:val="007F710A"/>
    <w:rsid w:val="007F71E6"/>
    <w:rsid w:val="007F7FA5"/>
    <w:rsid w:val="00802675"/>
    <w:rsid w:val="0080644E"/>
    <w:rsid w:val="00806E2C"/>
    <w:rsid w:val="00813BF5"/>
    <w:rsid w:val="00813E71"/>
    <w:rsid w:val="008160D6"/>
    <w:rsid w:val="00817A1E"/>
    <w:rsid w:val="00826E1E"/>
    <w:rsid w:val="00830C4C"/>
    <w:rsid w:val="00831249"/>
    <w:rsid w:val="008314C1"/>
    <w:rsid w:val="00832961"/>
    <w:rsid w:val="008335E7"/>
    <w:rsid w:val="008338E0"/>
    <w:rsid w:val="0083617D"/>
    <w:rsid w:val="008366A5"/>
    <w:rsid w:val="0085163C"/>
    <w:rsid w:val="0085172D"/>
    <w:rsid w:val="008527E5"/>
    <w:rsid w:val="00853F61"/>
    <w:rsid w:val="00856923"/>
    <w:rsid w:val="008624FC"/>
    <w:rsid w:val="00863174"/>
    <w:rsid w:val="00866C01"/>
    <w:rsid w:val="00873090"/>
    <w:rsid w:val="00885E16"/>
    <w:rsid w:val="00890710"/>
    <w:rsid w:val="00892533"/>
    <w:rsid w:val="008962C9"/>
    <w:rsid w:val="008A4CD6"/>
    <w:rsid w:val="008A7E81"/>
    <w:rsid w:val="008B20C8"/>
    <w:rsid w:val="008C290A"/>
    <w:rsid w:val="008C36B4"/>
    <w:rsid w:val="008C5EAD"/>
    <w:rsid w:val="008D2B61"/>
    <w:rsid w:val="008D3CDE"/>
    <w:rsid w:val="008D5502"/>
    <w:rsid w:val="008D7848"/>
    <w:rsid w:val="008D7FA4"/>
    <w:rsid w:val="008E1374"/>
    <w:rsid w:val="008E17DF"/>
    <w:rsid w:val="008F072D"/>
    <w:rsid w:val="008F2930"/>
    <w:rsid w:val="008F64C7"/>
    <w:rsid w:val="00903E58"/>
    <w:rsid w:val="00905B4B"/>
    <w:rsid w:val="009108CF"/>
    <w:rsid w:val="0091205B"/>
    <w:rsid w:val="009129AC"/>
    <w:rsid w:val="00914087"/>
    <w:rsid w:val="00917278"/>
    <w:rsid w:val="009177B5"/>
    <w:rsid w:val="00923F82"/>
    <w:rsid w:val="009248C8"/>
    <w:rsid w:val="00926034"/>
    <w:rsid w:val="00931ACB"/>
    <w:rsid w:val="0094021C"/>
    <w:rsid w:val="00943FD9"/>
    <w:rsid w:val="009544EA"/>
    <w:rsid w:val="00963837"/>
    <w:rsid w:val="00964BC8"/>
    <w:rsid w:val="0097229C"/>
    <w:rsid w:val="00974E8B"/>
    <w:rsid w:val="00981045"/>
    <w:rsid w:val="00982CF3"/>
    <w:rsid w:val="00990396"/>
    <w:rsid w:val="009938F8"/>
    <w:rsid w:val="00994EC7"/>
    <w:rsid w:val="009A282A"/>
    <w:rsid w:val="009A47DA"/>
    <w:rsid w:val="009A5900"/>
    <w:rsid w:val="009B1C7C"/>
    <w:rsid w:val="009B4B2F"/>
    <w:rsid w:val="009B5830"/>
    <w:rsid w:val="009B58BA"/>
    <w:rsid w:val="009C0D08"/>
    <w:rsid w:val="009C1CB9"/>
    <w:rsid w:val="009C431C"/>
    <w:rsid w:val="009C7D2B"/>
    <w:rsid w:val="009D0D93"/>
    <w:rsid w:val="009D0EAE"/>
    <w:rsid w:val="009D141F"/>
    <w:rsid w:val="009D7C67"/>
    <w:rsid w:val="009D7E44"/>
    <w:rsid w:val="009E105C"/>
    <w:rsid w:val="009E2DDB"/>
    <w:rsid w:val="009E45AC"/>
    <w:rsid w:val="009E4FA7"/>
    <w:rsid w:val="009F03D3"/>
    <w:rsid w:val="009F285F"/>
    <w:rsid w:val="009F37DF"/>
    <w:rsid w:val="00A02498"/>
    <w:rsid w:val="00A031A8"/>
    <w:rsid w:val="00A039FC"/>
    <w:rsid w:val="00A10203"/>
    <w:rsid w:val="00A10D4A"/>
    <w:rsid w:val="00A11946"/>
    <w:rsid w:val="00A211E8"/>
    <w:rsid w:val="00A22304"/>
    <w:rsid w:val="00A25041"/>
    <w:rsid w:val="00A30DFA"/>
    <w:rsid w:val="00A3552F"/>
    <w:rsid w:val="00A379AA"/>
    <w:rsid w:val="00A40C3A"/>
    <w:rsid w:val="00A417CC"/>
    <w:rsid w:val="00A43A15"/>
    <w:rsid w:val="00A46390"/>
    <w:rsid w:val="00A47894"/>
    <w:rsid w:val="00A4791C"/>
    <w:rsid w:val="00A4799F"/>
    <w:rsid w:val="00A509B1"/>
    <w:rsid w:val="00A522CB"/>
    <w:rsid w:val="00A54C59"/>
    <w:rsid w:val="00A55D94"/>
    <w:rsid w:val="00A5626B"/>
    <w:rsid w:val="00A56C4B"/>
    <w:rsid w:val="00A57146"/>
    <w:rsid w:val="00A57398"/>
    <w:rsid w:val="00A57C94"/>
    <w:rsid w:val="00A661D6"/>
    <w:rsid w:val="00A66E7F"/>
    <w:rsid w:val="00A74DE6"/>
    <w:rsid w:val="00A75607"/>
    <w:rsid w:val="00A876E8"/>
    <w:rsid w:val="00A959D2"/>
    <w:rsid w:val="00A97B9B"/>
    <w:rsid w:val="00A97DD1"/>
    <w:rsid w:val="00AA3159"/>
    <w:rsid w:val="00AA3490"/>
    <w:rsid w:val="00AA77B3"/>
    <w:rsid w:val="00AB5FF4"/>
    <w:rsid w:val="00AC0C11"/>
    <w:rsid w:val="00AC2D07"/>
    <w:rsid w:val="00AC2FBC"/>
    <w:rsid w:val="00AC5D5B"/>
    <w:rsid w:val="00AD1DC6"/>
    <w:rsid w:val="00AE24BC"/>
    <w:rsid w:val="00AE6945"/>
    <w:rsid w:val="00AF0F38"/>
    <w:rsid w:val="00AF13BE"/>
    <w:rsid w:val="00AF47FA"/>
    <w:rsid w:val="00B0512A"/>
    <w:rsid w:val="00B05DF6"/>
    <w:rsid w:val="00B17635"/>
    <w:rsid w:val="00B1795A"/>
    <w:rsid w:val="00B21946"/>
    <w:rsid w:val="00B223D2"/>
    <w:rsid w:val="00B23A06"/>
    <w:rsid w:val="00B36B55"/>
    <w:rsid w:val="00B36C87"/>
    <w:rsid w:val="00B447F5"/>
    <w:rsid w:val="00B50C55"/>
    <w:rsid w:val="00B5246C"/>
    <w:rsid w:val="00B572A7"/>
    <w:rsid w:val="00B60AB8"/>
    <w:rsid w:val="00B631AD"/>
    <w:rsid w:val="00B67D02"/>
    <w:rsid w:val="00B71D40"/>
    <w:rsid w:val="00B74275"/>
    <w:rsid w:val="00B743E8"/>
    <w:rsid w:val="00B74C6C"/>
    <w:rsid w:val="00B753CE"/>
    <w:rsid w:val="00B83404"/>
    <w:rsid w:val="00B83C47"/>
    <w:rsid w:val="00B841C4"/>
    <w:rsid w:val="00B863AD"/>
    <w:rsid w:val="00B906C2"/>
    <w:rsid w:val="00B914E6"/>
    <w:rsid w:val="00B93661"/>
    <w:rsid w:val="00BA242E"/>
    <w:rsid w:val="00BA5576"/>
    <w:rsid w:val="00BA7682"/>
    <w:rsid w:val="00BB3B72"/>
    <w:rsid w:val="00BC3FCF"/>
    <w:rsid w:val="00BC7A86"/>
    <w:rsid w:val="00BD067C"/>
    <w:rsid w:val="00BD33E7"/>
    <w:rsid w:val="00BD4282"/>
    <w:rsid w:val="00BD59E0"/>
    <w:rsid w:val="00BD7A18"/>
    <w:rsid w:val="00BE160F"/>
    <w:rsid w:val="00BE3B83"/>
    <w:rsid w:val="00BE456B"/>
    <w:rsid w:val="00BE69AC"/>
    <w:rsid w:val="00BF6345"/>
    <w:rsid w:val="00BF6DB1"/>
    <w:rsid w:val="00C03FC7"/>
    <w:rsid w:val="00C07C7E"/>
    <w:rsid w:val="00C10216"/>
    <w:rsid w:val="00C10646"/>
    <w:rsid w:val="00C16B69"/>
    <w:rsid w:val="00C250B4"/>
    <w:rsid w:val="00C27526"/>
    <w:rsid w:val="00C324F8"/>
    <w:rsid w:val="00C32FE9"/>
    <w:rsid w:val="00C33A3D"/>
    <w:rsid w:val="00C349A5"/>
    <w:rsid w:val="00C45F83"/>
    <w:rsid w:val="00C47E67"/>
    <w:rsid w:val="00C5382A"/>
    <w:rsid w:val="00C54A5E"/>
    <w:rsid w:val="00C56D25"/>
    <w:rsid w:val="00C62683"/>
    <w:rsid w:val="00C62AC4"/>
    <w:rsid w:val="00C63C22"/>
    <w:rsid w:val="00C667D2"/>
    <w:rsid w:val="00C74AE7"/>
    <w:rsid w:val="00C82C2C"/>
    <w:rsid w:val="00C8312B"/>
    <w:rsid w:val="00C8353A"/>
    <w:rsid w:val="00C86F87"/>
    <w:rsid w:val="00C96039"/>
    <w:rsid w:val="00CA2CA5"/>
    <w:rsid w:val="00CA3F43"/>
    <w:rsid w:val="00CC0989"/>
    <w:rsid w:val="00CC0AFD"/>
    <w:rsid w:val="00CC1969"/>
    <w:rsid w:val="00CC277F"/>
    <w:rsid w:val="00CC2D03"/>
    <w:rsid w:val="00CC407E"/>
    <w:rsid w:val="00CC7434"/>
    <w:rsid w:val="00CC78E3"/>
    <w:rsid w:val="00CD06BA"/>
    <w:rsid w:val="00CD2309"/>
    <w:rsid w:val="00CD3372"/>
    <w:rsid w:val="00CD37FF"/>
    <w:rsid w:val="00CD4F71"/>
    <w:rsid w:val="00CE34D9"/>
    <w:rsid w:val="00CE754E"/>
    <w:rsid w:val="00CE7C73"/>
    <w:rsid w:val="00CF195F"/>
    <w:rsid w:val="00CF1ABC"/>
    <w:rsid w:val="00CF3FC8"/>
    <w:rsid w:val="00D007F6"/>
    <w:rsid w:val="00D067CB"/>
    <w:rsid w:val="00D12CC8"/>
    <w:rsid w:val="00D17F56"/>
    <w:rsid w:val="00D20373"/>
    <w:rsid w:val="00D26177"/>
    <w:rsid w:val="00D2690B"/>
    <w:rsid w:val="00D309C1"/>
    <w:rsid w:val="00D32D36"/>
    <w:rsid w:val="00D330CF"/>
    <w:rsid w:val="00D3650C"/>
    <w:rsid w:val="00D42DF0"/>
    <w:rsid w:val="00D44752"/>
    <w:rsid w:val="00D44F64"/>
    <w:rsid w:val="00D476B5"/>
    <w:rsid w:val="00D47765"/>
    <w:rsid w:val="00D540B3"/>
    <w:rsid w:val="00D567E6"/>
    <w:rsid w:val="00D6165E"/>
    <w:rsid w:val="00D63B69"/>
    <w:rsid w:val="00D6522C"/>
    <w:rsid w:val="00D67CC5"/>
    <w:rsid w:val="00D67F8B"/>
    <w:rsid w:val="00D712AB"/>
    <w:rsid w:val="00D72679"/>
    <w:rsid w:val="00D76CB1"/>
    <w:rsid w:val="00D8317B"/>
    <w:rsid w:val="00D83F23"/>
    <w:rsid w:val="00D85770"/>
    <w:rsid w:val="00D866F5"/>
    <w:rsid w:val="00D8698E"/>
    <w:rsid w:val="00D906BD"/>
    <w:rsid w:val="00D928EF"/>
    <w:rsid w:val="00D9456B"/>
    <w:rsid w:val="00D947B3"/>
    <w:rsid w:val="00D95D43"/>
    <w:rsid w:val="00D96B93"/>
    <w:rsid w:val="00D973F4"/>
    <w:rsid w:val="00DA3CA0"/>
    <w:rsid w:val="00DA49DE"/>
    <w:rsid w:val="00DB1B98"/>
    <w:rsid w:val="00DB1E12"/>
    <w:rsid w:val="00DB7C30"/>
    <w:rsid w:val="00DC3B28"/>
    <w:rsid w:val="00DC4C9B"/>
    <w:rsid w:val="00DC6233"/>
    <w:rsid w:val="00DC7DCE"/>
    <w:rsid w:val="00DD103D"/>
    <w:rsid w:val="00DD2B60"/>
    <w:rsid w:val="00DD5F47"/>
    <w:rsid w:val="00DE3782"/>
    <w:rsid w:val="00DE37D2"/>
    <w:rsid w:val="00DE56D6"/>
    <w:rsid w:val="00DF79EF"/>
    <w:rsid w:val="00E00379"/>
    <w:rsid w:val="00E02DB8"/>
    <w:rsid w:val="00E1226B"/>
    <w:rsid w:val="00E138FA"/>
    <w:rsid w:val="00E15926"/>
    <w:rsid w:val="00E16E38"/>
    <w:rsid w:val="00E170AF"/>
    <w:rsid w:val="00E21E88"/>
    <w:rsid w:val="00E23FD3"/>
    <w:rsid w:val="00E26213"/>
    <w:rsid w:val="00E265CC"/>
    <w:rsid w:val="00E26763"/>
    <w:rsid w:val="00E273A7"/>
    <w:rsid w:val="00E34104"/>
    <w:rsid w:val="00E375DE"/>
    <w:rsid w:val="00E37F66"/>
    <w:rsid w:val="00E42FAC"/>
    <w:rsid w:val="00E434B2"/>
    <w:rsid w:val="00E43F90"/>
    <w:rsid w:val="00E4530A"/>
    <w:rsid w:val="00E47E53"/>
    <w:rsid w:val="00E6304A"/>
    <w:rsid w:val="00E77606"/>
    <w:rsid w:val="00E8273F"/>
    <w:rsid w:val="00E84B41"/>
    <w:rsid w:val="00E85C11"/>
    <w:rsid w:val="00E862D4"/>
    <w:rsid w:val="00E95601"/>
    <w:rsid w:val="00EA02E0"/>
    <w:rsid w:val="00EA2F57"/>
    <w:rsid w:val="00EA6CA0"/>
    <w:rsid w:val="00EB24A7"/>
    <w:rsid w:val="00EB3845"/>
    <w:rsid w:val="00EB389C"/>
    <w:rsid w:val="00EB3BE2"/>
    <w:rsid w:val="00EB4FED"/>
    <w:rsid w:val="00EB6D64"/>
    <w:rsid w:val="00EC236A"/>
    <w:rsid w:val="00ED2EED"/>
    <w:rsid w:val="00ED6DC7"/>
    <w:rsid w:val="00EE14D1"/>
    <w:rsid w:val="00EE1E10"/>
    <w:rsid w:val="00EE566A"/>
    <w:rsid w:val="00EE6B39"/>
    <w:rsid w:val="00EF0265"/>
    <w:rsid w:val="00EF3B1E"/>
    <w:rsid w:val="00EF3CD3"/>
    <w:rsid w:val="00EF4389"/>
    <w:rsid w:val="00EF49AB"/>
    <w:rsid w:val="00EF4D69"/>
    <w:rsid w:val="00EF5219"/>
    <w:rsid w:val="00EF5AF6"/>
    <w:rsid w:val="00EF6643"/>
    <w:rsid w:val="00F12DE7"/>
    <w:rsid w:val="00F172AE"/>
    <w:rsid w:val="00F21C38"/>
    <w:rsid w:val="00F2252F"/>
    <w:rsid w:val="00F23B12"/>
    <w:rsid w:val="00F26250"/>
    <w:rsid w:val="00F2639F"/>
    <w:rsid w:val="00F27FDB"/>
    <w:rsid w:val="00F30DB0"/>
    <w:rsid w:val="00F328F5"/>
    <w:rsid w:val="00F341FC"/>
    <w:rsid w:val="00F363D9"/>
    <w:rsid w:val="00F41011"/>
    <w:rsid w:val="00F47D6B"/>
    <w:rsid w:val="00F52F6C"/>
    <w:rsid w:val="00F608F7"/>
    <w:rsid w:val="00F65B77"/>
    <w:rsid w:val="00F70B8A"/>
    <w:rsid w:val="00F727B9"/>
    <w:rsid w:val="00F72EA7"/>
    <w:rsid w:val="00F83515"/>
    <w:rsid w:val="00F83A87"/>
    <w:rsid w:val="00F86908"/>
    <w:rsid w:val="00F90AF6"/>
    <w:rsid w:val="00F9371C"/>
    <w:rsid w:val="00F9485E"/>
    <w:rsid w:val="00F962F7"/>
    <w:rsid w:val="00F96E4F"/>
    <w:rsid w:val="00F97F1A"/>
    <w:rsid w:val="00FA16AA"/>
    <w:rsid w:val="00FA2146"/>
    <w:rsid w:val="00FA2A53"/>
    <w:rsid w:val="00FA313E"/>
    <w:rsid w:val="00FA47E5"/>
    <w:rsid w:val="00FA694E"/>
    <w:rsid w:val="00FA701B"/>
    <w:rsid w:val="00FB0BBC"/>
    <w:rsid w:val="00FB673B"/>
    <w:rsid w:val="00FB72F4"/>
    <w:rsid w:val="00FC56BE"/>
    <w:rsid w:val="00FC6391"/>
    <w:rsid w:val="00FC6458"/>
    <w:rsid w:val="00FE2983"/>
    <w:rsid w:val="00FE3CB8"/>
    <w:rsid w:val="00FE4A56"/>
    <w:rsid w:val="00FE580C"/>
    <w:rsid w:val="00FE5F55"/>
    <w:rsid w:val="00FE68DD"/>
    <w:rsid w:val="00FF1141"/>
    <w:rsid w:val="00FF1B17"/>
    <w:rsid w:val="00FF569C"/>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105D"/>
  <w15:chartTrackingRefBased/>
  <w15:docId w15:val="{EA781A39-3109-463D-9AB1-9181E257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109"/>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6F2109"/>
    <w:rPr>
      <w:rFonts w:ascii="Times New Roman" w:hAnsi="Times New Roman" w:cs="Times New Roman" w:hint="default"/>
      <w:b w:val="0"/>
      <w:bCs w:val="0"/>
      <w:i w:val="0"/>
      <w:iCs w:val="0"/>
      <w:color w:val="111111"/>
      <w:sz w:val="28"/>
      <w:szCs w:val="28"/>
    </w:rPr>
  </w:style>
  <w:style w:type="paragraph" w:styleId="ListParagraph">
    <w:name w:val="List Paragraph"/>
    <w:basedOn w:val="Normal"/>
    <w:uiPriority w:val="34"/>
    <w:qFormat/>
    <w:rsid w:val="007C105C"/>
    <w:pPr>
      <w:ind w:left="720"/>
      <w:contextualSpacing/>
    </w:pPr>
  </w:style>
  <w:style w:type="character" w:styleId="CommentReference">
    <w:name w:val="annotation reference"/>
    <w:uiPriority w:val="99"/>
    <w:semiHidden/>
    <w:unhideWhenUsed/>
    <w:rsid w:val="00482E9D"/>
    <w:rPr>
      <w:sz w:val="16"/>
      <w:szCs w:val="16"/>
    </w:rPr>
  </w:style>
  <w:style w:type="paragraph" w:styleId="CommentText">
    <w:name w:val="annotation text"/>
    <w:basedOn w:val="Normal"/>
    <w:link w:val="CommentTextChar"/>
    <w:uiPriority w:val="99"/>
    <w:semiHidden/>
    <w:unhideWhenUsed/>
    <w:rsid w:val="00482E9D"/>
    <w:rPr>
      <w:sz w:val="20"/>
      <w:szCs w:val="20"/>
    </w:rPr>
  </w:style>
  <w:style w:type="character" w:customStyle="1" w:styleId="CommentTextChar">
    <w:name w:val="Comment Text Char"/>
    <w:link w:val="CommentText"/>
    <w:uiPriority w:val="99"/>
    <w:semiHidden/>
    <w:rsid w:val="00482E9D"/>
    <w:rPr>
      <w:rFonts w:eastAsia="Times New Roman"/>
      <w:sz w:val="20"/>
      <w:szCs w:val="20"/>
      <w:lang w:val="en-US"/>
    </w:rPr>
  </w:style>
  <w:style w:type="paragraph" w:styleId="CommentSubject">
    <w:name w:val="annotation subject"/>
    <w:basedOn w:val="CommentText"/>
    <w:next w:val="CommentText"/>
    <w:link w:val="CommentSubjectChar"/>
    <w:uiPriority w:val="99"/>
    <w:semiHidden/>
    <w:unhideWhenUsed/>
    <w:rsid w:val="00482E9D"/>
    <w:rPr>
      <w:b/>
      <w:bCs/>
    </w:rPr>
  </w:style>
  <w:style w:type="character" w:customStyle="1" w:styleId="CommentSubjectChar">
    <w:name w:val="Comment Subject Char"/>
    <w:link w:val="CommentSubject"/>
    <w:uiPriority w:val="99"/>
    <w:semiHidden/>
    <w:rsid w:val="00482E9D"/>
    <w:rPr>
      <w:rFonts w:eastAsia="Times New Roman"/>
      <w:b/>
      <w:bCs/>
      <w:sz w:val="20"/>
      <w:szCs w:val="20"/>
      <w:lang w:val="en-US"/>
    </w:rPr>
  </w:style>
  <w:style w:type="character" w:styleId="Hyperlink">
    <w:name w:val="Hyperlink"/>
    <w:uiPriority w:val="99"/>
    <w:unhideWhenUsed/>
    <w:rsid w:val="000C36CF"/>
    <w:rPr>
      <w:color w:val="0563C1"/>
      <w:u w:val="single"/>
    </w:rPr>
  </w:style>
  <w:style w:type="character" w:styleId="FollowedHyperlink">
    <w:name w:val="FollowedHyperlink"/>
    <w:uiPriority w:val="99"/>
    <w:semiHidden/>
    <w:unhideWhenUsed/>
    <w:rsid w:val="000C36CF"/>
    <w:rPr>
      <w:color w:val="954F72"/>
      <w:u w:val="single"/>
    </w:rPr>
  </w:style>
  <w:style w:type="paragraph" w:customStyle="1" w:styleId="msonormal0">
    <w:name w:val="msonormal"/>
    <w:basedOn w:val="Normal"/>
    <w:rsid w:val="000C36CF"/>
    <w:pPr>
      <w:spacing w:before="100" w:beforeAutospacing="1" w:after="100" w:afterAutospacing="1"/>
    </w:pPr>
    <w:rPr>
      <w:rFonts w:ascii="Times New Roman" w:hAnsi="Times New Roman"/>
    </w:rPr>
  </w:style>
  <w:style w:type="paragraph" w:customStyle="1" w:styleId="xl65">
    <w:name w:val="xl65"/>
    <w:basedOn w:val="Normal"/>
    <w:rsid w:val="000C36CF"/>
    <w:pPr>
      <w:spacing w:before="100" w:beforeAutospacing="1" w:after="100" w:afterAutospacing="1"/>
    </w:pPr>
    <w:rPr>
      <w:rFonts w:ascii="Times New Roman" w:hAnsi="Times New Roman"/>
      <w:b/>
      <w:bCs/>
    </w:rPr>
  </w:style>
  <w:style w:type="paragraph" w:customStyle="1" w:styleId="xl66">
    <w:name w:val="xl66"/>
    <w:basedOn w:val="Normal"/>
    <w:rsid w:val="000C36CF"/>
    <w:pPr>
      <w:spacing w:before="100" w:beforeAutospacing="1" w:after="100" w:afterAutospacing="1"/>
      <w:textAlignment w:val="center"/>
    </w:pPr>
    <w:rPr>
      <w:rFonts w:ascii="Times New Roman" w:hAnsi="Times New Roman"/>
    </w:rPr>
  </w:style>
  <w:style w:type="paragraph" w:customStyle="1" w:styleId="xl67">
    <w:name w:val="xl67"/>
    <w:basedOn w:val="Normal"/>
    <w:rsid w:val="000C36CF"/>
    <w:pPr>
      <w:spacing w:before="100" w:beforeAutospacing="1" w:after="100" w:afterAutospacing="1"/>
      <w:jc w:val="center"/>
      <w:textAlignment w:val="center"/>
    </w:pPr>
    <w:rPr>
      <w:rFonts w:ascii="Times New Roman" w:hAnsi="Times New Roman"/>
      <w:sz w:val="20"/>
      <w:szCs w:val="20"/>
    </w:rPr>
  </w:style>
  <w:style w:type="paragraph" w:customStyle="1" w:styleId="xl68">
    <w:name w:val="xl68"/>
    <w:basedOn w:val="Normal"/>
    <w:rsid w:val="000C36CF"/>
    <w:pPr>
      <w:pBdr>
        <w:bottom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69">
    <w:name w:val="xl69"/>
    <w:basedOn w:val="Normal"/>
    <w:rsid w:val="000C36CF"/>
    <w:pPr>
      <w:spacing w:before="100" w:beforeAutospacing="1" w:after="100" w:afterAutospacing="1"/>
      <w:jc w:val="center"/>
      <w:textAlignment w:val="center"/>
    </w:pPr>
    <w:rPr>
      <w:rFonts w:ascii="Times New Roman" w:hAnsi="Times New Roman"/>
      <w:b/>
      <w:bCs/>
      <w:color w:val="000000"/>
      <w:sz w:val="20"/>
      <w:szCs w:val="20"/>
    </w:rPr>
  </w:style>
  <w:style w:type="paragraph" w:customStyle="1" w:styleId="xl70">
    <w:name w:val="xl70"/>
    <w:basedOn w:val="Normal"/>
    <w:rsid w:val="000C36CF"/>
    <w:pPr>
      <w:spacing w:before="100" w:beforeAutospacing="1" w:after="100" w:afterAutospacing="1"/>
      <w:jc w:val="center"/>
      <w:textAlignment w:val="center"/>
    </w:pPr>
    <w:rPr>
      <w:rFonts w:ascii="Times New Roman" w:hAnsi="Times New Roman"/>
      <w:b/>
      <w:bCs/>
      <w:sz w:val="20"/>
      <w:szCs w:val="20"/>
    </w:rPr>
  </w:style>
  <w:style w:type="paragraph" w:customStyle="1" w:styleId="xl71">
    <w:name w:val="xl71"/>
    <w:basedOn w:val="Normal"/>
    <w:rsid w:val="000C36CF"/>
    <w:pPr>
      <w:pBdr>
        <w:bottom w:val="single" w:sz="4" w:space="0" w:color="auto"/>
      </w:pBdr>
      <w:spacing w:before="100" w:beforeAutospacing="1" w:after="100" w:afterAutospacing="1"/>
      <w:jc w:val="center"/>
      <w:textAlignment w:val="center"/>
    </w:pPr>
    <w:rPr>
      <w:rFonts w:ascii="Times New Roman" w:hAnsi="Times New Roman"/>
      <w:b/>
      <w:bCs/>
      <w:color w:val="000000"/>
      <w:sz w:val="20"/>
      <w:szCs w:val="20"/>
    </w:rPr>
  </w:style>
  <w:style w:type="paragraph" w:customStyle="1" w:styleId="xl72">
    <w:name w:val="xl72"/>
    <w:basedOn w:val="Normal"/>
    <w:rsid w:val="000C36CF"/>
    <w:pPr>
      <w:pBdr>
        <w:bottom w:val="single" w:sz="4" w:space="0" w:color="auto"/>
      </w:pBdr>
      <w:spacing w:before="100" w:beforeAutospacing="1" w:after="100" w:afterAutospacing="1"/>
      <w:jc w:val="center"/>
      <w:textAlignment w:val="center"/>
    </w:pPr>
    <w:rPr>
      <w:rFonts w:ascii="Times New Roman" w:hAnsi="Times New Roman"/>
      <w:b/>
      <w:bCs/>
      <w:sz w:val="20"/>
      <w:szCs w:val="20"/>
    </w:rPr>
  </w:style>
  <w:style w:type="paragraph" w:customStyle="1" w:styleId="xl73">
    <w:name w:val="xl73"/>
    <w:basedOn w:val="Normal"/>
    <w:rsid w:val="000C36CF"/>
    <w:pPr>
      <w:pBdr>
        <w:bottom w:val="single" w:sz="4" w:space="0" w:color="auto"/>
      </w:pBdr>
      <w:spacing w:before="100" w:beforeAutospacing="1" w:after="100" w:afterAutospacing="1"/>
    </w:pPr>
    <w:rPr>
      <w:rFonts w:ascii="Times New Roman" w:hAnsi="Times New Roman"/>
    </w:rPr>
  </w:style>
  <w:style w:type="paragraph" w:customStyle="1" w:styleId="xl74">
    <w:name w:val="xl74"/>
    <w:basedOn w:val="Normal"/>
    <w:rsid w:val="000C36CF"/>
    <w:pPr>
      <w:spacing w:before="100" w:beforeAutospacing="1" w:after="100" w:afterAutospacing="1"/>
      <w:jc w:val="center"/>
      <w:textAlignment w:val="center"/>
    </w:pPr>
    <w:rPr>
      <w:rFonts w:ascii="Times New Roman" w:hAnsi="Times New Roman"/>
      <w:color w:val="000000"/>
      <w:sz w:val="20"/>
      <w:szCs w:val="20"/>
    </w:rPr>
  </w:style>
  <w:style w:type="paragraph" w:customStyle="1" w:styleId="xl75">
    <w:name w:val="xl75"/>
    <w:basedOn w:val="Normal"/>
    <w:rsid w:val="000C36CF"/>
    <w:pPr>
      <w:pBdr>
        <w:bottom w:val="single" w:sz="4" w:space="0" w:color="auto"/>
      </w:pBdr>
      <w:spacing w:before="100" w:beforeAutospacing="1" w:after="100" w:afterAutospacing="1"/>
      <w:jc w:val="center"/>
      <w:textAlignment w:val="center"/>
    </w:pPr>
    <w:rPr>
      <w:rFonts w:ascii="Times New Roman" w:hAnsi="Times New Roman"/>
      <w:color w:val="000000"/>
      <w:sz w:val="20"/>
      <w:szCs w:val="20"/>
    </w:rPr>
  </w:style>
  <w:style w:type="paragraph" w:customStyle="1" w:styleId="xl76">
    <w:name w:val="xl76"/>
    <w:basedOn w:val="Normal"/>
    <w:rsid w:val="000C36CF"/>
    <w:pPr>
      <w:pBdr>
        <w:bottom w:val="single" w:sz="4" w:space="0" w:color="auto"/>
      </w:pBdr>
      <w:spacing w:before="100" w:beforeAutospacing="1" w:after="100" w:afterAutospacing="1"/>
      <w:jc w:val="center"/>
      <w:textAlignment w:val="center"/>
    </w:pPr>
    <w:rPr>
      <w:rFonts w:ascii="Times New Roman" w:hAnsi="Times New Roman"/>
      <w:b/>
      <w:bCs/>
      <w:sz w:val="20"/>
      <w:szCs w:val="20"/>
    </w:rPr>
  </w:style>
  <w:style w:type="paragraph" w:customStyle="1" w:styleId="xl77">
    <w:name w:val="xl77"/>
    <w:basedOn w:val="Normal"/>
    <w:rsid w:val="000C36CF"/>
    <w:pPr>
      <w:spacing w:before="100" w:beforeAutospacing="1" w:after="100" w:afterAutospacing="1"/>
      <w:jc w:val="center"/>
      <w:textAlignment w:val="center"/>
    </w:pPr>
    <w:rPr>
      <w:rFonts w:ascii="Times New Roman" w:hAnsi="Times New Roman"/>
      <w:b/>
      <w:bCs/>
      <w:color w:val="000000"/>
      <w:sz w:val="20"/>
      <w:szCs w:val="20"/>
    </w:rPr>
  </w:style>
  <w:style w:type="paragraph" w:customStyle="1" w:styleId="xl78">
    <w:name w:val="xl78"/>
    <w:basedOn w:val="Normal"/>
    <w:rsid w:val="000C36CF"/>
    <w:pPr>
      <w:spacing w:before="100" w:beforeAutospacing="1" w:after="100" w:afterAutospacing="1"/>
      <w:textAlignment w:val="center"/>
    </w:pPr>
    <w:rPr>
      <w:rFonts w:ascii="Times New Roman" w:hAnsi="Times New Roman"/>
    </w:rPr>
  </w:style>
  <w:style w:type="paragraph" w:customStyle="1" w:styleId="xl79">
    <w:name w:val="xl79"/>
    <w:basedOn w:val="Normal"/>
    <w:rsid w:val="000C36CF"/>
    <w:pPr>
      <w:pBdr>
        <w:bottom w:val="single" w:sz="4" w:space="0" w:color="auto"/>
      </w:pBdr>
      <w:spacing w:before="100" w:beforeAutospacing="1" w:after="100" w:afterAutospacing="1"/>
      <w:jc w:val="center"/>
      <w:textAlignment w:val="center"/>
    </w:pPr>
    <w:rPr>
      <w:rFonts w:ascii="Times New Roman" w:hAnsi="Times New Roman"/>
      <w:b/>
      <w:bCs/>
      <w:color w:val="000000"/>
      <w:sz w:val="20"/>
      <w:szCs w:val="20"/>
    </w:rPr>
  </w:style>
  <w:style w:type="paragraph" w:customStyle="1" w:styleId="xl80">
    <w:name w:val="xl80"/>
    <w:basedOn w:val="Normal"/>
    <w:rsid w:val="000C36CF"/>
    <w:pPr>
      <w:spacing w:before="100" w:beforeAutospacing="1" w:after="100" w:afterAutospacing="1"/>
      <w:jc w:val="center"/>
      <w:textAlignment w:val="center"/>
    </w:pPr>
    <w:rPr>
      <w:rFonts w:ascii="Times New Roman" w:hAnsi="Times New Roman"/>
      <w:b/>
      <w:bCs/>
      <w:sz w:val="20"/>
      <w:szCs w:val="20"/>
    </w:rPr>
  </w:style>
  <w:style w:type="paragraph" w:customStyle="1" w:styleId="xl81">
    <w:name w:val="xl81"/>
    <w:basedOn w:val="Normal"/>
    <w:rsid w:val="000C36CF"/>
    <w:pPr>
      <w:spacing w:before="100" w:beforeAutospacing="1" w:after="100" w:afterAutospacing="1"/>
      <w:jc w:val="center"/>
    </w:pPr>
    <w:rPr>
      <w:rFonts w:ascii="Times New Roman" w:hAnsi="Times New Roman"/>
      <w:b/>
      <w:bCs/>
      <w:sz w:val="20"/>
      <w:szCs w:val="20"/>
    </w:rPr>
  </w:style>
  <w:style w:type="character" w:styleId="LineNumber">
    <w:name w:val="line number"/>
    <w:basedOn w:val="DefaultParagraphFont"/>
    <w:uiPriority w:val="99"/>
    <w:semiHidden/>
    <w:unhideWhenUsed/>
    <w:rsid w:val="00545F21"/>
  </w:style>
  <w:style w:type="paragraph" w:styleId="Revision">
    <w:name w:val="Revision"/>
    <w:hidden/>
    <w:uiPriority w:val="99"/>
    <w:semiHidden/>
    <w:rsid w:val="00FA701B"/>
    <w:rPr>
      <w:rFonts w:eastAsia="Times New Roman"/>
      <w:sz w:val="24"/>
      <w:szCs w:val="24"/>
      <w:lang w:val="en-US" w:eastAsia="en-US"/>
    </w:rPr>
  </w:style>
  <w:style w:type="character" w:styleId="UnresolvedMention">
    <w:name w:val="Unresolved Mention"/>
    <w:uiPriority w:val="99"/>
    <w:semiHidden/>
    <w:unhideWhenUsed/>
    <w:rsid w:val="00D12CC8"/>
    <w:rPr>
      <w:color w:val="605E5C"/>
      <w:shd w:val="clear" w:color="auto" w:fill="E1DFDD"/>
    </w:rPr>
  </w:style>
  <w:style w:type="table" w:styleId="TableGrid">
    <w:name w:val="Table Grid"/>
    <w:basedOn w:val="TableNormal"/>
    <w:uiPriority w:val="39"/>
    <w:rsid w:val="0080644E"/>
    <w:rPr>
      <w:rFonts w:eastAsia="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ACB"/>
    <w:pPr>
      <w:tabs>
        <w:tab w:val="center" w:pos="4513"/>
        <w:tab w:val="right" w:pos="9026"/>
      </w:tabs>
    </w:pPr>
  </w:style>
  <w:style w:type="character" w:customStyle="1" w:styleId="HeaderChar">
    <w:name w:val="Header Char"/>
    <w:link w:val="Header"/>
    <w:uiPriority w:val="99"/>
    <w:rsid w:val="00931ACB"/>
    <w:rPr>
      <w:rFonts w:eastAsia="Times New Roman"/>
      <w:sz w:val="24"/>
      <w:szCs w:val="24"/>
      <w:lang w:val="en-US"/>
    </w:rPr>
  </w:style>
  <w:style w:type="paragraph" w:styleId="Footer">
    <w:name w:val="footer"/>
    <w:basedOn w:val="Normal"/>
    <w:link w:val="FooterChar"/>
    <w:uiPriority w:val="99"/>
    <w:unhideWhenUsed/>
    <w:rsid w:val="00931ACB"/>
    <w:pPr>
      <w:tabs>
        <w:tab w:val="center" w:pos="4513"/>
        <w:tab w:val="right" w:pos="9026"/>
      </w:tabs>
    </w:pPr>
  </w:style>
  <w:style w:type="character" w:customStyle="1" w:styleId="FooterChar">
    <w:name w:val="Footer Char"/>
    <w:link w:val="Footer"/>
    <w:uiPriority w:val="99"/>
    <w:rsid w:val="00931ACB"/>
    <w:rPr>
      <w:rFonts w:eastAsia="Times New Roman"/>
      <w:sz w:val="24"/>
      <w:szCs w:val="24"/>
      <w:lang w:val="en-US"/>
    </w:rPr>
  </w:style>
  <w:style w:type="paragraph" w:customStyle="1" w:styleId="paragraph">
    <w:name w:val="paragraph"/>
    <w:basedOn w:val="Normal"/>
    <w:rsid w:val="00F70B8A"/>
    <w:pPr>
      <w:spacing w:before="100" w:beforeAutospacing="1" w:after="100" w:afterAutospacing="1"/>
    </w:pPr>
    <w:rPr>
      <w:rFonts w:ascii="Times New Roman" w:hAnsi="Times New Roman"/>
      <w:lang w:val="en-IN" w:eastAsia="en-IN"/>
    </w:rPr>
  </w:style>
  <w:style w:type="character" w:customStyle="1" w:styleId="eop">
    <w:name w:val="eop"/>
    <w:basedOn w:val="DefaultParagraphFont"/>
    <w:rsid w:val="00F70B8A"/>
  </w:style>
  <w:style w:type="character" w:customStyle="1" w:styleId="normaltextrun">
    <w:name w:val="normaltextrun"/>
    <w:basedOn w:val="DefaultParagraphFont"/>
    <w:rsid w:val="00F70B8A"/>
  </w:style>
  <w:style w:type="character" w:styleId="Strong">
    <w:name w:val="Strong"/>
    <w:uiPriority w:val="22"/>
    <w:qFormat/>
    <w:rsid w:val="00DB1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9618">
      <w:bodyDiv w:val="1"/>
      <w:marLeft w:val="0"/>
      <w:marRight w:val="0"/>
      <w:marTop w:val="0"/>
      <w:marBottom w:val="0"/>
      <w:divBdr>
        <w:top w:val="none" w:sz="0" w:space="0" w:color="auto"/>
        <w:left w:val="none" w:sz="0" w:space="0" w:color="auto"/>
        <w:bottom w:val="none" w:sz="0" w:space="0" w:color="auto"/>
        <w:right w:val="none" w:sz="0" w:space="0" w:color="auto"/>
      </w:divBdr>
    </w:div>
    <w:div w:id="301270175">
      <w:bodyDiv w:val="1"/>
      <w:marLeft w:val="0"/>
      <w:marRight w:val="0"/>
      <w:marTop w:val="0"/>
      <w:marBottom w:val="0"/>
      <w:divBdr>
        <w:top w:val="none" w:sz="0" w:space="0" w:color="auto"/>
        <w:left w:val="none" w:sz="0" w:space="0" w:color="auto"/>
        <w:bottom w:val="none" w:sz="0" w:space="0" w:color="auto"/>
        <w:right w:val="none" w:sz="0" w:space="0" w:color="auto"/>
      </w:divBdr>
    </w:div>
    <w:div w:id="556205226">
      <w:bodyDiv w:val="1"/>
      <w:marLeft w:val="0"/>
      <w:marRight w:val="0"/>
      <w:marTop w:val="0"/>
      <w:marBottom w:val="0"/>
      <w:divBdr>
        <w:top w:val="none" w:sz="0" w:space="0" w:color="auto"/>
        <w:left w:val="none" w:sz="0" w:space="0" w:color="auto"/>
        <w:bottom w:val="none" w:sz="0" w:space="0" w:color="auto"/>
        <w:right w:val="none" w:sz="0" w:space="0" w:color="auto"/>
      </w:divBdr>
    </w:div>
    <w:div w:id="598637466">
      <w:bodyDiv w:val="1"/>
      <w:marLeft w:val="0"/>
      <w:marRight w:val="0"/>
      <w:marTop w:val="0"/>
      <w:marBottom w:val="0"/>
      <w:divBdr>
        <w:top w:val="none" w:sz="0" w:space="0" w:color="auto"/>
        <w:left w:val="none" w:sz="0" w:space="0" w:color="auto"/>
        <w:bottom w:val="none" w:sz="0" w:space="0" w:color="auto"/>
        <w:right w:val="none" w:sz="0" w:space="0" w:color="auto"/>
      </w:divBdr>
    </w:div>
    <w:div w:id="835194432">
      <w:bodyDiv w:val="1"/>
      <w:marLeft w:val="0"/>
      <w:marRight w:val="0"/>
      <w:marTop w:val="0"/>
      <w:marBottom w:val="0"/>
      <w:divBdr>
        <w:top w:val="none" w:sz="0" w:space="0" w:color="auto"/>
        <w:left w:val="none" w:sz="0" w:space="0" w:color="auto"/>
        <w:bottom w:val="none" w:sz="0" w:space="0" w:color="auto"/>
        <w:right w:val="none" w:sz="0" w:space="0" w:color="auto"/>
      </w:divBdr>
    </w:div>
    <w:div w:id="844787881">
      <w:bodyDiv w:val="1"/>
      <w:marLeft w:val="0"/>
      <w:marRight w:val="0"/>
      <w:marTop w:val="0"/>
      <w:marBottom w:val="0"/>
      <w:divBdr>
        <w:top w:val="none" w:sz="0" w:space="0" w:color="auto"/>
        <w:left w:val="none" w:sz="0" w:space="0" w:color="auto"/>
        <w:bottom w:val="none" w:sz="0" w:space="0" w:color="auto"/>
        <w:right w:val="none" w:sz="0" w:space="0" w:color="auto"/>
      </w:divBdr>
    </w:div>
    <w:div w:id="858469739">
      <w:bodyDiv w:val="1"/>
      <w:marLeft w:val="0"/>
      <w:marRight w:val="0"/>
      <w:marTop w:val="0"/>
      <w:marBottom w:val="0"/>
      <w:divBdr>
        <w:top w:val="none" w:sz="0" w:space="0" w:color="auto"/>
        <w:left w:val="none" w:sz="0" w:space="0" w:color="auto"/>
        <w:bottom w:val="none" w:sz="0" w:space="0" w:color="auto"/>
        <w:right w:val="none" w:sz="0" w:space="0" w:color="auto"/>
      </w:divBdr>
    </w:div>
    <w:div w:id="903873349">
      <w:bodyDiv w:val="1"/>
      <w:marLeft w:val="0"/>
      <w:marRight w:val="0"/>
      <w:marTop w:val="0"/>
      <w:marBottom w:val="0"/>
      <w:divBdr>
        <w:top w:val="none" w:sz="0" w:space="0" w:color="auto"/>
        <w:left w:val="none" w:sz="0" w:space="0" w:color="auto"/>
        <w:bottom w:val="none" w:sz="0" w:space="0" w:color="auto"/>
        <w:right w:val="none" w:sz="0" w:space="0" w:color="auto"/>
      </w:divBdr>
    </w:div>
    <w:div w:id="1081680795">
      <w:bodyDiv w:val="1"/>
      <w:marLeft w:val="0"/>
      <w:marRight w:val="0"/>
      <w:marTop w:val="0"/>
      <w:marBottom w:val="0"/>
      <w:divBdr>
        <w:top w:val="none" w:sz="0" w:space="0" w:color="auto"/>
        <w:left w:val="none" w:sz="0" w:space="0" w:color="auto"/>
        <w:bottom w:val="none" w:sz="0" w:space="0" w:color="auto"/>
        <w:right w:val="none" w:sz="0" w:space="0" w:color="auto"/>
      </w:divBdr>
    </w:div>
    <w:div w:id="1188913160">
      <w:bodyDiv w:val="1"/>
      <w:marLeft w:val="0"/>
      <w:marRight w:val="0"/>
      <w:marTop w:val="0"/>
      <w:marBottom w:val="0"/>
      <w:divBdr>
        <w:top w:val="none" w:sz="0" w:space="0" w:color="auto"/>
        <w:left w:val="none" w:sz="0" w:space="0" w:color="auto"/>
        <w:bottom w:val="none" w:sz="0" w:space="0" w:color="auto"/>
        <w:right w:val="none" w:sz="0" w:space="0" w:color="auto"/>
      </w:divBdr>
    </w:div>
    <w:div w:id="1278364865">
      <w:bodyDiv w:val="1"/>
      <w:marLeft w:val="0"/>
      <w:marRight w:val="0"/>
      <w:marTop w:val="0"/>
      <w:marBottom w:val="0"/>
      <w:divBdr>
        <w:top w:val="none" w:sz="0" w:space="0" w:color="auto"/>
        <w:left w:val="none" w:sz="0" w:space="0" w:color="auto"/>
        <w:bottom w:val="none" w:sz="0" w:space="0" w:color="auto"/>
        <w:right w:val="none" w:sz="0" w:space="0" w:color="auto"/>
      </w:divBdr>
    </w:div>
    <w:div w:id="1392195377">
      <w:bodyDiv w:val="1"/>
      <w:marLeft w:val="0"/>
      <w:marRight w:val="0"/>
      <w:marTop w:val="0"/>
      <w:marBottom w:val="0"/>
      <w:divBdr>
        <w:top w:val="none" w:sz="0" w:space="0" w:color="auto"/>
        <w:left w:val="none" w:sz="0" w:space="0" w:color="auto"/>
        <w:bottom w:val="none" w:sz="0" w:space="0" w:color="auto"/>
        <w:right w:val="none" w:sz="0" w:space="0" w:color="auto"/>
      </w:divBdr>
      <w:divsChild>
        <w:div w:id="138573644">
          <w:marLeft w:val="0"/>
          <w:marRight w:val="0"/>
          <w:marTop w:val="0"/>
          <w:marBottom w:val="0"/>
          <w:divBdr>
            <w:top w:val="none" w:sz="0" w:space="0" w:color="auto"/>
            <w:left w:val="none" w:sz="0" w:space="0" w:color="auto"/>
            <w:bottom w:val="none" w:sz="0" w:space="0" w:color="auto"/>
            <w:right w:val="none" w:sz="0" w:space="0" w:color="auto"/>
          </w:divBdr>
          <w:divsChild>
            <w:div w:id="1213465083">
              <w:marLeft w:val="0"/>
              <w:marRight w:val="0"/>
              <w:marTop w:val="0"/>
              <w:marBottom w:val="0"/>
              <w:divBdr>
                <w:top w:val="none" w:sz="0" w:space="0" w:color="auto"/>
                <w:left w:val="none" w:sz="0" w:space="0" w:color="auto"/>
                <w:bottom w:val="none" w:sz="0" w:space="0" w:color="auto"/>
                <w:right w:val="none" w:sz="0" w:space="0" w:color="auto"/>
              </w:divBdr>
            </w:div>
          </w:divsChild>
        </w:div>
        <w:div w:id="1490362092">
          <w:marLeft w:val="0"/>
          <w:marRight w:val="0"/>
          <w:marTop w:val="0"/>
          <w:marBottom w:val="0"/>
          <w:divBdr>
            <w:top w:val="none" w:sz="0" w:space="0" w:color="auto"/>
            <w:left w:val="none" w:sz="0" w:space="0" w:color="auto"/>
            <w:bottom w:val="none" w:sz="0" w:space="0" w:color="auto"/>
            <w:right w:val="none" w:sz="0" w:space="0" w:color="auto"/>
          </w:divBdr>
          <w:divsChild>
            <w:div w:id="10557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6005">
      <w:bodyDiv w:val="1"/>
      <w:marLeft w:val="0"/>
      <w:marRight w:val="0"/>
      <w:marTop w:val="0"/>
      <w:marBottom w:val="0"/>
      <w:divBdr>
        <w:top w:val="none" w:sz="0" w:space="0" w:color="auto"/>
        <w:left w:val="none" w:sz="0" w:space="0" w:color="auto"/>
        <w:bottom w:val="none" w:sz="0" w:space="0" w:color="auto"/>
        <w:right w:val="none" w:sz="0" w:space="0" w:color="auto"/>
      </w:divBdr>
    </w:div>
    <w:div w:id="1598442711">
      <w:bodyDiv w:val="1"/>
      <w:marLeft w:val="0"/>
      <w:marRight w:val="0"/>
      <w:marTop w:val="0"/>
      <w:marBottom w:val="0"/>
      <w:divBdr>
        <w:top w:val="none" w:sz="0" w:space="0" w:color="auto"/>
        <w:left w:val="none" w:sz="0" w:space="0" w:color="auto"/>
        <w:bottom w:val="none" w:sz="0" w:space="0" w:color="auto"/>
        <w:right w:val="none" w:sz="0" w:space="0" w:color="auto"/>
      </w:divBdr>
      <w:divsChild>
        <w:div w:id="961425936">
          <w:marLeft w:val="835"/>
          <w:marRight w:val="0"/>
          <w:marTop w:val="0"/>
          <w:marBottom w:val="120"/>
          <w:divBdr>
            <w:top w:val="none" w:sz="0" w:space="0" w:color="auto"/>
            <w:left w:val="none" w:sz="0" w:space="0" w:color="auto"/>
            <w:bottom w:val="none" w:sz="0" w:space="0" w:color="auto"/>
            <w:right w:val="none" w:sz="0" w:space="0" w:color="auto"/>
          </w:divBdr>
        </w:div>
        <w:div w:id="1745299645">
          <w:marLeft w:val="835"/>
          <w:marRight w:val="0"/>
          <w:marTop w:val="0"/>
          <w:marBottom w:val="120"/>
          <w:divBdr>
            <w:top w:val="none" w:sz="0" w:space="0" w:color="auto"/>
            <w:left w:val="none" w:sz="0" w:space="0" w:color="auto"/>
            <w:bottom w:val="none" w:sz="0" w:space="0" w:color="auto"/>
            <w:right w:val="none" w:sz="0" w:space="0" w:color="auto"/>
          </w:divBdr>
        </w:div>
      </w:divsChild>
    </w:div>
    <w:div w:id="1613323391">
      <w:bodyDiv w:val="1"/>
      <w:marLeft w:val="0"/>
      <w:marRight w:val="0"/>
      <w:marTop w:val="0"/>
      <w:marBottom w:val="0"/>
      <w:divBdr>
        <w:top w:val="none" w:sz="0" w:space="0" w:color="auto"/>
        <w:left w:val="none" w:sz="0" w:space="0" w:color="auto"/>
        <w:bottom w:val="none" w:sz="0" w:space="0" w:color="auto"/>
        <w:right w:val="none" w:sz="0" w:space="0" w:color="auto"/>
      </w:divBdr>
      <w:divsChild>
        <w:div w:id="1201286297">
          <w:marLeft w:val="360"/>
          <w:marRight w:val="0"/>
          <w:marTop w:val="200"/>
          <w:marBottom w:val="0"/>
          <w:divBdr>
            <w:top w:val="none" w:sz="0" w:space="0" w:color="auto"/>
            <w:left w:val="none" w:sz="0" w:space="0" w:color="auto"/>
            <w:bottom w:val="none" w:sz="0" w:space="0" w:color="auto"/>
            <w:right w:val="none" w:sz="0" w:space="0" w:color="auto"/>
          </w:divBdr>
        </w:div>
        <w:div w:id="260799349">
          <w:marLeft w:val="360"/>
          <w:marRight w:val="0"/>
          <w:marTop w:val="200"/>
          <w:marBottom w:val="0"/>
          <w:divBdr>
            <w:top w:val="none" w:sz="0" w:space="0" w:color="auto"/>
            <w:left w:val="none" w:sz="0" w:space="0" w:color="auto"/>
            <w:bottom w:val="none" w:sz="0" w:space="0" w:color="auto"/>
            <w:right w:val="none" w:sz="0" w:space="0" w:color="auto"/>
          </w:divBdr>
        </w:div>
      </w:divsChild>
    </w:div>
    <w:div w:id="1698118620">
      <w:bodyDiv w:val="1"/>
      <w:marLeft w:val="0"/>
      <w:marRight w:val="0"/>
      <w:marTop w:val="0"/>
      <w:marBottom w:val="0"/>
      <w:divBdr>
        <w:top w:val="none" w:sz="0" w:space="0" w:color="auto"/>
        <w:left w:val="none" w:sz="0" w:space="0" w:color="auto"/>
        <w:bottom w:val="none" w:sz="0" w:space="0" w:color="auto"/>
        <w:right w:val="none" w:sz="0" w:space="0" w:color="auto"/>
      </w:divBdr>
    </w:div>
    <w:div w:id="1870605899">
      <w:bodyDiv w:val="1"/>
      <w:marLeft w:val="0"/>
      <w:marRight w:val="0"/>
      <w:marTop w:val="0"/>
      <w:marBottom w:val="0"/>
      <w:divBdr>
        <w:top w:val="none" w:sz="0" w:space="0" w:color="auto"/>
        <w:left w:val="none" w:sz="0" w:space="0" w:color="auto"/>
        <w:bottom w:val="none" w:sz="0" w:space="0" w:color="auto"/>
        <w:right w:val="none" w:sz="0" w:space="0" w:color="auto"/>
      </w:divBdr>
    </w:div>
    <w:div w:id="1905799504">
      <w:bodyDiv w:val="1"/>
      <w:marLeft w:val="0"/>
      <w:marRight w:val="0"/>
      <w:marTop w:val="0"/>
      <w:marBottom w:val="0"/>
      <w:divBdr>
        <w:top w:val="none" w:sz="0" w:space="0" w:color="auto"/>
        <w:left w:val="none" w:sz="0" w:space="0" w:color="auto"/>
        <w:bottom w:val="none" w:sz="0" w:space="0" w:color="auto"/>
        <w:right w:val="none" w:sz="0" w:space="0" w:color="auto"/>
      </w:divBdr>
    </w:div>
    <w:div w:id="1914662386">
      <w:bodyDiv w:val="1"/>
      <w:marLeft w:val="0"/>
      <w:marRight w:val="0"/>
      <w:marTop w:val="0"/>
      <w:marBottom w:val="0"/>
      <w:divBdr>
        <w:top w:val="none" w:sz="0" w:space="0" w:color="auto"/>
        <w:left w:val="none" w:sz="0" w:space="0" w:color="auto"/>
        <w:bottom w:val="none" w:sz="0" w:space="0" w:color="auto"/>
        <w:right w:val="none" w:sz="0" w:space="0" w:color="auto"/>
      </w:divBdr>
      <w:divsChild>
        <w:div w:id="1460759240">
          <w:marLeft w:val="0"/>
          <w:marRight w:val="0"/>
          <w:marTop w:val="0"/>
          <w:marBottom w:val="0"/>
          <w:divBdr>
            <w:top w:val="none" w:sz="0" w:space="0" w:color="auto"/>
            <w:left w:val="none" w:sz="0" w:space="0" w:color="auto"/>
            <w:bottom w:val="none" w:sz="0" w:space="0" w:color="auto"/>
            <w:right w:val="none" w:sz="0" w:space="0" w:color="auto"/>
          </w:divBdr>
        </w:div>
        <w:div w:id="35149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ar.jog@ab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1CDE7-5521-4ABC-B2A6-3D4F26B0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4857</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32484</CharactersWithSpaces>
  <SharedDoc>false</SharedDoc>
  <HLinks>
    <vt:vector size="6" baseType="variant">
      <vt:variant>
        <vt:i4>2228305</vt:i4>
      </vt:variant>
      <vt:variant>
        <vt:i4>0</vt:i4>
      </vt:variant>
      <vt:variant>
        <vt:i4>0</vt:i4>
      </vt:variant>
      <vt:variant>
        <vt:i4>5</vt:i4>
      </vt:variant>
      <vt:variant>
        <vt:lpwstr>mailto:mandar.jog@abc.com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dc:creator>
  <cp:keywords/>
  <dc:description/>
  <cp:lastModifiedBy>Ayush Kasliwal</cp:lastModifiedBy>
  <cp:revision>2</cp:revision>
  <dcterms:created xsi:type="dcterms:W3CDTF">2023-10-31T08:37:00Z</dcterms:created>
  <dcterms:modified xsi:type="dcterms:W3CDTF">2023-10-31T08:37:00Z</dcterms:modified>
</cp:coreProperties>
</file>