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hd w:fill="1A3A5C" w:val="clear"/>
        <w:spacing w:after="40" w:before="200"/>
        <w:jc w:val="center"/>
      </w:pPr>
      <w:r>
        <w:rPr>
          <w:rFonts w:ascii="Calibri" w:cs="Calibri" w:eastAsia="Calibri" w:hAnsi="Calibri"/>
          <w:b/>
          <w:bCs/>
          <w:color w:val="FFFFFF"/>
          <w:sz w:val="44"/>
          <w:szCs w:val="44"/>
        </w:rPr>
        <w:t xml:space="preserve">FICHE PEDAGOGIQUE</w:t>
      </w:r>
    </w:p>
    <w:p>
      <w:pPr>
        <w:shd w:fill="1A3A5C" w:val="clear"/>
        <w:spacing w:after="20" w:before="0"/>
        <w:jc w:val="center"/>
      </w:pPr>
      <w:r>
        <w:rPr>
          <w:rFonts w:ascii="Calibri" w:cs="Calibri" w:eastAsia="Calibri" w:hAnsi="Calibri"/>
          <w:b/>
          <w:bCs/>
          <w:color w:val="AED6F1"/>
          <w:sz w:val="32"/>
          <w:szCs w:val="32"/>
        </w:rPr>
        <w:t xml:space="preserve">Bioinformatique Pratique et Genomique</w:t>
      </w:r>
    </w:p>
    <w:p>
      <w:pPr>
        <w:shd w:fill="1A3A5C" w:val="clear"/>
        <w:spacing w:after="200" w:before="0"/>
        <w:jc w:val="center"/>
      </w:pPr>
      <w:r>
        <w:rPr>
          <w:rFonts w:ascii="Calibri" w:cs="Calibri" w:eastAsia="Calibri" w:hAnsi="Calibri"/>
          <w:color w:val="BDC3C7"/>
          <w:sz w:val="22"/>
          <w:szCs w:val="22"/>
        </w:rPr>
        <w:t xml:space="preserve">Formation intensive  -  15 heures  -  2 jours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bCs/>
                <w:color w:val="1A3A5C"/>
                <w:sz w:val="19"/>
                <w:szCs w:val="19"/>
              </w:rPr>
              <w:t xml:space="preserve">Formation</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9"/>
                <w:szCs w:val="19"/>
              </w:rPr>
              <w:t xml:space="preserve">Master Biotechnologies de la sante et medecine</w:t>
            </w:r>
          </w:p>
        </w:tc>
      </w:tr>
      <w:tr>
        <w:tc>
          <w:tcPr>
            <w:tcW w:type="dxa" w:w="28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bCs/>
                <w:color w:val="1A3A5C"/>
                <w:sz w:val="19"/>
                <w:szCs w:val="19"/>
              </w:rPr>
              <w:t xml:space="preserve">Public cible</w:t>
            </w:r>
          </w:p>
        </w:tc>
        <w:tc>
          <w:tcPr>
            <w:tcW w:type="dxa" w:w="65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9"/>
                <w:szCs w:val="19"/>
              </w:rPr>
              <w:t xml:space="preserve">Etudiants en Master (1re-2e annee), 15-25 participants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bCs/>
                <w:color w:val="1A3A5C"/>
                <w:sz w:val="19"/>
                <w:szCs w:val="19"/>
              </w:rPr>
              <w:t xml:space="preserve">Type d'enseignement</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9"/>
                <w:szCs w:val="19"/>
              </w:rPr>
              <w:t xml:space="preserve">Travaux pratiques / Seminaire intensif (2 journees completes)</w:t>
            </w:r>
          </w:p>
        </w:tc>
      </w:tr>
      <w:tr>
        <w:tc>
          <w:tcPr>
            <w:tcW w:type="dxa" w:w="28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bCs/>
                <w:color w:val="1A3A5C"/>
                <w:sz w:val="19"/>
                <w:szCs w:val="19"/>
              </w:rPr>
              <w:t xml:space="preserve">Duree totale</w:t>
            </w:r>
          </w:p>
        </w:tc>
        <w:tc>
          <w:tcPr>
            <w:tcW w:type="dxa" w:w="65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9"/>
                <w:szCs w:val="19"/>
              </w:rPr>
              <w:t xml:space="preserve">15h de cours  -  Format compacte 2 x journee complete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bCs/>
                <w:color w:val="1A3A5C"/>
                <w:sz w:val="19"/>
                <w:szCs w:val="19"/>
              </w:rPr>
              <w:t xml:space="preserve">Format</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9"/>
                <w:szCs w:val="19"/>
              </w:rPr>
              <w:t xml:space="preserve">4 demi-journees d'environ 3h45 de temps net chacune</w:t>
            </w:r>
          </w:p>
        </w:tc>
      </w:tr>
      <w:tr>
        <w:tc>
          <w:tcPr>
            <w:tcW w:type="dxa" w:w="28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bCs/>
                <w:color w:val="1A3A5C"/>
                <w:sz w:val="19"/>
                <w:szCs w:val="19"/>
              </w:rPr>
              <w:t xml:space="preserve">Modele didactique</w:t>
            </w:r>
          </w:p>
        </w:tc>
        <w:tc>
          <w:tcPr>
            <w:tcW w:type="dxa" w:w="65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9"/>
                <w:szCs w:val="19"/>
              </w:rPr>
              <w:t xml:space="preserve">Apprentissage par problemes (APP)  -  Apprentissage cooperatif  -  Pedagogie par l'action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bCs/>
                <w:color w:val="1A3A5C"/>
                <w:sz w:val="19"/>
                <w:szCs w:val="19"/>
              </w:rPr>
              <w:t xml:space="preserve">Langue</w:t>
            </w:r>
          </w:p>
        </w:tc>
        <w:tc>
          <w:tcPr>
            <w:tcW w:type="dxa" w:w="6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9"/>
                <w:szCs w:val="19"/>
              </w:rPr>
              <w:t xml:space="preserve">Anglais (terminologie scientifique) / Francais (niveau meta)</w:t>
            </w:r>
          </w:p>
        </w:tc>
      </w:tr>
      <w:tr>
        <w:tc>
          <w:tcPr>
            <w:tcW w:type="dxa" w:w="28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bCs/>
                <w:color w:val="1A3A5C"/>
                <w:sz w:val="19"/>
                <w:szCs w:val="19"/>
              </w:rPr>
              <w:t xml:space="preserve">Prerequis</w:t>
            </w:r>
          </w:p>
        </w:tc>
        <w:tc>
          <w:tcPr>
            <w:tcW w:type="dxa" w:w="65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9"/>
                <w:szCs w:val="19"/>
              </w:rPr>
              <w:t xml:space="preserve">Bases de biologie moleculaire, statistiques elementaires, utilisation courante du PC</w:t>
            </w:r>
          </w:p>
        </w:tc>
      </w:tr>
    </w:tbl>
    <w:p>
      <w:pPr>
        <w:spacing w:after="200" w:before="0"/>
      </w:pPr>
      <w:r>
        <w:t xml:space="preserve"/>
      </w:r>
    </w:p>
    <w:p>
      <w:pPr>
        <w:pStyle w:val="Heading1"/>
      </w:pPr>
      <w:r>
        <w:rPr>
          <w:rFonts w:ascii="Calibri" w:cs="Calibri" w:eastAsia="Calibri" w:hAnsi="Calibri"/>
          <w:b/>
          <w:bCs/>
          <w:color w:val="FFFFFF"/>
          <w:sz w:val="28"/>
          <w:szCs w:val="28"/>
        </w:rPr>
        <w:t xml:space="preserve">1  Fondements didactiques et objectifs d'apprentissage</w:t>
      </w:r>
    </w:p>
    <w:p>
      <w:pPr>
        <w:spacing w:after="60" w:before="0"/>
      </w:pPr>
      <w:r>
        <w:t xml:space="preserve"/>
      </w:r>
    </w:p>
    <w:p>
      <w:pPr>
        <w:pStyle w:val="Heading2"/>
      </w:pPr>
      <w:r>
        <w:rPr>
          <w:rFonts w:ascii="Calibri" w:cs="Calibri" w:eastAsia="Calibri" w:hAnsi="Calibri"/>
          <w:b/>
          <w:bCs/>
          <w:color w:val="1A3A5C"/>
          <w:sz w:val="24"/>
          <w:szCs w:val="24"/>
        </w:rPr>
        <w:t xml:space="preserve">1.1  Pertinence et orientation professionnelle</w:t>
      </w:r>
    </w:p>
    <w:p>
      <w:pPr>
        <w:spacing w:after="80" w:before="0" w:line="160"/>
        <w:jc w:val="left"/>
      </w:pPr>
      <w:r>
        <w:rPr>
          <w:rFonts w:ascii="Calibri" w:cs="Calibri" w:eastAsia="Calibri" w:hAnsi="Calibri"/>
          <w:b w:val="false"/>
          <w:bCs w:val="false"/>
          <w:color w:val="2C3E50"/>
          <w:sz w:val="20"/>
          <w:szCs w:val="20"/>
        </w:rPr>
        <w:t xml:space="preserve">La bioinformatique et la genomique sont des competences cles de la recherche biomedicale moderne et du diagnostic clinique. Les diplomes exerceront dans des etablissements academiques (centres Helmholtz, CHU) ou dans l'industrie (pharmaceutique, dispositifs medicaux). Ce cours prepare aux profils suivants :</w:t>
      </w:r>
    </w:p>
    <w:p>
      <w:pPr>
        <w:spacing w:after="40" w:before="0"/>
      </w:pPr>
      <w:r>
        <w:t xml:space="preserve"/>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Bioinformaticien(ne) en laboratoire de diagnostic genomique (panels NGS, classification des variants)</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Data Scientist en recherche translationnelle (Single-Cell, Multiomics)</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Chercheur(euse) dans des instituts tels que le DKFZ, le BIH ou les centres Helmholtz</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Specialiste affaires reglementaires avec competences bioinformatiques (contexte IVD, EU AI Act)</w:t>
      </w:r>
    </w:p>
    <w:p>
      <w:pPr>
        <w:spacing w:after="100" w:before="0"/>
      </w:pPr>
      <w:r>
        <w:t xml:space="preserve"/>
      </w:r>
    </w:p>
    <w:p>
      <w:pPr>
        <w:pStyle w:val="Heading2"/>
      </w:pPr>
      <w:r>
        <w:rPr>
          <w:rFonts w:ascii="Calibri" w:cs="Calibri" w:eastAsia="Calibri" w:hAnsi="Calibri"/>
          <w:b/>
          <w:bCs/>
          <w:color w:val="1A3A5C"/>
          <w:sz w:val="24"/>
          <w:szCs w:val="24"/>
        </w:rPr>
        <w:t xml:space="preserve">1.2  Approche didactique : apprentissage par problemes et pedagogie par l'action</w:t>
      </w:r>
    </w:p>
    <w:p>
      <w:pPr>
        <w:spacing w:after="80" w:before="0" w:line="160"/>
        <w:jc w:val="left"/>
      </w:pPr>
      <w:r>
        <w:rPr>
          <w:rFonts w:ascii="Calibri" w:cs="Calibri" w:eastAsia="Calibri" w:hAnsi="Calibri"/>
          <w:b w:val="false"/>
          <w:bCs w:val="false"/>
          <w:color w:val="2C3E50"/>
          <w:sz w:val="20"/>
          <w:szCs w:val="20"/>
        </w:rPr>
        <w:t xml:space="preserve">Le cours suit les principes de l'Apprentissage par Problemes (APP, d'apres Barrows) et de l'apprentissage situe (Lave &amp; Wenger). Chaque unite s'ouvre sur une situation-probleme realiste simulant des prises de decision authentiques du monde professionnel.</w:t>
      </w:r>
    </w:p>
    <w:p>
      <w:pPr>
        <w:spacing w:after="80" w:before="0"/>
      </w:pPr>
      <w:r>
        <w:t xml:space="preserve"/>
      </w:r>
    </w:p>
    <w:p>
      <w:pPr>
        <w:pBdr>
          <w:left w:val="single" w:color="1A3A5C" w:sz="12" w:space="8"/>
        </w:pBdr>
        <w:shd w:fill="EBF5FB" w:val="clear"/>
        <w:spacing w:after="80" w:before="80" w:line="160"/>
        <w:ind w:left="180" w:right="180"/>
      </w:pPr>
      <w:r>
        <w:rPr>
          <w:rFonts w:ascii="Calibri" w:cs="Calibri" w:eastAsia="Calibri" w:hAnsi="Calibri"/>
          <w:color w:val="1A3A5C"/>
          <w:sz w:val="20"/>
          <w:szCs w:val="20"/>
        </w:rPr>
        <w:t xml:space="preserve">Principe central : non pas "Quelle est la commande ?" - mais "Comment resoudre ce probleme biologique et technique dans des conditions reelles ?"</w:t>
      </w:r>
    </w:p>
    <w:p>
      <w:pPr>
        <w:spacing w:after="100" w:before="0"/>
      </w:pPr>
      <w:r>
        <w:t xml:space="preserve"/>
      </w:r>
    </w:p>
    <w:p>
      <w:pPr>
        <w:pStyle w:val="Heading2"/>
      </w:pPr>
      <w:r>
        <w:rPr>
          <w:rFonts w:ascii="Calibri" w:cs="Calibri" w:eastAsia="Calibri" w:hAnsi="Calibri"/>
          <w:b/>
          <w:bCs/>
          <w:color w:val="1A3A5C"/>
          <w:sz w:val="24"/>
          <w:szCs w:val="24"/>
        </w:rPr>
        <w:t xml:space="preserve">1.3  Objectifs d'apprentissage (Taxonomie de Bloom)</w:t>
      </w:r>
    </w:p>
    <w:p>
      <w:pPr>
        <w:pStyle w:val="Heading3"/>
      </w:pPr>
      <w:r>
        <w:rPr>
          <w:rFonts w:ascii="Calibri" w:cs="Calibri" w:eastAsia="Calibri" w:hAnsi="Calibri"/>
          <w:b/>
          <w:bCs/>
          <w:color w:val="2980B9"/>
          <w:sz w:val="21"/>
          <w:szCs w:val="21"/>
        </w:rPr>
        <w:t xml:space="preserve">Objectifs cognitifs</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CONNAISSANCE : Nommer et comparer les principes des technologies NGS (Illumina, ONT, PacBio)</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COMPREHENSION : Expliquer le lien entre protocole de laboratoire, donnees brutes et analyse bioinformatique</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APPLICATION : Utiliser les outils standards (FastQC, GATK, Seurat, QIIME2) pour des questions specifiques</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ANALYSE : Interpreter les rapports QC, identifier les sources d'erreurs et les justifier methodologiquement</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EVALUATION : Evaluer critiquement les workflows bioinformatiques et les adapter a de nouvelles questions</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SYNTHESE : Concevoir et documenter de maniere autonome un workflow d'analyse complet</w:t>
      </w:r>
    </w:p>
    <w:p>
      <w:pPr>
        <w:spacing w:after="80" w:before="0"/>
      </w:pPr>
      <w:r>
        <w:t xml:space="preserve"/>
      </w:r>
    </w:p>
    <w:p>
      <w:pPr>
        <w:pStyle w:val="Heading3"/>
      </w:pPr>
      <w:r>
        <w:rPr>
          <w:rFonts w:ascii="Calibri" w:cs="Calibri" w:eastAsia="Calibri" w:hAnsi="Calibri"/>
          <w:b/>
          <w:bCs/>
          <w:color w:val="2980B9"/>
          <w:sz w:val="21"/>
          <w:szCs w:val="21"/>
        </w:rPr>
        <w:t xml:space="preserve">Competences methodologiques et pratiques</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Utiliser efficacement les ressources HPC (SLURM, ordonnancement des taches)</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Ecriture de scripts Shell pour des pipelines bioinformatiques reproductibles</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Gestion de versions avec Git dans des projets collaboratifs</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Comprendre l'evaluation et le nettoyage des donnees comme etape critique du processus</w:t>
      </w:r>
    </w:p>
    <w:p>
      <w:pPr>
        <w:spacing w:after="80" w:before="0"/>
      </w:pPr>
      <w:r>
        <w:t xml:space="preserve"/>
      </w:r>
    </w:p>
    <w:p>
      <w:pPr>
        <w:pStyle w:val="Heading3"/>
      </w:pPr>
      <w:r>
        <w:rPr>
          <w:rFonts w:ascii="Calibri" w:cs="Calibri" w:eastAsia="Calibri" w:hAnsi="Calibri"/>
          <w:b/>
          <w:bCs/>
          <w:color w:val="2980B9"/>
          <w:sz w:val="21"/>
          <w:szCs w:val="21"/>
        </w:rPr>
        <w:t xml:space="preserve">Competences transversales (soft skills)</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Communication scientifique : presenter et justifier ses resultats devant le groupe</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Resolution collaborative de problemes au sein d'equipes heterogenes</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Regard critique sur les outils IA (DeepVariant, Clair3, Scimilarity)</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Competences en documentation et en reproductibilite scientifique</w:t>
      </w:r>
    </w:p>
    <w:p>
      <w:pPr>
        <w:spacing w:after="200" w:before="0"/>
      </w:pPr>
      <w:r>
        <w:t xml:space="preserve"/>
      </w:r>
    </w:p>
    <w:p>
      <w:pPr>
        <w:pStyle w:val="Heading1"/>
      </w:pPr>
      <w:r>
        <w:rPr>
          <w:rFonts w:ascii="Calibri" w:cs="Calibri" w:eastAsia="Calibri" w:hAnsi="Calibri"/>
          <w:b/>
          <w:bCs/>
          <w:color w:val="FFFFFF"/>
          <w:sz w:val="28"/>
          <w:szCs w:val="28"/>
        </w:rPr>
        <w:t xml:space="preserve">2  Structure du cours : vue d'ensemble des 4 demi-journees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rPr>
          <w:tblHeader/>
        </w:trPr>
        <w:tc>
          <w:tcPr>
            <w:tcW w:type="dxa" w:w="1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after="0" w:before="0" w:line="160"/>
              <w:jc w:val="left"/>
            </w:pPr>
            <w:r>
              <w:rPr>
                <w:rFonts w:ascii="Calibri" w:cs="Calibri" w:eastAsia="Calibri" w:hAnsi="Calibri"/>
                <w:b/>
                <w:bCs/>
                <w:color w:val="FFFFFF"/>
                <w:sz w:val="19"/>
                <w:szCs w:val="19"/>
              </w:rPr>
              <w:t xml:space="preserve">Demi-journee</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after="0" w:before="0" w:line="160"/>
              <w:jc w:val="left"/>
            </w:pPr>
            <w:r>
              <w:rPr>
                <w:rFonts w:ascii="Calibri" w:cs="Calibri" w:eastAsia="Calibri" w:hAnsi="Calibri"/>
                <w:b/>
                <w:bCs/>
                <w:color w:val="FFFFFF"/>
                <w:sz w:val="19"/>
                <w:szCs w:val="19"/>
              </w:rPr>
              <w:t xml:space="preserve">Horaire</w:t>
            </w:r>
          </w:p>
        </w:tc>
        <w:tc>
          <w:tcPr>
            <w:tcW w:type="dxa" w:w="4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after="0" w:before="0" w:line="160"/>
              <w:jc w:val="left"/>
            </w:pPr>
            <w:r>
              <w:rPr>
                <w:rFonts w:ascii="Calibri" w:cs="Calibri" w:eastAsia="Calibri" w:hAnsi="Calibri"/>
                <w:b/>
                <w:bCs/>
                <w:color w:val="FFFFFF"/>
                <w:sz w:val="19"/>
                <w:szCs w:val="19"/>
              </w:rPr>
              <w:t xml:space="preserve">Theme principal</w:t>
            </w:r>
          </w:p>
        </w:tc>
        <w:tc>
          <w:tcPr>
            <w:tcW w:type="dxa" w:w="1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after="0" w:before="0" w:line="160"/>
              <w:jc w:val="left"/>
            </w:pPr>
            <w:r>
              <w:rPr>
                <w:rFonts w:ascii="Calibri" w:cs="Calibri" w:eastAsia="Calibri" w:hAnsi="Calibri"/>
                <w:b/>
                <w:bCs/>
                <w:color w:val="FFFFFF"/>
                <w:sz w:val="19"/>
                <w:szCs w:val="19"/>
              </w:rPr>
              <w:t xml:space="preserve">Problematique (Issue)</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DJ 1</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Jour 1 Matin</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Fondamentaux IT, introduction NGS, workflow laboratoire, bases de donnees</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L'ordinateur plante - le HPC sauve la mise</w:t>
            </w:r>
          </w:p>
        </w:tc>
      </w:tr>
      <w:tr>
        <w:tc>
          <w:tcPr>
            <w:tcW w:type="dxa" w:w="12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DJ 2</w:t>
            </w:r>
          </w:p>
        </w:tc>
        <w:tc>
          <w:tcPr>
            <w:tcW w:type="dxa" w:w="18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Jour 1 A-midi</w:t>
            </w:r>
          </w:p>
        </w:tc>
        <w:tc>
          <w:tcPr>
            <w:tcW w:type="dxa" w:w="45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Controle qualite et nettoyage des donnees NGS</w:t>
            </w:r>
          </w:p>
        </w:tc>
        <w:tc>
          <w:tcPr>
            <w:tcW w:type="dxa" w:w="18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40 % de lectures inutilisables - machine ou echantillon ?</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DJ 3</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Jour 2 Matin</w:t>
            </w:r>
          </w:p>
        </w:tc>
        <w:tc>
          <w:tcPr>
            <w:tcW w:type="dxa" w:w="4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Analyse de variants et medecine de precision</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Mutation somatique en biopsie liquide - pertinence clinique ?</w:t>
            </w:r>
          </w:p>
        </w:tc>
      </w:tr>
      <w:tr>
        <w:tc>
          <w:tcPr>
            <w:tcW w:type="dxa" w:w="12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DJ 4</w:t>
            </w:r>
          </w:p>
        </w:tc>
        <w:tc>
          <w:tcPr>
            <w:tcW w:type="dxa" w:w="18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Jour 2 A-midi</w:t>
            </w:r>
          </w:p>
        </w:tc>
        <w:tc>
          <w:tcPr>
            <w:tcW w:type="dxa" w:w="45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Single-Cell RNA-Seq et metataxonomie</w:t>
            </w:r>
          </w:p>
        </w:tc>
        <w:tc>
          <w:tcPr>
            <w:tcW w:type="dxa" w:w="18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Quelle cellule meurt en premier ? Le microbiome comme biomarqueur</w:t>
            </w:r>
          </w:p>
        </w:tc>
      </w:tr>
    </w:tbl>
    <w:p>
      <w:pPr>
        <w:spacing w:after="200" w:before="0"/>
      </w:pPr>
      <w:r>
        <w:t xml:space="preserve"/>
      </w:r>
    </w:p>
    <w:p>
      <w:pPr>
        <w:pStyle w:val="Heading1"/>
      </w:pPr>
      <w:r>
        <w:rPr>
          <w:rFonts w:ascii="Calibri" w:cs="Calibri" w:eastAsia="Calibri" w:hAnsi="Calibri"/>
          <w:b/>
          <w:bCs/>
          <w:color w:val="FFFFFF"/>
          <w:sz w:val="28"/>
          <w:szCs w:val="28"/>
        </w:rPr>
        <w:t xml:space="preserve">3  Jour 1 - Demi-journee 1 : Fondamentaux IT, NGS et Workflow Laboratoire (08h00-12h00)</w:t>
      </w:r>
    </w:p>
    <w:p>
      <w:pPr>
        <w:spacing w:after="80" w:before="0"/>
      </w:pPr>
      <w:r>
        <w:t xml:space="preserve"/>
      </w:r>
    </w:p>
    <w:p>
      <w:pPr>
        <w:pStyle w:val="Heading2"/>
      </w:pPr>
      <w:r>
        <w:rPr>
          <w:rFonts w:ascii="Calibri" w:cs="Calibri" w:eastAsia="Calibri" w:hAnsi="Calibri"/>
          <w:b/>
          <w:bCs/>
          <w:color w:val="1A3A5C"/>
          <w:sz w:val="24"/>
          <w:szCs w:val="24"/>
        </w:rPr>
        <w:t xml:space="preserve">Bloc 1  Accueil et cadrage  (08h00-08h20, 20 min)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2000"/>
        <w:gridCol w:w="1860"/>
      </w:tblGrid>
      <w:tr>
        <w:trPr>
          <w:tblHeader/>
        </w:trPr>
        <w:tc>
          <w:tcPr>
            <w:tcW w:type="dxa" w:w="11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Temps</w:t>
            </w:r>
          </w:p>
        </w:tc>
        <w:tc>
          <w:tcPr>
            <w:tcW w:type="dxa" w:w="4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Phase / Contenu</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Methode pedagogique</w:t>
            </w:r>
          </w:p>
        </w:tc>
        <w:tc>
          <w:tcPr>
            <w:tcW w:type="dxa" w:w="18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Supports / Materiels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08h00-08h10</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Accueil : presentation de l'enseignant(e) - axes de recherche, affiliations, experience professionnelle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introductif</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Presentation, tableau blanc</w:t>
            </w:r>
          </w:p>
        </w:tc>
      </w:tr>
      <w:tr>
        <w:tc>
          <w:tcPr>
            <w:tcW w:type="dxa" w:w="11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08h10-08h15</w:t>
            </w:r>
          </w:p>
        </w:tc>
        <w:tc>
          <w:tcPr>
            <w:tcW w:type="dxa" w:w="44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Brise-glace : chaque etudiant(e) se presente en 30 sec. (nom, parcours, une attente du cours)</w:t>
            </w:r>
          </w:p>
        </w:tc>
        <w:tc>
          <w:tcPr>
            <w:tcW w:type="dxa" w:w="20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Tour de table eclair</w:t>
            </w:r>
          </w:p>
        </w:tc>
        <w:tc>
          <w:tcPr>
            <w:tcW w:type="dxa" w:w="18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Sans support</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08h15-08h20</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Vue d'ensemble : structure du cours, objectifs, modalite d'evaluation (portfolio Git), regles d'utilisation HPC</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Cours dialogue</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 carte du cours</w:t>
            </w:r>
          </w:p>
        </w:tc>
      </w:tr>
    </w:tbl>
    <w:p>
      <w:pPr>
        <w:spacing w:after="120" w:before="0"/>
      </w:pPr>
      <w:r>
        <w:t xml:space="preserve"/>
      </w:r>
    </w:p>
    <w:p>
      <w:pPr>
        <w:pStyle w:val="Heading2"/>
      </w:pPr>
      <w:r>
        <w:rPr>
          <w:rFonts w:ascii="Calibri" w:cs="Calibri" w:eastAsia="Calibri" w:hAnsi="Calibri"/>
          <w:b/>
          <w:bCs/>
          <w:color w:val="1A3A5C"/>
          <w:sz w:val="24"/>
          <w:szCs w:val="24"/>
        </w:rPr>
        <w:t xml:space="preserve">Bloc 2  La boite a outils du bioinformaticien : HPC, Linux et Git  (08h20-09h15, 55 min)</w:t>
      </w:r>
    </w:p>
    <w:p>
      <w:pPr>
        <w:spacing w:after="40" w:before="0"/>
      </w:pPr>
      <w:r>
        <w:t xml:space="preserve"/>
      </w:r>
    </w:p>
    <w:p>
      <w:pPr>
        <w:pBdr>
          <w:top w:val="single" w:color="8E44AD" w:sz="4" w:space="4"/>
          <w:bottom w:val="single" w:color="8E44AD" w:sz="4" w:space="4"/>
          <w:left w:val="single" w:color="8E44AD" w:sz="14" w:space="8"/>
          <w:right w:val="none" w:color="FFFFFF" w:sz="0"/>
        </w:pBdr>
        <w:shd w:fill="F5EEF8" w:val="clear"/>
        <w:spacing w:after="100" w:before="100" w:line="160"/>
        <w:ind w:left="200" w:right="200"/>
      </w:pPr>
      <w:r>
        <w:rPr>
          <w:rFonts w:ascii="Calibri" w:cs="Calibri" w:eastAsia="Calibri" w:hAnsi="Calibri"/>
          <w:i/>
          <w:iCs/>
          <w:color w:val="8E44AD"/>
          <w:sz w:val="20"/>
          <w:szCs w:val="20"/>
        </w:rPr>
        <w:t xml:space="preserve">PROBLEMATIQUE : Votre ordinateur plante en essayant d'ouvrir un fichier FASTQ de 100 Go. Deadline dans 2 heures. Comment utiliser les ressources HPC de l'universite sans bloquer le systeme pour tout le monde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2000"/>
        <w:gridCol w:w="1860"/>
      </w:tblGrid>
      <w:tr>
        <w:trPr>
          <w:tblHeader/>
        </w:trPr>
        <w:tc>
          <w:tcPr>
            <w:tcW w:type="dxa" w:w="11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Temps</w:t>
            </w:r>
          </w:p>
        </w:tc>
        <w:tc>
          <w:tcPr>
            <w:tcW w:type="dxa" w:w="4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Phase / Contenu</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Methode pedagogique</w:t>
            </w:r>
          </w:p>
        </w:tc>
        <w:tc>
          <w:tcPr>
            <w:tcW w:type="dxa" w:w="18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Supports / Materiels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08h20-08h30</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HPC : architecture (noeud de connexion, noeuds de calcul, ordonnanceur SLURM), pourquoi pas d'interface graphique ? Ethique d'utilisation des ressources partagees.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(10 min)</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 schema HPC</w:t>
            </w:r>
          </w:p>
        </w:tc>
      </w:tr>
      <w:tr>
        <w:tc>
          <w:tcPr>
            <w:tcW w:type="dxa" w:w="11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08h30-08h40</w:t>
            </w:r>
          </w:p>
        </w:tc>
        <w:tc>
          <w:tcPr>
            <w:tcW w:type="dxa" w:w="44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Linux/Shell : pourquoi la ligne de commande en bioinformatique ? Commandes de base (ls, cd, grep, awk, pipe). Principe de scripting.</w:t>
            </w:r>
          </w:p>
        </w:tc>
        <w:tc>
          <w:tcPr>
            <w:tcW w:type="dxa" w:w="20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(10 min)</w:t>
            </w:r>
          </w:p>
        </w:tc>
        <w:tc>
          <w:tcPr>
            <w:tcW w:type="dxa" w:w="18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 demo terminal</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08h40-08h55</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DEMO en groupes (3-4 pers.) : connexion au HPC, navigation dans l'arborescence, lancement d'un job SLURM avec sbatch. Enseignant(e) en mode coach.</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Exercice groupe encadre</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Laptops, acces SSH</w:t>
            </w:r>
          </w:p>
        </w:tc>
      </w:tr>
      <w:tr>
        <w:tc>
          <w:tcPr>
            <w:tcW w:type="dxa" w:w="11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08h55-09h05</w:t>
            </w:r>
          </w:p>
        </w:tc>
        <w:tc>
          <w:tcPr>
            <w:tcW w:type="dxa" w:w="44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Git : pourquoi le controle de version ? Clone, commit, push, branch - argument de la reproductibilite scientifique.</w:t>
            </w:r>
          </w:p>
        </w:tc>
        <w:tc>
          <w:tcPr>
            <w:tcW w:type="dxa" w:w="20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(10 min)</w:t>
            </w:r>
          </w:p>
        </w:tc>
        <w:tc>
          <w:tcPr>
            <w:tcW w:type="dxa" w:w="18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 demo GitHub/GitLab</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09h05-09h15</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DEMO Git : depot, premier commit de script Shell, push. Reflexion rapide : que se serait-il passe sans Git ?</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Exercice groupe encadre</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Laptops, GitHub/GitLab</w:t>
            </w:r>
          </w:p>
        </w:tc>
      </w:tr>
    </w:tbl>
    <w:p>
      <w:pPr>
        <w:spacing w:after="80" w:before="0"/>
      </w:pPr>
      <w:r>
        <w:t xml:space="preserve"/>
      </w:r>
    </w:p>
    <w:p>
      <w:pPr>
        <w:pBdr>
          <w:left w:val="single" w:color="D35400" w:sz="12" w:space="8"/>
        </w:pBdr>
        <w:shd w:fill="FEF9E7" w:val="clear"/>
        <w:spacing w:after="80" w:before="80" w:line="160"/>
        <w:ind w:left="180" w:right="180"/>
      </w:pPr>
      <w:r>
        <w:rPr>
          <w:rFonts w:ascii="Calibri" w:cs="Calibri" w:eastAsia="Calibri" w:hAnsi="Calibri"/>
          <w:color w:val="D35400"/>
          <w:sz w:val="20"/>
          <w:szCs w:val="20"/>
        </w:rPr>
        <w:t xml:space="preserve">Remarque : Conda/Docker ne font pas partie de ce cours - focus sur les environnements HPC institutionnels.</w:t>
      </w:r>
    </w:p>
    <w:p>
      <w:pPr>
        <w:spacing w:after="120" w:before="0"/>
      </w:pPr>
      <w:r>
        <w:t xml:space="preserve"/>
      </w:r>
    </w:p>
    <w:p>
      <w:pPr>
        <w:pStyle w:val="Heading2"/>
      </w:pPr>
      <w:r>
        <w:rPr>
          <w:rFonts w:ascii="Calibri" w:cs="Calibri" w:eastAsia="Calibri" w:hAnsi="Calibri"/>
          <w:b/>
          <w:bCs/>
          <w:color w:val="1A3A5C"/>
          <w:sz w:val="24"/>
          <w:szCs w:val="24"/>
        </w:rPr>
        <w:t xml:space="preserve">Bloc 3  Introduction aux technologies NGS  (09h15-10h05, 50 min)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2000"/>
        <w:gridCol w:w="1860"/>
      </w:tblGrid>
      <w:tr>
        <w:trPr>
          <w:tblHeader/>
        </w:trPr>
        <w:tc>
          <w:tcPr>
            <w:tcW w:type="dxa" w:w="11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Temps</w:t>
            </w:r>
          </w:p>
        </w:tc>
        <w:tc>
          <w:tcPr>
            <w:tcW w:type="dxa" w:w="4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Phase / Contenu</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Methode pedagogique</w:t>
            </w:r>
          </w:p>
        </w:tc>
        <w:tc>
          <w:tcPr>
            <w:tcW w:type="dxa" w:w="18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Supports / Materiels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09h15-09h30</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 panorama des technologies - Illumina (SBS), Oxford Nanopore (ONT), PacBio (SMRT), IonTorrent. Avantages/inconvenients, cas d'usage typiques, longueur de lectures, taux d'erreur.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(15 min)</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 matrice comparative</w:t>
            </w:r>
          </w:p>
        </w:tc>
      </w:tr>
      <w:tr>
        <w:tc>
          <w:tcPr>
            <w:tcW w:type="dxa" w:w="11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09h30-09h45</w:t>
            </w:r>
          </w:p>
        </w:tc>
        <w:tc>
          <w:tcPr>
            <w:tcW w:type="dxa" w:w="44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Tour de table : chaque groupe recoit une question scientifique (metagenomique, epigenomique, epitranscriptomique, variants, Single-Cell). Quelle technologie choisir ? Justification obligatoire !</w:t>
            </w:r>
          </w:p>
        </w:tc>
        <w:tc>
          <w:tcPr>
            <w:tcW w:type="dxa" w:w="20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Experts (Jigsaw)</w:t>
            </w:r>
          </w:p>
        </w:tc>
        <w:tc>
          <w:tcPr>
            <w:tcW w:type="dxa" w:w="18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Cartes-questions, flip-chart</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09h45-10h05</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 formats de donnees brutes - BCL, FAST5/POD5, BAM/CRAM, FASTQ, FASTA. Scores Phred, pipelines de conversion. Demo live : ouvrir un FASTQ, lire l'en-tete.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 demo</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terminal</w:t>
            </w:r>
          </w:p>
        </w:tc>
      </w:tr>
    </w:tbl>
    <w:p>
      <w:pPr>
        <w:spacing w:after="120" w:before="0"/>
      </w:pPr>
      <w:r>
        <w:t xml:space="preserve"/>
      </w:r>
    </w:p>
    <w:p>
      <w:pPr>
        <w:pStyle w:val="Heading2"/>
      </w:pPr>
      <w:r>
        <w:rPr>
          <w:rFonts w:ascii="Calibri" w:cs="Calibri" w:eastAsia="Calibri" w:hAnsi="Calibri"/>
          <w:b/>
          <w:bCs/>
          <w:color w:val="1A3A5C"/>
          <w:sz w:val="24"/>
          <w:szCs w:val="24"/>
        </w:rPr>
        <w:t xml:space="preserve">Bloc 4  Workflow de laboratoire et preparation de bibliotheques  (10h05-10h45, 40 min)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2000"/>
        <w:gridCol w:w="1860"/>
      </w:tblGrid>
      <w:tr>
        <w:trPr>
          <w:tblHeader/>
        </w:trPr>
        <w:tc>
          <w:tcPr>
            <w:tcW w:type="dxa" w:w="11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Temps</w:t>
            </w:r>
          </w:p>
        </w:tc>
        <w:tc>
          <w:tcPr>
            <w:tcW w:type="dxa" w:w="4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Phase / Contenu</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Methode pedagogique</w:t>
            </w:r>
          </w:p>
        </w:tc>
        <w:tc>
          <w:tcPr>
            <w:tcW w:type="dxa" w:w="18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Supports / Materiels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10h05-10h20</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Parcours numerique (video + diapo) : etapes de la preparation de bibliotheque - extraction ADN, fragmentation, ligation des adaptateurs, amplification, selection de taille. WGS vs. WES vs. panels cibles.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Cours dialogue + video</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Video (5 min), diapo</w:t>
            </w:r>
          </w:p>
        </w:tc>
      </w:tr>
      <w:tr>
        <w:tc>
          <w:tcPr>
            <w:tcW w:type="dxa" w:w="11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10h20-10h30</w:t>
            </w:r>
          </w:p>
        </w:tc>
        <w:tc>
          <w:tcPr>
            <w:tcW w:type="dxa" w:w="44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Comparaison visuelle : profil Bioanalyseur 'bonne' vs. 'mauvaise' bibliotheque. En groupes : quel est le probleme ? Sur-degradation ? Dimeres d'adaptateurs ? Spectre de fragments trop large ?</w:t>
            </w:r>
          </w:p>
        </w:tc>
        <w:tc>
          <w:tcPr>
            <w:tcW w:type="dxa" w:w="20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Travail en groupe</w:t>
            </w:r>
          </w:p>
        </w:tc>
        <w:tc>
          <w:tcPr>
            <w:tcW w:type="dxa" w:w="18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 images Bioanalyseur</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10h30-10h45</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 chargement de la flow cell, metadonnees - sample sheet, indexage, demultiplexage. Demo : remplir une sample sheet.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Cours dialogue + demo</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exemple sample sheet</w:t>
            </w:r>
          </w:p>
        </w:tc>
      </w:tr>
    </w:tbl>
    <w:p>
      <w:pPr>
        <w:spacing w:after="120" w:before="0"/>
      </w:pPr>
      <w:r>
        <w:t xml:space="preserve"/>
      </w:r>
    </w:p>
    <w:p>
      <w:pPr>
        <w:pStyle w:val="Heading2"/>
      </w:pPr>
      <w:r>
        <w:rPr>
          <w:rFonts w:ascii="Calibri" w:cs="Calibri" w:eastAsia="Calibri" w:hAnsi="Calibri"/>
          <w:b/>
          <w:bCs/>
          <w:color w:val="1A3A5C"/>
          <w:sz w:val="24"/>
          <w:szCs w:val="24"/>
        </w:rPr>
        <w:t xml:space="preserve">Bloc 5  Bases de donnees : ou vivent les donnees genomiques ?  (10h45-11h20, 35 min)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2000"/>
        <w:gridCol w:w="1860"/>
      </w:tblGrid>
      <w:tr>
        <w:trPr>
          <w:tblHeader/>
        </w:trPr>
        <w:tc>
          <w:tcPr>
            <w:tcW w:type="dxa" w:w="11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Temps</w:t>
            </w:r>
          </w:p>
        </w:tc>
        <w:tc>
          <w:tcPr>
            <w:tcW w:type="dxa" w:w="4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Phase / Contenu</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Methode pedagogique</w:t>
            </w:r>
          </w:p>
        </w:tc>
        <w:tc>
          <w:tcPr>
            <w:tcW w:type="dxa" w:w="18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Supports / Materiels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10h45-10h55</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Brainstorming interactif (Placemat) : les groupes cartographient collectivement les bases de donnees connues. Ou trouver des donnees genomiques publiques ?</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Travail en groupe (Placemat)</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Feuilles A3, marqueurs</w:t>
            </w:r>
          </w:p>
        </w:tc>
      </w:tr>
      <w:tr>
        <w:tc>
          <w:tcPr>
            <w:tcW w:type="dxa" w:w="11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10h55-11h10</w:t>
            </w:r>
          </w:p>
        </w:tc>
        <w:tc>
          <w:tcPr>
            <w:tcW w:type="dxa" w:w="44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complementaire : ENA, SRA, GEO, ENCODE, UCSC Genome Browser, Ensembl, ClinVar, gnomAD, TCGA. Distinction bases primaires vs. secondaires.</w:t>
            </w:r>
          </w:p>
        </w:tc>
        <w:tc>
          <w:tcPr>
            <w:tcW w:type="dxa" w:w="20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Cours dialogue</w:t>
            </w:r>
          </w:p>
        </w:tc>
        <w:tc>
          <w:tcPr>
            <w:tcW w:type="dxa" w:w="18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 carte des bases de donnees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11h10-11h20</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DEMO : telecharger un jeu de donnees via SRA-Toolkit (fasterq-dump), lire les metadonnees, interpreter les numeros d'accession. Les etudiants reproduisent les etapes.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Demo + travail en binome</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Laptops, SRA-Toolkit</w:t>
            </w:r>
          </w:p>
        </w:tc>
      </w:tr>
    </w:tbl>
    <w:p>
      <w:pPr>
        <w:spacing w:after="120" w:before="0"/>
      </w:pPr>
      <w:r>
        <w:t xml:space="preserve"/>
      </w:r>
    </w:p>
    <w:p>
      <w:pPr>
        <w:pBdr>
          <w:left w:val="single" w:color="D35400" w:sz="12" w:space="8"/>
        </w:pBdr>
        <w:shd w:fill="FEF9E7" w:val="clear"/>
        <w:spacing w:after="80" w:before="80" w:line="160"/>
        <w:ind w:left="180" w:right="180"/>
      </w:pPr>
      <w:r>
        <w:rPr>
          <w:rFonts w:ascii="Calibri" w:cs="Calibri" w:eastAsia="Calibri" w:hAnsi="Calibri"/>
          <w:color w:val="D35400"/>
          <w:sz w:val="20"/>
          <w:szCs w:val="20"/>
        </w:rPr>
        <w:t xml:space="preserve">Dejeuner : 11h20 - 12h00  (40 min)</w:t>
      </w:r>
    </w:p>
    <w:p>
      <w:pPr>
        <w:spacing w:after="160" w:before="0"/>
      </w:pPr>
      <w:r>
        <w:t xml:space="preserve"/>
      </w:r>
    </w:p>
    <w:p>
      <w:pPr>
        <w:pageBreakBefore/>
      </w:pPr>
    </w:p>
    <w:p>
      <w:pPr>
        <w:pStyle w:val="Heading1"/>
      </w:pPr>
      <w:r>
        <w:rPr>
          <w:rFonts w:ascii="Calibri" w:cs="Calibri" w:eastAsia="Calibri" w:hAnsi="Calibri"/>
          <w:b/>
          <w:bCs/>
          <w:color w:val="FFFFFF"/>
          <w:sz w:val="28"/>
          <w:szCs w:val="28"/>
        </w:rPr>
        <w:t xml:space="preserve">4  Jour 1 - Demi-journee 2 : Controle qualite et traitement des donnees (12h00-16h00)</w:t>
      </w:r>
    </w:p>
    <w:p>
      <w:pPr>
        <w:spacing w:after="80" w:before="0"/>
      </w:pPr>
      <w:r>
        <w:t xml:space="preserve"/>
      </w:r>
    </w:p>
    <w:p>
      <w:pPr>
        <w:pBdr>
          <w:top w:val="single" w:color="8E44AD" w:sz="4" w:space="4"/>
          <w:bottom w:val="single" w:color="8E44AD" w:sz="4" w:space="4"/>
          <w:left w:val="single" w:color="8E44AD" w:sz="14" w:space="8"/>
          <w:right w:val="none" w:color="FFFFFF" w:sz="0"/>
        </w:pBdr>
        <w:shd w:fill="F5EEF8" w:val="clear"/>
        <w:spacing w:after="100" w:before="100" w:line="160"/>
        <w:ind w:left="200" w:right="200"/>
      </w:pPr>
      <w:r>
        <w:rPr>
          <w:rFonts w:ascii="Calibri" w:cs="Calibri" w:eastAsia="Calibri" w:hAnsi="Calibri"/>
          <w:i/>
          <w:iCs/>
          <w:color w:val="8E44AD"/>
          <w:sz w:val="20"/>
          <w:szCs w:val="20"/>
        </w:rPr>
        <w:t xml:space="preserve">PROBLEMATIQUE : Le laboratoire vous envoie un rapport : 40 % des lectures sont inutilisables. L'echantillon est-il contamine ? La machine a-t-elle defailli ? Faut-il se plaindre aupres d'Illumina / Oxford Nanopore ?</w:t>
      </w:r>
    </w:p>
    <w:p>
      <w:pPr>
        <w:spacing w:after="80" w:before="0"/>
      </w:pPr>
      <w:r>
        <w:t xml:space="preserve"/>
      </w:r>
    </w:p>
    <w:p>
      <w:pPr>
        <w:pStyle w:val="Heading2"/>
      </w:pPr>
      <w:r>
        <w:rPr>
          <w:rFonts w:ascii="Calibri" w:cs="Calibri" w:eastAsia="Calibri" w:hAnsi="Calibri"/>
          <w:b/>
          <w:bCs/>
          <w:color w:val="1A3A5C"/>
          <w:sz w:val="24"/>
          <w:szCs w:val="24"/>
        </w:rPr>
        <w:t xml:space="preserve">Bloc 6  Strategie QC et rapports Illumina  (12h00-12h45, 45 min)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2000"/>
        <w:gridCol w:w="1860"/>
      </w:tblGrid>
      <w:tr>
        <w:trPr>
          <w:tblHeader/>
        </w:trPr>
        <w:tc>
          <w:tcPr>
            <w:tcW w:type="dxa" w:w="11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Temps</w:t>
            </w:r>
          </w:p>
        </w:tc>
        <w:tc>
          <w:tcPr>
            <w:tcW w:type="dxa" w:w="4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Phase / Contenu</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Methode pedagogique</w:t>
            </w:r>
          </w:p>
        </w:tc>
        <w:tc>
          <w:tcPr>
            <w:tcW w:type="dxa" w:w="18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Supports / Materiels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12h00-12h15</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Travail en groupe : les groupes recoivent un rapport de run Illumina reel (donnees InterOp). Consigne : identifier 3 problemes potentiels. Que signifient %PF, cluster density et Q30-score ?</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Analyse cooperative</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Rapport HTML InterOp Illumina</w:t>
            </w:r>
          </w:p>
        </w:tc>
      </w:tr>
      <w:tr>
        <w:tc>
          <w:tcPr>
            <w:tcW w:type="dxa" w:w="11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12h15-12h25</w:t>
            </w:r>
          </w:p>
        </w:tc>
        <w:tc>
          <w:tcPr>
            <w:tcW w:type="dxa" w:w="44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Plenum : synthese des resultats. L'enseignant(e) anime. Hypotheses consignees au tableau blanc.</w:t>
            </w:r>
          </w:p>
        </w:tc>
        <w:tc>
          <w:tcPr>
            <w:tcW w:type="dxa" w:w="20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Discussion en classe entiere</w:t>
            </w:r>
          </w:p>
        </w:tc>
        <w:tc>
          <w:tcPr>
            <w:tcW w:type="dxa" w:w="18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Tableau blanc</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12h25-12h45</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Approfondissement : analyser la concentration PhiX. Que nous dit PhiX sur la qualite du run ? Quand un faible taux d'incorporation pose-t-il probleme ?</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Questionnement socratique</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 concept PhiX</w:t>
            </w:r>
          </w:p>
        </w:tc>
      </w:tr>
    </w:tbl>
    <w:p>
      <w:pPr>
        <w:spacing w:after="120" w:before="0"/>
      </w:pPr>
      <w:r>
        <w:t xml:space="preserve"/>
      </w:r>
    </w:p>
    <w:p>
      <w:pPr>
        <w:pStyle w:val="Heading2"/>
      </w:pPr>
      <w:r>
        <w:rPr>
          <w:rFonts w:ascii="Calibri" w:cs="Calibri" w:eastAsia="Calibri" w:hAnsi="Calibri"/>
          <w:b/>
          <w:bCs/>
          <w:color w:val="1A3A5C"/>
          <w:sz w:val="24"/>
          <w:szCs w:val="24"/>
        </w:rPr>
        <w:t xml:space="preserve">Bloc 7  FastQC et MultiQC en pratique  (12h45-14h00, 75 min)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2000"/>
        <w:gridCol w:w="1860"/>
      </w:tblGrid>
      <w:tr>
        <w:trPr>
          <w:tblHeader/>
        </w:trPr>
        <w:tc>
          <w:tcPr>
            <w:tcW w:type="dxa" w:w="11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Temps</w:t>
            </w:r>
          </w:p>
        </w:tc>
        <w:tc>
          <w:tcPr>
            <w:tcW w:type="dxa" w:w="4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Phase / Contenu</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Methode pedagogique</w:t>
            </w:r>
          </w:p>
        </w:tc>
        <w:tc>
          <w:tcPr>
            <w:tcW w:type="dxa" w:w="18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Supports / Materiels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12h45-13h00</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 modules FastQC en detail - qualite par base, qualite par sequence, contenu GC, duplication, sequences surrepresentees, contenu en adaptateurs. Que signifient vert/orange/rouge ?</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 captures FastQC</w:t>
            </w:r>
          </w:p>
        </w:tc>
      </w:tr>
      <w:tr>
        <w:tc>
          <w:tcPr>
            <w:tcW w:type="dxa" w:w="11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13h00-13h25</w:t>
            </w:r>
          </w:p>
        </w:tc>
        <w:tc>
          <w:tcPr>
            <w:tcW w:type="dxa" w:w="44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TP : chaque groupe analyse un jeu de donnees different (bon/moyen/mauvais). FastQC tourne sur HPC. Interpretation du rapport. Consigne : remplir une carte de diagnostic.</w:t>
            </w:r>
          </w:p>
        </w:tc>
        <w:tc>
          <w:tcPr>
            <w:tcW w:type="dxa" w:w="20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TP encadre en groupe</w:t>
            </w:r>
          </w:p>
        </w:tc>
        <w:tc>
          <w:tcPr>
            <w:tcW w:type="dxa" w:w="18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HPC, FastQC, jeux de donnees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13h25-13h40</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MultiQC : agregation de plusieurs rapports FastQC. Comparaison de variabilite run-a-run. Demo : multiqc --interactive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Demo + plenum</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HPC, MultiQC</w:t>
            </w:r>
          </w:p>
        </w:tc>
      </w:tr>
      <w:tr>
        <w:tc>
          <w:tcPr>
            <w:tcW w:type="dxa" w:w="11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13h40-14h00</w:t>
            </w:r>
          </w:p>
        </w:tc>
        <w:tc>
          <w:tcPr>
            <w:tcW w:type="dxa" w:w="44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Challenge detections d'anomalies : jeux de donnees 'caches' avec contamination par amorces, barcode leakage, regions de faible complexite. Qui trouve tous les problemes ?</w:t>
            </w:r>
          </w:p>
        </w:tc>
        <w:tc>
          <w:tcPr>
            <w:tcW w:type="dxa" w:w="20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Resolution de probleme en equipe</w:t>
            </w:r>
          </w:p>
        </w:tc>
        <w:tc>
          <w:tcPr>
            <w:tcW w:type="dxa" w:w="18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Rapports FastQC, diapo</w:t>
            </w:r>
          </w:p>
        </w:tc>
      </w:tr>
    </w:tbl>
    <w:p>
      <w:pPr>
        <w:spacing w:after="120" w:before="0"/>
      </w:pPr>
      <w:r>
        <w:t xml:space="preserve"/>
      </w:r>
    </w:p>
    <w:p>
      <w:pPr>
        <w:pStyle w:val="Heading2"/>
      </w:pPr>
      <w:r>
        <w:rPr>
          <w:rFonts w:ascii="Calibri" w:cs="Calibri" w:eastAsia="Calibri" w:hAnsi="Calibri"/>
          <w:b/>
          <w:bCs/>
          <w:color w:val="1A3A5C"/>
          <w:sz w:val="24"/>
          <w:szCs w:val="24"/>
        </w:rPr>
        <w:t xml:space="preserve">Bloc 8  Trimming, nettoyage et specificites Nanopore  (14h00-15h00, 60 min)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2000"/>
        <w:gridCol w:w="1860"/>
      </w:tblGrid>
      <w:tr>
        <w:trPr>
          <w:tblHeader/>
        </w:trPr>
        <w:tc>
          <w:tcPr>
            <w:tcW w:type="dxa" w:w="11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Temps</w:t>
            </w:r>
          </w:p>
        </w:tc>
        <w:tc>
          <w:tcPr>
            <w:tcW w:type="dxa" w:w="4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Phase / Contenu</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Methode pedagogique</w:t>
            </w:r>
          </w:p>
        </w:tc>
        <w:tc>
          <w:tcPr>
            <w:tcW w:type="dxa" w:w="18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Supports / Materiels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14h00-14h20</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 demo : Trimmomatic, Cutadapt, fastp - quality-trimming, suppression des adaptateurs, fenetre glissante. Decisions de parametres : compromis sensibilite vs. perte de donnees.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Expose-demo</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HPC, terminal, diapo</w:t>
            </w:r>
          </w:p>
        </w:tc>
      </w:tr>
      <w:tr>
        <w:tc>
          <w:tcPr>
            <w:tcW w:type="dxa" w:w="11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14h20-14h35</w:t>
            </w:r>
          </w:p>
        </w:tc>
        <w:tc>
          <w:tcPr>
            <w:tcW w:type="dxa" w:w="44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TP en groupe : execution du pipeline de trimming. Comparaison QC avant/apres. Discussion : qu'est-ce qui s'est ameliore ? Qu'a-t-on perdu ?</w:t>
            </w:r>
          </w:p>
        </w:tc>
        <w:tc>
          <w:tcPr>
            <w:tcW w:type="dxa" w:w="20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TP encadre en groupe</w:t>
            </w:r>
          </w:p>
        </w:tc>
        <w:tc>
          <w:tcPr>
            <w:tcW w:type="dxa" w:w="18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HPC, Trimmomatic/fastp</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14h35-15h00</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Table ronde Nanopore : donnees ONT fournies. Pourquoi Trimmomatic echoue-t-il sur ONT ? NanoPlot, NanoStat, Porechop. Defis IonTorrent. Conclusion : chaque plateforme a besoin d'outils specifiques !</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Table ronde + discussion</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 plateformes, NanoPlot</w:t>
            </w:r>
          </w:p>
        </w:tc>
      </w:tr>
    </w:tbl>
    <w:p>
      <w:pPr>
        <w:spacing w:after="80" w:before="0"/>
      </w:pPr>
      <w:r>
        <w:t xml:space="preserve"/>
      </w:r>
    </w:p>
    <w:p>
      <w:pPr>
        <w:pBdr>
          <w:left w:val="single" w:color="16A085" w:sz="12" w:space="8"/>
        </w:pBdr>
        <w:shd w:fill="E8F8F5" w:val="clear"/>
        <w:spacing w:after="80" w:before="80" w:line="160"/>
        <w:ind w:left="180" w:right="180"/>
      </w:pPr>
      <w:r>
        <w:rPr>
          <w:rFonts w:ascii="Calibri" w:cs="Calibri" w:eastAsia="Calibri" w:hAnsi="Calibri"/>
          <w:color w:val="16A085"/>
          <w:sz w:val="20"/>
          <w:szCs w:val="20"/>
        </w:rPr>
        <w:t xml:space="preserve">Bilan journee 15h00-15h30 : chaque groupe presente en 2 min. son apprentissage cle. Retour de l'enseignant(e). Apercu du Jour 2.</w:t>
      </w:r>
    </w:p>
    <w:p>
      <w:pPr>
        <w:spacing w:after="200" w:before="0"/>
      </w:pPr>
      <w:r>
        <w:t xml:space="preserve"/>
      </w:r>
    </w:p>
    <w:p>
      <w:pPr>
        <w:pageBreakBefore/>
      </w:pPr>
    </w:p>
    <w:p>
      <w:pPr>
        <w:pStyle w:val="Heading1"/>
      </w:pPr>
      <w:r>
        <w:rPr>
          <w:rFonts w:ascii="Calibri" w:cs="Calibri" w:eastAsia="Calibri" w:hAnsi="Calibri"/>
          <w:b/>
          <w:bCs/>
          <w:color w:val="FFFFFF"/>
          <w:sz w:val="28"/>
          <w:szCs w:val="28"/>
        </w:rPr>
        <w:t xml:space="preserve">5  Jour 2 - Demi-journee 3 : Analyse de variants et Medecine de precision (08h00-12h30)</w:t>
      </w:r>
    </w:p>
    <w:p>
      <w:pPr>
        <w:spacing w:after="80" w:before="0"/>
      </w:pPr>
      <w:r>
        <w:t xml:space="preserve"/>
      </w:r>
    </w:p>
    <w:p>
      <w:pPr>
        <w:pBdr>
          <w:top w:val="single" w:color="8E44AD" w:sz="4" w:space="4"/>
          <w:bottom w:val="single" w:color="8E44AD" w:sz="4" w:space="4"/>
          <w:left w:val="single" w:color="8E44AD" w:sz="14" w:space="8"/>
          <w:right w:val="none" w:color="FFFFFF" w:sz="0"/>
        </w:pBdr>
        <w:shd w:fill="F5EEF8" w:val="clear"/>
        <w:spacing w:after="100" w:before="100" w:line="160"/>
        <w:ind w:left="200" w:right="200"/>
      </w:pPr>
      <w:r>
        <w:rPr>
          <w:rFonts w:ascii="Calibri" w:cs="Calibri" w:eastAsia="Calibri" w:hAnsi="Calibri"/>
          <w:i/>
          <w:iCs/>
          <w:color w:val="8E44AD"/>
          <w:sz w:val="20"/>
          <w:szCs w:val="20"/>
        </w:rPr>
        <w:t xml:space="preserve">PROBLEMATIQUE : Diagnostic oncologique de routine : un patient a une biopsie liquide. Vous recevez des donnees FASTQ. Mission : identifier les mutations somatiques. Quelle variante est cliniquement pertinente ? Comment valider un variant a 1 % de VAF ?</w:t>
      </w:r>
    </w:p>
    <w:p>
      <w:pPr>
        <w:spacing w:after="80" w:before="0"/>
      </w:pPr>
      <w:r>
        <w:t xml:space="preserve"/>
      </w:r>
    </w:p>
    <w:p>
      <w:pPr>
        <w:pStyle w:val="Heading2"/>
      </w:pPr>
      <w:r>
        <w:rPr>
          <w:rFonts w:ascii="Calibri" w:cs="Calibri" w:eastAsia="Calibri" w:hAnsi="Calibri"/>
          <w:b/>
          <w:bCs/>
          <w:color w:val="1A3A5C"/>
          <w:sz w:val="24"/>
          <w:szCs w:val="24"/>
        </w:rPr>
        <w:t xml:space="preserve">Bloc 9  Alignement et pre-traitement  (08h00-08h50, 50 min)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2000"/>
        <w:gridCol w:w="1860"/>
      </w:tblGrid>
      <w:tr>
        <w:trPr>
          <w:tblHeader/>
        </w:trPr>
        <w:tc>
          <w:tcPr>
            <w:tcW w:type="dxa" w:w="11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Temps</w:t>
            </w:r>
          </w:p>
        </w:tc>
        <w:tc>
          <w:tcPr>
            <w:tcW w:type="dxa" w:w="4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Phase / Contenu</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Methode pedagogique</w:t>
            </w:r>
          </w:p>
        </w:tc>
        <w:tc>
          <w:tcPr>
            <w:tcW w:type="dxa" w:w="18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Supports / Materiels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08h00-08h15</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 algorithmes d'alignement - BWA-MEM2 vs. Bowtie2 vs. STAR (ARN). Genomes de reference (GRCh38, T2T-CHM13). Format SAM/BAM : en-tete, FLAG, CIGAR-string. Marquage des duplicats.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 schema d'alignement</w:t>
            </w:r>
          </w:p>
        </w:tc>
      </w:tr>
      <w:tr>
        <w:tc>
          <w:tcPr>
            <w:tcW w:type="dxa" w:w="11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08h15-08h35</w:t>
            </w:r>
          </w:p>
        </w:tc>
        <w:tc>
          <w:tcPr>
            <w:tcW w:type="dxa" w:w="44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TP : alignement de donnees FASTQ preparees sur GRCh38 via BWA-MEM2 (job SLURM). Inspection avec samtools flagstat et visualisation dans IGV.</w:t>
            </w:r>
          </w:p>
        </w:tc>
        <w:tc>
          <w:tcPr>
            <w:tcW w:type="dxa" w:w="20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TP en groupe</w:t>
            </w:r>
          </w:p>
        </w:tc>
        <w:tc>
          <w:tcPr>
            <w:tcW w:type="dxa" w:w="18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HPC, BWA-MEM2, IGV</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08h35-08h50</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BQSR : pourquoi la recalibration du score de qualite de base est-elle critique dans le workflow GATK Best Practices ? Demo avec gatk BaseRecalibrator.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Cours dialogue + demo</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GATK</w:t>
            </w:r>
          </w:p>
        </w:tc>
      </w:tr>
    </w:tbl>
    <w:p>
      <w:pPr>
        <w:spacing w:after="120" w:before="0"/>
      </w:pPr>
      <w:r>
        <w:t xml:space="preserve"/>
      </w:r>
    </w:p>
    <w:p>
      <w:pPr>
        <w:pStyle w:val="Heading2"/>
      </w:pPr>
      <w:r>
        <w:rPr>
          <w:rFonts w:ascii="Calibri" w:cs="Calibri" w:eastAsia="Calibri" w:hAnsi="Calibri"/>
          <w:b/>
          <w:bCs/>
          <w:color w:val="1A3A5C"/>
          <w:sz w:val="24"/>
          <w:szCs w:val="24"/>
        </w:rPr>
        <w:t xml:space="preserve">Bloc 10  Detections de variants : GATK et analyse tumorale  (08h50-10h30, 100 min)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2000"/>
        <w:gridCol w:w="1860"/>
      </w:tblGrid>
      <w:tr>
        <w:trPr>
          <w:tblHeader/>
        </w:trPr>
        <w:tc>
          <w:tcPr>
            <w:tcW w:type="dxa" w:w="11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Temps</w:t>
            </w:r>
          </w:p>
        </w:tc>
        <w:tc>
          <w:tcPr>
            <w:tcW w:type="dxa" w:w="4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Phase / Contenu</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Methode pedagogique</w:t>
            </w:r>
          </w:p>
        </w:tc>
        <w:tc>
          <w:tcPr>
            <w:tcW w:type="dxa" w:w="18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Supports / Materiels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08h50-09h10</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 GATK Best Practices - HaplotypeCaller (lignee germinale, workflow GVCF) vs. Mutect2 (somatique, tumeur seule vs. paire tumeur-normal). Concept du Panel of Normals (PoN).</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 schema pipeline GATK</w:t>
            </w:r>
          </w:p>
        </w:tc>
      </w:tr>
      <w:tr>
        <w:tc>
          <w:tcPr>
            <w:tcW w:type="dxa" w:w="11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09h10-09h40</w:t>
            </w:r>
          </w:p>
        </w:tc>
        <w:tc>
          <w:tcPr>
            <w:tcW w:type="dxa" w:w="44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TP detections de variants : Groupe A - HaplotypeCaller sur NA12878-subset. Groupe B - Mutect2 sur sous-ensemble TCGA (lignee cancereuse). Coordination des jobs SLURM.</w:t>
            </w:r>
          </w:p>
        </w:tc>
        <w:tc>
          <w:tcPr>
            <w:tcW w:type="dxa" w:w="20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TP en groupes paralleles</w:t>
            </w:r>
          </w:p>
        </w:tc>
        <w:tc>
          <w:tcPr>
            <w:tcW w:type="dxa" w:w="18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HPC, GATK, SLURM</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09h40-10h00</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Interpretation du VCF : strategies de filtrage (VQSR, filtrage strict), annotation avec ANNOVAR/SnpEff, bases cliniques (ClinVar, COSMIC, OncoKB). Qu'est-ce qui rend un variant 'cliniquement pertinent' ?</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Demo + cours dialogue</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ANNOVAR, IGV</w:t>
            </w:r>
          </w:p>
        </w:tc>
      </w:tr>
      <w:tr>
        <w:tc>
          <w:tcPr>
            <w:tcW w:type="dxa" w:w="11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10h00-10h20</w:t>
            </w:r>
          </w:p>
        </w:tc>
        <w:tc>
          <w:tcPr>
            <w:tcW w:type="dxa" w:w="44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Approfondissement biopsie liquide : variants a faible frequence (VAF &lt; 5 %), defis ctDNA, correction d'erreurs par UMI. Question : comment valider un variant a 0,8 % de VAF ?</w:t>
            </w:r>
          </w:p>
        </w:tc>
        <w:tc>
          <w:tcPr>
            <w:tcW w:type="dxa" w:w="20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Questionnement socratique</w:t>
            </w:r>
          </w:p>
        </w:tc>
        <w:tc>
          <w:tcPr>
            <w:tcW w:type="dxa" w:w="18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 spectre VAF</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10h20-10h30</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court : DRAGEN et Sentieon - pourquoi les instituts comme le DKFZ/BIH utilisent-ils des pipelines acceleres ? FPGA vs. GPU. Contexte ClinBioNGS.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(10 min)</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 comparaison vitesse</w:t>
            </w:r>
          </w:p>
        </w:tc>
      </w:tr>
    </w:tbl>
    <w:p>
      <w:pPr>
        <w:spacing w:after="120" w:before="0"/>
      </w:pPr>
      <w:r>
        <w:t xml:space="preserve"/>
      </w:r>
    </w:p>
    <w:p>
      <w:pPr>
        <w:pStyle w:val="Heading2"/>
      </w:pPr>
      <w:r>
        <w:rPr>
          <w:rFonts w:ascii="Calibri" w:cs="Calibri" w:eastAsia="Calibri" w:hAnsi="Calibri"/>
          <w:b/>
          <w:bCs/>
          <w:color w:val="1A3A5C"/>
          <w:sz w:val="24"/>
          <w:szCs w:val="24"/>
        </w:rPr>
        <w:t xml:space="preserve">Bloc 11  Outils IA et mini-projet Long Read  (10h30-11h30, 60 min)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2000"/>
        <w:gridCol w:w="1860"/>
      </w:tblGrid>
      <w:tr>
        <w:trPr>
          <w:tblHeader/>
        </w:trPr>
        <w:tc>
          <w:tcPr>
            <w:tcW w:type="dxa" w:w="11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Temps</w:t>
            </w:r>
          </w:p>
        </w:tc>
        <w:tc>
          <w:tcPr>
            <w:tcW w:type="dxa" w:w="4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Phase / Contenu</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Methode pedagogique</w:t>
            </w:r>
          </w:p>
        </w:tc>
        <w:tc>
          <w:tcPr>
            <w:tcW w:type="dxa" w:w="18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Supports / Materiels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10h30-10h50</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 IA appliquee a l'analyse de variants - DeepVariant (Google, CNN) et Clair3 (ONT/PacBio). Points forts, limites. Regard critique : boite noire, biais d'entrainement, cadre reglementaire (EU AI Act, IVDR).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 discussion</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 architecture DL</w:t>
            </w:r>
          </w:p>
        </w:tc>
      </w:tr>
      <w:tr>
        <w:tc>
          <w:tcPr>
            <w:tcW w:type="dxa" w:w="11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10h50-11h10</w:t>
            </w:r>
          </w:p>
        </w:tc>
        <w:tc>
          <w:tcPr>
            <w:tcW w:type="dxa" w:w="44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Mini-projet Long Read : les groupes analysent des donnees ONT (variations structurales avec Sniffles2). Consigne : identifier une SV non detectable avec des donnees Short Read.</w:t>
            </w:r>
          </w:p>
        </w:tc>
        <w:tc>
          <w:tcPr>
            <w:tcW w:type="dxa" w:w="20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Travail en groupe</w:t>
            </w:r>
          </w:p>
        </w:tc>
        <w:tc>
          <w:tcPr>
            <w:tcW w:type="dxa" w:w="18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HPC, Sniffles2, IGV</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11h10-11h30</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Contexte medecine de precision : exome vs. panels de genes. Panels cibles en oncologie (visualisation OncoPrint). Conseil carriere : questions d'entretien typiques au DKFZ/BIH.</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Cours dialogue</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 Panel vs. WES</w:t>
            </w:r>
          </w:p>
        </w:tc>
      </w:tr>
    </w:tbl>
    <w:p>
      <w:pPr>
        <w:spacing w:after="120" w:before="0"/>
      </w:pPr>
      <w:r>
        <w:t xml:space="preserve"/>
      </w:r>
    </w:p>
    <w:p>
      <w:pPr>
        <w:pStyle w:val="Heading2"/>
      </w:pPr>
      <w:r>
        <w:rPr>
          <w:rFonts w:ascii="Calibri" w:cs="Calibri" w:eastAsia="Calibri" w:hAnsi="Calibri"/>
          <w:b/>
          <w:bCs/>
          <w:color w:val="1A3A5C"/>
          <w:sz w:val="24"/>
          <w:szCs w:val="24"/>
        </w:rPr>
        <w:t xml:space="preserve">Bloc 12  Presentations et evaluation par les pairs  (11h30-12h30, 60 min)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2000"/>
        <w:gridCol w:w="1860"/>
      </w:tblGrid>
      <w:tr>
        <w:trPr>
          <w:tblHeader/>
        </w:trPr>
        <w:tc>
          <w:tcPr>
            <w:tcW w:type="dxa" w:w="11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Temps</w:t>
            </w:r>
          </w:p>
        </w:tc>
        <w:tc>
          <w:tcPr>
            <w:tcW w:type="dxa" w:w="4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Phase / Contenu</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Methode pedagogique</w:t>
            </w:r>
          </w:p>
        </w:tc>
        <w:tc>
          <w:tcPr>
            <w:tcW w:type="dxa" w:w="18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Supports / Materiels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11h30-12h10</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Presentation par groupe (8 min/groupe) : workflow de detection de variants, variants trouves, interpretation clinique. Discussion : pourquoi ce filtre ? Pourquoi cette annotation ?</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Presentation courte + feedback pairs</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Laptop, videoprojecteur</w:t>
            </w:r>
          </w:p>
        </w:tc>
      </w:tr>
      <w:tr>
        <w:tc>
          <w:tcPr>
            <w:tcW w:type="dxa" w:w="11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12h10-12h30</w:t>
            </w:r>
          </w:p>
        </w:tc>
        <w:tc>
          <w:tcPr>
            <w:tcW w:type="dxa" w:w="44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Evaluation par les pairs : feedback structure avec cartes (2 points forts, 1 suggestion). L'enseignant(e) anime et complete.</w:t>
            </w:r>
          </w:p>
        </w:tc>
        <w:tc>
          <w:tcPr>
            <w:tcW w:type="dxa" w:w="20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Feedback par les pairs</w:t>
            </w:r>
          </w:p>
        </w:tc>
        <w:tc>
          <w:tcPr>
            <w:tcW w:type="dxa" w:w="18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Cartes de feedback</w:t>
            </w:r>
          </w:p>
        </w:tc>
      </w:tr>
    </w:tbl>
    <w:p>
      <w:pPr>
        <w:spacing w:after="80" w:before="0"/>
      </w:pPr>
      <w:r>
        <w:t xml:space="preserve"/>
      </w:r>
    </w:p>
    <w:p>
      <w:pPr>
        <w:pBdr>
          <w:left w:val="single" w:color="D35400" w:sz="12" w:space="8"/>
        </w:pBdr>
        <w:shd w:fill="FEF9E7" w:val="clear"/>
        <w:spacing w:after="80" w:before="80" w:line="160"/>
        <w:ind w:left="180" w:right="180"/>
      </w:pPr>
      <w:r>
        <w:rPr>
          <w:rFonts w:ascii="Calibri" w:cs="Calibri" w:eastAsia="Calibri" w:hAnsi="Calibri"/>
          <w:color w:val="D35400"/>
          <w:sz w:val="20"/>
          <w:szCs w:val="20"/>
        </w:rPr>
        <w:t xml:space="preserve">Dejeuner : 12h30 - 13h15  (45 min)</w:t>
      </w:r>
    </w:p>
    <w:p>
      <w:pPr>
        <w:spacing w:after="160" w:before="0"/>
      </w:pPr>
      <w:r>
        <w:t xml:space="preserve"/>
      </w:r>
    </w:p>
    <w:p>
      <w:pPr>
        <w:pageBreakBefore/>
      </w:pPr>
    </w:p>
    <w:p>
      <w:pPr>
        <w:pStyle w:val="Heading1"/>
      </w:pPr>
      <w:r>
        <w:rPr>
          <w:rFonts w:ascii="Calibri" w:cs="Calibri" w:eastAsia="Calibri" w:hAnsi="Calibri"/>
          <w:b/>
          <w:bCs/>
          <w:color w:val="FFFFFF"/>
          <w:sz w:val="28"/>
          <w:szCs w:val="28"/>
        </w:rPr>
        <w:t xml:space="preserve">6  Jour 2 - Demi-journee 4 : Single-Cell RNA-Seq et Metataxonomie (13h15-17h00)</w:t>
      </w:r>
    </w:p>
    <w:p>
      <w:pPr>
        <w:spacing w:after="80" w:before="0"/>
      </w:pPr>
      <w:r>
        <w:t xml:space="preserve"/>
      </w:r>
    </w:p>
    <w:p>
      <w:pPr>
        <w:pStyle w:val="Heading2"/>
      </w:pPr>
      <w:r>
        <w:rPr>
          <w:rFonts w:ascii="Calibri" w:cs="Calibri" w:eastAsia="Calibri" w:hAnsi="Calibri"/>
          <w:b/>
          <w:bCs/>
          <w:color w:val="1A3A5C"/>
          <w:sz w:val="24"/>
          <w:szCs w:val="24"/>
        </w:rPr>
        <w:t xml:space="preserve">Bloc 13  Single-Cell RNA-Seq (scRNA-Seq)  (13h15-15h00, 105 min)</w:t>
      </w:r>
    </w:p>
    <w:p>
      <w:pPr>
        <w:spacing w:after="40" w:before="0"/>
      </w:pPr>
      <w:r>
        <w:t xml:space="preserve"/>
      </w:r>
    </w:p>
    <w:p>
      <w:pPr>
        <w:pBdr>
          <w:top w:val="single" w:color="8E44AD" w:sz="4" w:space="4"/>
          <w:bottom w:val="single" w:color="8E44AD" w:sz="4" w:space="4"/>
          <w:left w:val="single" w:color="8E44AD" w:sz="14" w:space="8"/>
          <w:right w:val="none" w:color="FFFFFF" w:sz="0"/>
        </w:pBdr>
        <w:shd w:fill="F5EEF8" w:val="clear"/>
        <w:spacing w:after="100" w:before="100" w:line="160"/>
        <w:ind w:left="200" w:right="200"/>
      </w:pPr>
      <w:r>
        <w:rPr>
          <w:rFonts w:ascii="Calibri" w:cs="Calibri" w:eastAsia="Calibri" w:hAnsi="Calibri"/>
          <w:i/>
          <w:iCs/>
          <w:color w:val="8E44AD"/>
          <w:sz w:val="20"/>
          <w:szCs w:val="20"/>
        </w:rPr>
        <w:t xml:space="preserve">PROBLEMATIQUE : Quelle population cellulaire dans la tumeur est responsable de la resistance au traitement ? Pouvez-vous identifier avec scRNA-Seq une sous-population rare (&lt; 0,5 % des cellules)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2000"/>
        <w:gridCol w:w="1860"/>
      </w:tblGrid>
      <w:tr>
        <w:trPr>
          <w:tblHeader/>
        </w:trPr>
        <w:tc>
          <w:tcPr>
            <w:tcW w:type="dxa" w:w="11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Temps</w:t>
            </w:r>
          </w:p>
        </w:tc>
        <w:tc>
          <w:tcPr>
            <w:tcW w:type="dxa" w:w="4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Phase / Contenu</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Methode pedagogique</w:t>
            </w:r>
          </w:p>
        </w:tc>
        <w:tc>
          <w:tcPr>
            <w:tcW w:type="dxa" w:w="18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Supports / Materiels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13h15-13h30</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 principe du scRNA-Seq - pourquoi l'approche cellule unique ? Difference avec le RNA-Seq bulk. Plateformes : 10x Genomics Chromium, Drop-seq, Smart-seq2. Concept barcode + UMI. UMAP vs. t-SNE.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 schema 10x</w:t>
            </w:r>
          </w:p>
        </w:tc>
      </w:tr>
      <w:tr>
        <w:tc>
          <w:tcPr>
            <w:tcW w:type="dxa" w:w="11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13h30-13h50</w:t>
            </w:r>
          </w:p>
        </w:tc>
        <w:tc>
          <w:tcPr>
            <w:tcW w:type="dxa" w:w="44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 demo : workflow Seurat (R) - chargement matrice Cellranger, filtres QC (nFeature, nCount, % Mito), normalisation (SCTransform), reduction de dimension (PCA -&gt; UMAP), clustering (Louvain).</w:t>
            </w:r>
          </w:p>
        </w:tc>
        <w:tc>
          <w:tcPr>
            <w:tcW w:type="dxa" w:w="20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Demo avec live-coding</w:t>
            </w:r>
          </w:p>
        </w:tc>
        <w:tc>
          <w:tcPr>
            <w:tcW w:type="dxa" w:w="18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RStudio (HPC), Seurat</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13h50-14h20</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TP : les etudiants executent le pipeline Seurat sur des donnees PBMC preparees. Consigne : identifier 3 clusters et les annoter avec des genes marqueurs (CD3E=T, CD19=B, CD14=monocyte).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TP encadre en groupe</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HPC, RStudio, Seurat</w:t>
            </w:r>
          </w:p>
        </w:tc>
      </w:tr>
      <w:tr>
        <w:tc>
          <w:tcPr>
            <w:tcW w:type="dxa" w:w="11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14h20-14h40</w:t>
            </w:r>
          </w:p>
        </w:tc>
        <w:tc>
          <w:tcPr>
            <w:tcW w:type="dxa" w:w="44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Approfondissement : expression differentielle entre clusters (FindMarkers), gene-set enrichment (clusterProfiler), pseudotemps (Monocle3), analyse de trajectoire.</w:t>
            </w:r>
          </w:p>
        </w:tc>
        <w:tc>
          <w:tcPr>
            <w:tcW w:type="dxa" w:w="20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Cours dialogue + demo</w:t>
            </w:r>
          </w:p>
        </w:tc>
        <w:tc>
          <w:tcPr>
            <w:tcW w:type="dxa" w:w="18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visualisation R</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14h40-15h00</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Discussion critique : IA en scRNA-Seq - scVI, Scimilarity, annotation par GPT. Opportunites et risques. Quand l'annotation manuelle est-elle indispensable ?</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Discussion animee</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 outils IA scRNA</w:t>
            </w:r>
          </w:p>
        </w:tc>
      </w:tr>
    </w:tbl>
    <w:p>
      <w:pPr>
        <w:spacing w:after="120" w:before="0"/>
      </w:pPr>
      <w:r>
        <w:t xml:space="preserve"/>
      </w:r>
    </w:p>
    <w:p>
      <w:pPr>
        <w:pStyle w:val="Heading2"/>
      </w:pPr>
      <w:r>
        <w:rPr>
          <w:rFonts w:ascii="Calibri" w:cs="Calibri" w:eastAsia="Calibri" w:hAnsi="Calibri"/>
          <w:b/>
          <w:bCs/>
          <w:color w:val="1A3A5C"/>
          <w:sz w:val="24"/>
          <w:szCs w:val="24"/>
        </w:rPr>
        <w:t xml:space="preserve">Bloc 14  Metataxonomie et metagenomique - microbiome intestinal  (15h00-16h30, 90 min)</w:t>
      </w:r>
    </w:p>
    <w:p>
      <w:pPr>
        <w:spacing w:after="40" w:before="0"/>
      </w:pPr>
      <w:r>
        <w:t xml:space="preserve"/>
      </w:r>
    </w:p>
    <w:p>
      <w:pPr>
        <w:pBdr>
          <w:top w:val="single" w:color="8E44AD" w:sz="4" w:space="4"/>
          <w:bottom w:val="single" w:color="8E44AD" w:sz="4" w:space="4"/>
          <w:left w:val="single" w:color="8E44AD" w:sz="14" w:space="8"/>
          <w:right w:val="none" w:color="FFFFFF" w:sz="0"/>
        </w:pBdr>
        <w:shd w:fill="F5EEF8" w:val="clear"/>
        <w:spacing w:after="100" w:before="100" w:line="160"/>
        <w:ind w:left="200" w:right="200"/>
      </w:pPr>
      <w:r>
        <w:rPr>
          <w:rFonts w:ascii="Calibri" w:cs="Calibri" w:eastAsia="Calibri" w:hAnsi="Calibri"/>
          <w:i/>
          <w:iCs/>
          <w:color w:val="8E44AD"/>
          <w:sz w:val="20"/>
          <w:szCs w:val="20"/>
        </w:rPr>
        <w:t xml:space="preserve">PROBLEMATIQUE : Votre patiente presente une alteration du microbiome intestinal apres antibiotherapie. Pouvez-vous, avec le sequencage d'amplicons 16S et QIIME2/DADA2, mettre en evidence une dysbiose cliniquement pertinente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2000"/>
        <w:gridCol w:w="1860"/>
      </w:tblGrid>
      <w:tr>
        <w:trPr>
          <w:tblHeader/>
        </w:trPr>
        <w:tc>
          <w:tcPr>
            <w:tcW w:type="dxa" w:w="11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Temps</w:t>
            </w:r>
          </w:p>
        </w:tc>
        <w:tc>
          <w:tcPr>
            <w:tcW w:type="dxa" w:w="4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Phase / Contenu</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Methode pedagogique</w:t>
            </w:r>
          </w:p>
        </w:tc>
        <w:tc>
          <w:tcPr>
            <w:tcW w:type="dxa" w:w="18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Supports / Materiels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15h00-15h15</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 : sequencage d'amplicons 16S vs. metagenomique shotgun. Choix des amorces (V3-V4, V1-V2). Concepts : OTUs vs. ASVs (DADA2). Diversite alpha et beta.</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 principe 16S</w:t>
            </w:r>
          </w:p>
        </w:tc>
      </w:tr>
      <w:tr>
        <w:tc>
          <w:tcPr>
            <w:tcW w:type="dxa" w:w="11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15h15-15h35</w:t>
            </w:r>
          </w:p>
        </w:tc>
        <w:tc>
          <w:tcPr>
            <w:tcW w:type="dxa" w:w="44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Demo QIIME2 : importation donnees paired-end, demultiplexage, debruitage DADA2 (denoise-paired), classification taxonomique (SILVA), visualisation dans QIIME2View.</w:t>
            </w:r>
          </w:p>
        </w:tc>
        <w:tc>
          <w:tcPr>
            <w:tcW w:type="dxa" w:w="20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Demo + TP encadre</w:t>
            </w:r>
          </w:p>
        </w:tc>
        <w:tc>
          <w:tcPr>
            <w:tcW w:type="dxa" w:w="18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HPC, QIIME2, DADA2</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15h35-15h55</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TP en groupe : analyse d'un jeu de donnees intestinales (HMP ou echantillon prepare). Consigne : comparer controle sain vs. patient. Diversite alpha (Shannon), beta (UniFrac), graphique PCoA.</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TP encadre en groupe</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HPC, QIIME2</w:t>
            </w:r>
          </w:p>
        </w:tc>
      </w:tr>
      <w:tr>
        <w:tc>
          <w:tcPr>
            <w:tcW w:type="dxa" w:w="11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15h55-16h10</w:t>
            </w:r>
          </w:p>
        </w:tc>
        <w:tc>
          <w:tcPr>
            <w:tcW w:type="dxa" w:w="44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Discussion par table : defis du workflow QIIME2 avec les donnees Nanopore. Qu'echoue ? Qu'adapter ? (NanoCLUST, EVEN-tools, probleme de taux d'erreur en 16S ONT).</w:t>
            </w:r>
          </w:p>
        </w:tc>
        <w:tc>
          <w:tcPr>
            <w:tcW w:type="dxa" w:w="20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Tables rondes animees</w:t>
            </w:r>
          </w:p>
        </w:tc>
        <w:tc>
          <w:tcPr>
            <w:tcW w:type="dxa" w:w="18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 defis ONT 16S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16h10-16h30</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Perspectives metagenomique : workflows shotgun (MetaPhlan4, HUMAnN3, KrakenUniq). Difference avec metataxonomie. Pertinence clinique : resistome, identification de phages.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Expose</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w:t>
            </w:r>
          </w:p>
        </w:tc>
      </w:tr>
    </w:tbl>
    <w:p>
      <w:pPr>
        <w:spacing w:after="120" w:before="0"/>
      </w:pPr>
      <w:r>
        <w:t xml:space="preserve"/>
      </w:r>
    </w:p>
    <w:p>
      <w:pPr>
        <w:pStyle w:val="Heading2"/>
      </w:pPr>
      <w:r>
        <w:rPr>
          <w:rFonts w:ascii="Calibri" w:cs="Calibri" w:eastAsia="Calibri" w:hAnsi="Calibri"/>
          <w:b/>
          <w:bCs/>
          <w:color w:val="1A3A5C"/>
          <w:sz w:val="24"/>
          <w:szCs w:val="24"/>
        </w:rPr>
        <w:t xml:space="preserve">Bloc 15  Cloture et bilan du cours  (16h30-17h00, 30 min)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400"/>
        <w:gridCol w:w="2000"/>
        <w:gridCol w:w="1860"/>
      </w:tblGrid>
      <w:tr>
        <w:trPr>
          <w:tblHeader/>
        </w:trPr>
        <w:tc>
          <w:tcPr>
            <w:tcW w:type="dxa" w:w="11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Temps</w:t>
            </w:r>
          </w:p>
        </w:tc>
        <w:tc>
          <w:tcPr>
            <w:tcW w:type="dxa" w:w="44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Phase / Contenu</w:t>
            </w:r>
          </w:p>
        </w:tc>
        <w:tc>
          <w:tcPr>
            <w:tcW w:type="dxa" w:w="20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Methode pedagogique</w:t>
            </w:r>
          </w:p>
        </w:tc>
        <w:tc>
          <w:tcPr>
            <w:tcW w:type="dxa" w:w="18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vAlign w:val="center"/>
          </w:tcPr>
          <w:p>
            <w:pPr>
              <w:spacing w:after="0" w:before="0" w:line="160"/>
              <w:jc w:val="left"/>
            </w:pPr>
            <w:r>
              <w:rPr>
                <w:rFonts w:ascii="Calibri" w:cs="Calibri" w:eastAsia="Calibri" w:hAnsi="Calibri"/>
                <w:b/>
                <w:bCs/>
                <w:color w:val="FFFFFF"/>
                <w:sz w:val="19"/>
                <w:szCs w:val="19"/>
              </w:rPr>
              <w:t xml:space="preserve">Supports / Materiels</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16h30-16h45</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Bilan general (tour de table eclair) : 1 chose retenue ; 1 question encore ouverte ; 1 application dans mon memoire / futur emploi.</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Tour de table eclair</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Sans support</w:t>
            </w:r>
          </w:p>
        </w:tc>
      </w:tr>
      <w:tr>
        <w:tc>
          <w:tcPr>
            <w:tcW w:type="dxa" w:w="11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16h45-16h55</w:t>
            </w:r>
          </w:p>
        </w:tc>
        <w:tc>
          <w:tcPr>
            <w:tcW w:type="dxa" w:w="44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Explication du portfolio : 2 workflows complets (variants + SC ou microbiome) dans un depot Git reproductible avec README. Remise sous 3 semaines.</w:t>
            </w:r>
          </w:p>
        </w:tc>
        <w:tc>
          <w:tcPr>
            <w:tcW w:type="dxa" w:w="20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Information + Q&amp;R</w:t>
            </w:r>
          </w:p>
        </w:tc>
        <w:tc>
          <w:tcPr>
            <w:tcW w:type="dxa" w:w="18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 criteres portfolio</w:t>
            </w:r>
          </w:p>
        </w:tc>
      </w:tr>
      <w:tr>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16h55-17h00</w:t>
            </w:r>
          </w:p>
        </w:tc>
        <w:tc>
          <w:tcPr>
            <w:tcW w:type="dxa" w:w="4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Cloture. Ressources : Bioconductor, EMBL-EBI Training, nf-core Pipelines (sarek, rnaseq, ampliseq, scrnaseq).</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Conclusion</w:t>
            </w:r>
          </w:p>
        </w:tc>
        <w:tc>
          <w:tcPr>
            <w:tcW w:type="dxa" w:w="18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Diapo : liste de ressources</w:t>
            </w:r>
          </w:p>
        </w:tc>
      </w:tr>
    </w:tbl>
    <w:p>
      <w:pPr>
        <w:spacing w:after="200" w:before="0"/>
      </w:pPr>
      <w:r>
        <w:t xml:space="preserve"/>
      </w:r>
    </w:p>
    <w:p>
      <w:pPr>
        <w:pStyle w:val="Heading1"/>
      </w:pPr>
      <w:r>
        <w:rPr>
          <w:rFonts w:ascii="Calibri" w:cs="Calibri" w:eastAsia="Calibri" w:hAnsi="Calibri"/>
          <w:b/>
          <w:bCs/>
          <w:color w:val="FFFFFF"/>
          <w:sz w:val="28"/>
          <w:szCs w:val="28"/>
        </w:rPr>
        <w:t xml:space="preserve">7  Methodes d'enseignement et supports pedagogiques</w:t>
      </w:r>
    </w:p>
    <w:p>
      <w:pPr>
        <w:spacing w:after="80" w:before="0"/>
      </w:pPr>
      <w:r>
        <w:t xml:space="preserve"/>
      </w:r>
    </w:p>
    <w:p>
      <w:pPr>
        <w:pStyle w:val="Heading2"/>
      </w:pPr>
      <w:r>
        <w:rPr>
          <w:rFonts w:ascii="Calibri" w:cs="Calibri" w:eastAsia="Calibri" w:hAnsi="Calibri"/>
          <w:b/>
          <w:bCs/>
          <w:color w:val="1A3A5C"/>
          <w:sz w:val="24"/>
          <w:szCs w:val="24"/>
        </w:rPr>
        <w:t xml:space="preserve">7.1  Methodes d'enseignement et d'apprentissage utilisees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after="0" w:before="0" w:line="160"/>
              <w:jc w:val="left"/>
            </w:pPr>
            <w:r>
              <w:rPr>
                <w:rFonts w:ascii="Calibri" w:cs="Calibri" w:eastAsia="Calibri" w:hAnsi="Calibri"/>
                <w:b/>
                <w:bCs/>
                <w:color w:val="FFFFFF"/>
                <w:sz w:val="19"/>
                <w:szCs w:val="19"/>
              </w:rPr>
              <w:t xml:space="preserve">Methode</w:t>
            </w:r>
          </w:p>
        </w:tc>
        <w:tc>
          <w:tcPr>
            <w:tcW w:type="dxa" w:w="42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after="0" w:before="0" w:line="160"/>
              <w:jc w:val="left"/>
            </w:pPr>
            <w:r>
              <w:rPr>
                <w:rFonts w:ascii="Calibri" w:cs="Calibri" w:eastAsia="Calibri" w:hAnsi="Calibri"/>
                <w:b/>
                <w:bCs/>
                <w:color w:val="FFFFFF"/>
                <w:sz w:val="19"/>
                <w:szCs w:val="19"/>
              </w:rPr>
              <w:t xml:space="preserve">Description et mise en oeuvre</w:t>
            </w:r>
          </w:p>
        </w:tc>
        <w:tc>
          <w:tcPr>
            <w:tcW w:type="dxa" w:w="25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after="0" w:before="0" w:line="160"/>
              <w:jc w:val="left"/>
            </w:pPr>
            <w:r>
              <w:rPr>
                <w:rFonts w:ascii="Calibri" w:cs="Calibri" w:eastAsia="Calibri" w:hAnsi="Calibri"/>
                <w:b/>
                <w:bCs/>
                <w:color w:val="FFFFFF"/>
                <w:sz w:val="19"/>
                <w:szCs w:val="19"/>
              </w:rPr>
              <w:t xml:space="preserve">Dimension de l'objectif</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Apprentissage par problemes (APP)</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Chaque unite s'ouvre sur une situation-probleme. Les etudiants formulent des hypotheses, les testent et reflechissent.</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Analyse, evaluation, transfert</w:t>
            </w:r>
          </w:p>
        </w:tc>
      </w:tr>
      <w:tr>
        <w:tc>
          <w:tcPr>
            <w:tcW w:type="dxa" w:w="26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Travail cooperatif en groupe</w:t>
            </w:r>
          </w:p>
        </w:tc>
        <w:tc>
          <w:tcPr>
            <w:tcW w:type="dxa" w:w="42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3-4 etudiants par groupe, composition heterogene. Roles clairs : animateur, secretaire, presentateur, code-reviewer.</w:t>
            </w:r>
          </w:p>
        </w:tc>
        <w:tc>
          <w:tcPr>
            <w:tcW w:type="dxa" w:w="25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Competences sociales et methodologiques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Jigsaw (classe inversee par groupes)</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Les groupes traitent une technologie specifique, puis enseignent les autres groupes.</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Metacognition, communication</w:t>
            </w:r>
          </w:p>
        </w:tc>
      </w:tr>
      <w:tr>
        <w:tc>
          <w:tcPr>
            <w:tcW w:type="dxa" w:w="26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TP encadres sur donnees reelles</w:t>
            </w:r>
          </w:p>
        </w:tc>
        <w:tc>
          <w:tcPr>
            <w:tcW w:type="dxa" w:w="42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Les etudiants travaillent sur des jeux de donnees reels sur le HPC. Enseignant(e) en mode coach.</w:t>
            </w:r>
          </w:p>
        </w:tc>
        <w:tc>
          <w:tcPr>
            <w:tcW w:type="dxa" w:w="25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Application, competences pratiques</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Demonstration avec reproduction</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Live-coding par l'enseignant(e), les etudiants reproduisent chaque etape en parallele.</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Competences procedurales</w:t>
            </w:r>
          </w:p>
        </w:tc>
      </w:tr>
      <w:tr>
        <w:tc>
          <w:tcPr>
            <w:tcW w:type="dxa" w:w="26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Feedback par les pairs</w:t>
            </w:r>
          </w:p>
        </w:tc>
        <w:tc>
          <w:tcPr>
            <w:tcW w:type="dxa" w:w="42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Retour structure apres presentations (methode 2+1 : 2 points forts, 1 suggestion).</w:t>
            </w:r>
          </w:p>
        </w:tc>
        <w:tc>
          <w:tcPr>
            <w:tcW w:type="dxa" w:w="25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Reflexion, competences d'evaluation</w:t>
            </w:r>
          </w:p>
        </w:tc>
      </w:tr>
      <w:tr>
        <w:tc>
          <w:tcPr>
            <w:tcW w:type="dxa" w:w="2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Tour de table eclair</w:t>
            </w:r>
          </w:p>
        </w:tc>
        <w:tc>
          <w:tcPr>
            <w:tcW w:type="dxa" w:w="4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Retours rapides en debut/fin de seance. Accessible, tout le monde prend la parole.</w:t>
            </w:r>
          </w:p>
        </w:tc>
        <w:tc>
          <w:tcPr>
            <w:tcW w:type="dxa" w:w="25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Reflexion, activation</w:t>
            </w:r>
          </w:p>
        </w:tc>
      </w:tr>
      <w:tr>
        <w:tc>
          <w:tcPr>
            <w:tcW w:type="dxa" w:w="26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Methode Placemat</w:t>
            </w:r>
          </w:p>
        </w:tc>
        <w:tc>
          <w:tcPr>
            <w:tcW w:type="dxa" w:w="42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Les groupes notent individuellement, puis construction d'un centre commun - image collective.</w:t>
            </w:r>
          </w:p>
        </w:tc>
        <w:tc>
          <w:tcPr>
            <w:tcW w:type="dxa" w:w="25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Activation des connaissances anterieures</w:t>
            </w:r>
          </w:p>
        </w:tc>
      </w:tr>
    </w:tbl>
    <w:p>
      <w:pPr>
        <w:spacing w:after="120" w:before="0"/>
      </w:pPr>
      <w:r>
        <w:t xml:space="preserve"/>
      </w:r>
    </w:p>
    <w:p>
      <w:pPr>
        <w:pStyle w:val="Heading2"/>
      </w:pPr>
      <w:r>
        <w:rPr>
          <w:rFonts w:ascii="Calibri" w:cs="Calibri" w:eastAsia="Calibri" w:hAnsi="Calibri"/>
          <w:b/>
          <w:bCs/>
          <w:color w:val="1A3A5C"/>
          <w:sz w:val="24"/>
          <w:szCs w:val="24"/>
        </w:rPr>
        <w:t xml:space="preserve">7.2  Supports techniques et materiels</w:t>
      </w:r>
    </w:p>
    <w:p>
      <w:pPr>
        <w:spacing w:after="40" w:before="0"/>
      </w:pPr>
      <w:r>
        <w:t xml:space="preserve"/>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Cluster HPC universitaire (SLURM, au moins 8 CPUs et 32 Go de RAM par groupe)</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Laptops des etudiants avec client SSH (MobaXterm / Terminal), navigateur web pour QIIME2View et IGV-Web</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R/RStudio (module HPC) : Seurat, clusterProfiler, ggplot2</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Outils bioinformatiques : FastQC, MultiQC, Trimmomatic, fastp, BWA-MEM2, GATK 4.x, Mutect2, QIIME2 (2024.x), DADA2, NanoPlot, Sniffles2</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Videoprojecteur + tableau blanc + paper board</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Jeux de donnees : NA12878-WES-subset, TCGA-Tumor-subset, PBMC scRNA 10x demo, HMP2-Microbiome, donnees ONT (Zymo Mock)</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Supports de cours : diaporamas (PDF + source Quarto), aide-memoires (Shell, GATK, Seurat), cartes de feedback, cartes de diagnostic</w:t>
      </w:r>
    </w:p>
    <w:p>
      <w:pPr>
        <w:spacing w:after="200" w:before="0"/>
      </w:pPr>
      <w:r>
        <w:t xml:space="preserve"/>
      </w:r>
    </w:p>
    <w:p>
      <w:pPr>
        <w:pStyle w:val="Heading1"/>
      </w:pPr>
      <w:r>
        <w:rPr>
          <w:rFonts w:ascii="Calibri" w:cs="Calibri" w:eastAsia="Calibri" w:hAnsi="Calibri"/>
          <w:b/>
          <w:bCs/>
          <w:color w:val="FFFFFF"/>
          <w:sz w:val="28"/>
          <w:szCs w:val="28"/>
        </w:rPr>
        <w:t xml:space="preserve">8  Evaluation et portfolio</w:t>
      </w:r>
    </w:p>
    <w:p>
      <w:pPr>
        <w:spacing w:after="80" w:before="0"/>
      </w:pPr>
      <w:r>
        <w:t xml:space="preserve"/>
      </w:r>
    </w:p>
    <w:p>
      <w:pPr>
        <w:pStyle w:val="Heading2"/>
      </w:pPr>
      <w:r>
        <w:rPr>
          <w:rFonts w:ascii="Calibri" w:cs="Calibri" w:eastAsia="Calibri" w:hAnsi="Calibri"/>
          <w:b/>
          <w:bCs/>
          <w:color w:val="1A3A5C"/>
          <w:sz w:val="24"/>
          <w:szCs w:val="24"/>
        </w:rPr>
        <w:t xml:space="preserve">8.1  Modalite d'evaluation : portfolio d'analyse reproductible</w:t>
      </w:r>
    </w:p>
    <w:p>
      <w:pPr>
        <w:spacing w:after="80" w:before="0" w:line="160"/>
        <w:jc w:val="left"/>
      </w:pPr>
      <w:r>
        <w:rPr>
          <w:rFonts w:ascii="Calibri" w:cs="Calibri" w:eastAsia="Calibri" w:hAnsi="Calibri"/>
          <w:b w:val="false"/>
          <w:bCs w:val="false"/>
          <w:color w:val="2C3E50"/>
          <w:sz w:val="20"/>
          <w:szCs w:val="20"/>
        </w:rPr>
        <w:t xml:space="preserve">L'evaluation suit le principe de l'evaluation authentique. Les etudiants documentent deux workflows bioinformatiques complets dans un depot Git. Le portfolio s'inspire des standards de la science reproductible (pipeline Snakemake ou rapport Quarto recommandes).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160"/>
        <w:gridCol w:w="1600"/>
      </w:tblGrid>
      <w:tr>
        <w:trPr>
          <w:tblHeader/>
        </w:trPr>
        <w:tc>
          <w:tcPr>
            <w:tcW w:type="dxa" w:w="3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after="0" w:before="0" w:line="160"/>
              <w:jc w:val="left"/>
            </w:pPr>
            <w:r>
              <w:rPr>
                <w:rFonts w:ascii="Calibri" w:cs="Calibri" w:eastAsia="Calibri" w:hAnsi="Calibri"/>
                <w:b/>
                <w:bCs/>
                <w:color w:val="FFFFFF"/>
                <w:sz w:val="19"/>
                <w:szCs w:val="19"/>
              </w:rPr>
              <w:t xml:space="preserve">Critere</w:t>
            </w:r>
          </w:p>
        </w:tc>
        <w:tc>
          <w:tcPr>
            <w:tcW w:type="dxa" w:w="41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after="0" w:before="0" w:line="160"/>
              <w:jc w:val="left"/>
            </w:pPr>
            <w:r>
              <w:rPr>
                <w:rFonts w:ascii="Calibri" w:cs="Calibri" w:eastAsia="Calibri" w:hAnsi="Calibri"/>
                <w:b/>
                <w:bCs/>
                <w:color w:val="FFFFFF"/>
                <w:sz w:val="19"/>
                <w:szCs w:val="19"/>
              </w:rPr>
              <w:t xml:space="preserve">Description</w:t>
            </w:r>
          </w:p>
        </w:tc>
        <w:tc>
          <w:tcPr>
            <w:tcW w:type="dxa" w:w="1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spacing w:after="0" w:before="0" w:line="160"/>
              <w:jc w:val="left"/>
            </w:pPr>
            <w:r>
              <w:rPr>
                <w:rFonts w:ascii="Calibri" w:cs="Calibri" w:eastAsia="Calibri" w:hAnsi="Calibri"/>
                <w:b/>
                <w:bCs/>
                <w:color w:val="FFFFFF"/>
                <w:sz w:val="19"/>
                <w:szCs w:val="19"/>
              </w:rPr>
              <w:t xml:space="preserve">Ponderation</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Reproductibilite</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Code fonctionnel sur environnement HPC standard, README avec instructions d'installation</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25 %</w:t>
            </w:r>
          </w:p>
        </w:tc>
      </w:tr>
      <w:tr>
        <w:tc>
          <w:tcPr>
            <w:tcW w:type="dxa" w:w="36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Exactitude scientifique</w:t>
            </w:r>
          </w:p>
        </w:tc>
        <w:tc>
          <w:tcPr>
            <w:tcW w:type="dxa" w:w="41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Choix pertinent des parametres, justification des decisions de filtrage, interpretation biologique</w:t>
            </w:r>
          </w:p>
        </w:tc>
        <w:tc>
          <w:tcPr>
            <w:tcW w:type="dxa" w:w="16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30 %</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Reflexion critique</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Discussion des limites, des outils alternatifs et des sources d'erreurs potentielles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20 %</w:t>
            </w:r>
          </w:p>
        </w:tc>
      </w:tr>
      <w:tr>
        <w:tc>
          <w:tcPr>
            <w:tcW w:type="dxa" w:w="36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Qualite de la documentation</w:t>
            </w:r>
          </w:p>
        </w:tc>
        <w:tc>
          <w:tcPr>
            <w:tcW w:type="dxa" w:w="416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Structure claire, formatage Markdown, code commente</w:t>
            </w:r>
          </w:p>
        </w:tc>
        <w:tc>
          <w:tcPr>
            <w:tcW w:type="dxa" w:w="1600"/>
            <w:tcBorders>
              <w:top w:val="single" w:color="BDC3C7" w:sz="1"/>
              <w:left w:val="single" w:color="BDC3C7" w:sz="1"/>
              <w:bottom w:val="single" w:color="BDC3C7" w:sz="1"/>
              <w:right w:val="single" w:color="BDC3C7" w:sz="1"/>
            </w:tcBorders>
            <w:shd w:fill="F2F9FC"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15 %</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Creativite / Initiative personnelle</w:t>
            </w:r>
          </w:p>
        </w:tc>
        <w:tc>
          <w:tcPr>
            <w:tcW w:type="dxa" w:w="4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Extension autonome : analyse supplementaire, methode alternative, visualisation originale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spacing w:after="0" w:before="0" w:line="160"/>
              <w:jc w:val="left"/>
            </w:pPr>
            <w:r>
              <w:rPr>
                <w:rFonts w:ascii="Calibri" w:cs="Calibri" w:eastAsia="Calibri" w:hAnsi="Calibri"/>
                <w:b w:val="false"/>
                <w:bCs w:val="false"/>
                <w:color w:val="2C3E50"/>
                <w:sz w:val="18"/>
                <w:szCs w:val="18"/>
              </w:rPr>
              <w:t xml:space="preserve">10 %</w:t>
            </w:r>
          </w:p>
        </w:tc>
      </w:tr>
    </w:tbl>
    <w:p>
      <w:pPr>
        <w:spacing w:after="200" w:before="0"/>
      </w:pPr>
      <w:r>
        <w:t xml:space="preserve"/>
      </w:r>
    </w:p>
    <w:p>
      <w:pPr>
        <w:pStyle w:val="Heading1"/>
      </w:pPr>
      <w:r>
        <w:rPr>
          <w:rFonts w:ascii="Calibri" w:cs="Calibri" w:eastAsia="Calibri" w:hAnsi="Calibri"/>
          <w:b/>
          <w:bCs/>
          <w:color w:val="FFFFFF"/>
          <w:sz w:val="28"/>
          <w:szCs w:val="28"/>
        </w:rPr>
        <w:t xml:space="preserve">9  Differenciation, inclusion et gestion de l'heterogeneite</w:t>
      </w:r>
    </w:p>
    <w:p>
      <w:pPr>
        <w:spacing w:after="80" w:before="0"/>
      </w:pPr>
      <w:r>
        <w:t xml:space="preserve"/>
      </w:r>
    </w:p>
    <w:p>
      <w:pPr>
        <w:pStyle w:val="Heading2"/>
      </w:pPr>
      <w:r>
        <w:rPr>
          <w:rFonts w:ascii="Calibri" w:cs="Calibri" w:eastAsia="Calibri" w:hAnsi="Calibri"/>
          <w:b/>
          <w:bCs/>
          <w:color w:val="1A3A5C"/>
          <w:sz w:val="24"/>
          <w:szCs w:val="24"/>
        </w:rPr>
        <w:t xml:space="preserve">9.1  Heterogeneite du groupe et strategies d'adaptation</w:t>
      </w:r>
    </w:p>
    <w:p>
      <w:pPr>
        <w:spacing w:after="80" w:before="0" w:line="160"/>
        <w:jc w:val="left"/>
      </w:pPr>
      <w:r>
        <w:rPr>
          <w:rFonts w:ascii="Calibri" w:cs="Calibri" w:eastAsia="Calibri" w:hAnsi="Calibri"/>
          <w:b w:val="false"/>
          <w:bCs w:val="false"/>
          <w:color w:val="2C3E50"/>
          <w:sz w:val="20"/>
          <w:szCs w:val="20"/>
        </w:rPr>
        <w:t xml:space="preserve">Les etudiants de Master en biotechnologies de la sante ont des acquis tres varies : certains ont de l'experience en programmation (Python, R), d'autres n'ont jamais utilise une ligne de commande. Strategies d'adaptation :</w:t>
      </w:r>
    </w:p>
    <w:p>
      <w:pPr>
        <w:spacing w:after="40" w:before="0"/>
      </w:pPr>
      <w:r>
        <w:t xml:space="preserve"/>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Composition heterogene des groupes : etudiants de niveaux differents deliberement melanges (effet tutorat par les pairs)</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Taches approfondies optionnelles ('challenges') pour les etudiants avances dans chaque bloc</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Materiel pre-cours : video d'introduction au Shell (30 min) distribuee 1 semaine avant</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Aide-memoires comme supports d'etayage : commandes Shell, parametres GATK, syntaxe R/Seurat</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Enseignant(e) en mode coach : accompagnement actif, questions guidantes plutot que reponses directes</w:t>
      </w:r>
    </w:p>
    <w:p>
      <w:pPr>
        <w:spacing w:after="200" w:before="0"/>
      </w:pPr>
      <w:r>
        <w:t xml:space="preserve"/>
      </w:r>
    </w:p>
    <w:p>
      <w:pPr>
        <w:pStyle w:val="Heading1"/>
      </w:pPr>
      <w:r>
        <w:rPr>
          <w:rFonts w:ascii="Calibri" w:cs="Calibri" w:eastAsia="Calibri" w:hAnsi="Calibri"/>
          <w:b/>
          <w:bCs/>
          <w:color w:val="FFFFFF"/>
          <w:sz w:val="28"/>
          <w:szCs w:val="28"/>
        </w:rPr>
        <w:t xml:space="preserve">10  Annexe : ressources et bibliographie selective</w:t>
      </w:r>
    </w:p>
    <w:p>
      <w:pPr>
        <w:spacing w:after="80" w:before="0"/>
      </w:pPr>
      <w:r>
        <w:t xml:space="preserve"/>
      </w:r>
    </w:p>
    <w:p>
      <w:pPr>
        <w:pStyle w:val="Heading2"/>
      </w:pPr>
      <w:r>
        <w:rPr>
          <w:rFonts w:ascii="Calibri" w:cs="Calibri" w:eastAsia="Calibri" w:hAnsi="Calibri"/>
          <w:b/>
          <w:bCs/>
          <w:color w:val="1A3A5C"/>
          <w:sz w:val="24"/>
          <w:szCs w:val="24"/>
        </w:rPr>
        <w:t xml:space="preserve">10.1  Jeux de donnees et outils principaux</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NA12878 WES/WGS : ftp.1000genomes.ebi.ac.uk (reference gold standard Illumina HiSeq)</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10x PBMC scRNA demo : 10xgenomics.com/datasets/pbmc-3k</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HMP2 Microbiome : hmpdacc.org/hmp2 (jeu de donnees iHMP)</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Zymo Mock Community ONT : Zymo Research R10.4.1 Kits, jeux de donnees officiels</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TCGA-LAML (leucemie WES) : portal.gdc.cancer.gov (niveau d'acces libre)</w:t>
      </w:r>
    </w:p>
    <w:p>
      <w:pPr>
        <w:spacing w:after="80" w:before="0"/>
      </w:pPr>
      <w:r>
        <w:t xml:space="preserve"/>
      </w:r>
    </w:p>
    <w:p>
      <w:pPr>
        <w:pStyle w:val="Heading2"/>
      </w:pPr>
      <w:r>
        <w:rPr>
          <w:rFonts w:ascii="Calibri" w:cs="Calibri" w:eastAsia="Calibri" w:hAnsi="Calibri"/>
          <w:b/>
          <w:bCs/>
          <w:color w:val="1A3A5C"/>
          <w:sz w:val="24"/>
          <w:szCs w:val="24"/>
        </w:rPr>
        <w:t xml:space="preserve">10.2  Lectures recommandees</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Van der Auwera &amp; O'Connor (2020) : Genomics in the Cloud - O'Reilly (GATK Best Practices)</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Heumos et al. (2023) : Best practices for single-cell analysis - Nature Reviews Genetics</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Callahan et al. (2016) : DADA2: High-resolution sample inference - Nature Methods</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GATK Best Practices Workflows : gatk.broadinstitute.org/hc/en-us/sections/360007226651</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nf-core Pipelines : nf-co.re (sarek, rnaseq, ampliseq, scrnaseq)</w:t>
      </w:r>
    </w:p>
    <w:p>
      <w:pPr>
        <w:pStyle w:val="ListParagraph"/>
        <w:numPr>
          <w:ilvl w:val="0"/>
          <w:numId w:val="2"/>
        </w:numPr>
        <w:spacing w:after="40" w:before="40" w:line="160"/>
        <w:ind w:left="720" w:hanging="360"/>
      </w:pPr>
      <w:r>
        <w:rPr>
          <w:rFonts w:ascii="Calibri" w:cs="Calibri" w:eastAsia="Calibri" w:hAnsi="Calibri"/>
          <w:color w:val="2C3E50"/>
          <w:sz w:val="20"/>
          <w:szCs w:val="20"/>
        </w:rPr>
        <w:t xml:space="preserve">EMBL-EBI Online Training : ebi.ac.uk/training/online</w:t>
      </w:r>
    </w:p>
    <w:p>
      <w:pPr>
        <w:spacing w:after="200" w:before="0"/>
      </w:pPr>
      <w:r>
        <w:t xml:space="preserve"/>
      </w:r>
    </w:p>
    <w:p>
      <w:pPr>
        <w:pBdr>
          <w:bottom w:val="single" w:color="2980B9" w:sz="6" w:space="1"/>
        </w:pBdr>
        <w:spacing w:after="80" w:before="80"/>
      </w:pPr>
      <w:r>
        <w:t xml:space="preserve"/>
      </w:r>
    </w:p>
    <w:p>
      <w:pPr>
        <w:spacing w:after="40" w:before="0"/>
      </w:pPr>
      <w:r>
        <w:t xml:space="preserve"/>
      </w:r>
    </w:p>
    <w:p>
      <w:pPr>
        <w:spacing w:after="0" w:before="0" w:line="160"/>
        <w:jc w:val="center"/>
      </w:pPr>
      <w:r>
        <w:rPr>
          <w:rFonts w:ascii="Calibri" w:cs="Calibri" w:eastAsia="Calibri" w:hAnsi="Calibri"/>
          <w:b w:val="false"/>
          <w:bCs w:val="false"/>
          <w:color w:val="566573"/>
          <w:sz w:val="17"/>
          <w:szCs w:val="17"/>
        </w:rPr>
        <w:t xml:space="preserve">Redige pour : Master Biotechnologies de la sante et medecine  -  Formation intensive Bioinformatique Pratique &amp; Genomique  -  Format 2 jours  -  15h</w:t>
      </w:r>
    </w:p>
    <w:p>
      <w:pPr>
        <w:spacing w:after="40" w:before="0"/>
      </w:pPr>
      <w:r>
        <w:t xml:space="preserve"/>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980B9" w:sz="4" w:space="4"/>
      </w:pBdr>
      <w:tabs>
        <w:tab w:val="right" w:pos="9026"/>
      </w:tabs>
      <w:spacing w:after="0" w:before="0"/>
    </w:pPr>
    <w:r>
      <w:rPr>
        <w:rFonts w:ascii="Calibri" w:cs="Calibri" w:eastAsia="Calibri" w:hAnsi="Calibri"/>
        <w:color w:val="566573"/>
        <w:sz w:val="16"/>
        <w:szCs w:val="16"/>
      </w:rPr>
      <w:t xml:space="preserve">Cours : Bioinformatique Pratique &amp; Genomique  -  Formation intensive 2 jours</w:t>
    </w:r>
    <w:r>
      <w:rPr>
        <w:rFonts w:ascii="Calibri" w:cs="Calibri" w:eastAsia="Calibri" w:hAnsi="Calibri"/>
        <w:color w:val="566573"/>
        <w:sz w:val="16"/>
        <w:szCs w:val="16"/>
      </w:rPr>
      <w:t xml:space="preserve">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A3A5C" w:val="clear"/>
      <w:spacing w:after="0" w:before="0"/>
    </w:pPr>
    <w:r>
      <w:rPr>
        <w:rFonts w:ascii="Calibri" w:cs="Calibri" w:eastAsia="Calibri" w:hAnsi="Calibri"/>
        <w:b/>
        <w:bCs/>
        <w:color w:val="FFFFFF"/>
        <w:sz w:val="16"/>
        <w:szCs w:val="16"/>
      </w:rPr>
      <w:t xml:space="preserve">FICHE PEDAGOGIQUE  -  Bioinformatique &amp; Genomique  -  Master Biotechnologies de la Sante</w:t>
    </w:r>
    <w:r>
      <w:rPr>
        <w:rFonts w:ascii="Calibri" w:cs="Calibri" w:eastAsia="Calibri" w:hAnsi="Calibri"/>
        <w:color w:val="BDC3C7"/>
        <w:sz w:val="16"/>
        <w:szCs w:val="16"/>
      </w:rPr>
      <w:t xml:space="preserve">  |  15h / 2 jours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A3A5C" w:val="clear"/>
      <w:spacing w:after="160" w:before="320"/>
      <w:ind w:left="180" w:right="180"/>
      <w:outlineLvl w:val="0"/>
    </w:pPr>
    <w:rPr>
      <w:rFonts w:ascii="Calibri" w:cs="Calibri" w:eastAsia="Calibri" w:hAnsi="Calibri"/>
      <w:b/>
      <w:bCs/>
      <w:color w:val="FFFFFF"/>
      <w:sz w:val="28"/>
      <w:szCs w:val="28"/>
    </w:rPr>
  </w:style>
  <w:style w:type="paragraph" w:styleId="Heading2">
    <w:name w:val="Heading 2"/>
    <w:basedOn w:val="Normal"/>
    <w:next w:val="Normal"/>
    <w:qFormat/>
    <w:pPr>
      <w:pBdr>
        <w:bottom w:val="single" w:color="2980B9" w:sz="4" w:space="4"/>
      </w:pBdr>
      <w:spacing w:after="120" w:before="240"/>
      <w:outlineLvl w:val="1"/>
    </w:pPr>
    <w:rPr>
      <w:rFonts w:ascii="Calibri" w:cs="Calibri" w:eastAsia="Calibri" w:hAnsi="Calibri"/>
      <w:b/>
      <w:bCs/>
      <w:color w:val="1A3A5C"/>
      <w:sz w:val="24"/>
      <w:szCs w:val="24"/>
    </w:rPr>
  </w:style>
  <w:style w:type="paragraph" w:styleId="Heading3">
    <w:name w:val="Heading 3"/>
    <w:basedOn w:val="Normal"/>
    <w:next w:val="Normal"/>
    <w:qFormat/>
    <w:pPr>
      <w:spacing w:after="80" w:before="180"/>
      <w:outlineLvl w:val="2"/>
    </w:pPr>
    <w:rPr>
      <w:rFonts w:ascii="Calibri" w:cs="Calibri" w:eastAsia="Calibri" w:hAnsi="Calibri"/>
      <w:b/>
      <w:bCs/>
      <w:color w:val="2980B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2026-04-01T10:08:15.053Z</dcterms:created>
  <dcterms:modified xsi:type="dcterms:W3CDTF">2026-04-01T10:08:15.054Z</dcterms:modified>
</cp:coreProperties>
</file>

<file path=docProps/custom.xml><?xml version="1.0" encoding="utf-8"?>
<Properties xmlns="http://schemas.openxmlformats.org/officeDocument/2006/custom-properties" xmlns:vt="http://schemas.openxmlformats.org/officeDocument/2006/docPropsVTypes"/>
</file>