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22"/>
          <w:szCs w:val="22"/>
        </w:rP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40"/>
              <w:left w:type="dxa" w:w="360"/>
              <w:bottom w:type="dxa" w:w="240"/>
              <w:right w:type="dxa" w:w="360"/>
            </w:tcMar>
          </w:tcPr>
          <w:p>
            <w:pPr>
              <w:jc w:val="left"/>
            </w:pPr>
            <w:r>
              <w:rPr>
                <w:rFonts w:ascii="Arial" w:cs="Arial" w:eastAsia="Arial" w:hAnsi="Arial"/>
                <w:b/>
                <w:bCs/>
                <w:caps/>
                <w:color w:val="FFFFFF"/>
                <w:sz w:val="28"/>
                <w:szCs w:val="28"/>
              </w:rPr>
              <w:t xml:space="preserve">GLOBAL FRAGRANCE MARKET INTELLIGENCE</w:t>
            </w:r>
          </w:p>
          <w:p>
            <w:pPr>
              <w:jc w:val="left"/>
            </w:pPr>
            <w:r>
              <w:rPr>
                <w:rFonts w:ascii="Arial" w:cs="Arial" w:eastAsia="Arial" w:hAnsi="Arial"/>
                <w:b/>
                <w:bCs/>
                <w:color w:val="A8C4E8"/>
                <w:sz w:val="36"/>
                <w:szCs w:val="36"/>
              </w:rPr>
              <w:t xml:space="preserve">Reliability, Confidence, and Limitations Assessment</w:t>
            </w:r>
          </w:p>
          <w:p>
            <w:pPr>
              <w:spacing w:before="80"/>
              <w:jc w:val="left"/>
            </w:pPr>
            <w:r>
              <w:rPr>
                <w:rFonts w:ascii="Arial" w:cs="Arial" w:eastAsia="Arial" w:hAnsi="Arial"/>
                <w:i/>
                <w:iCs/>
                <w:color w:val="BFD4EE"/>
                <w:sz w:val="22"/>
                <w:szCs w:val="22"/>
              </w:rPr>
              <w:t xml:space="preserve">Formal Evaluation of the Five Major Market Insights  |  2024–2026 Analysis</w:t>
            </w:r>
          </w:p>
        </w:tc>
      </w:tr>
    </w:tbl>
    <w:p>
      <w:pPr>
        <w:spacing w:after="20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2A4A" w:sz="3"/>
              <w:left w:val="single" w:color="1B2A4A" w:sz="12"/>
              <w:bottom w:val="single" w:color="CBD5E0" w:sz="1"/>
              <w:right w:val="single" w:color="CBD5E0" w:sz="1"/>
            </w:tcBorders>
            <w:shd w:fill="EFF6FF" w:val="clear"/>
            <w:tcMar>
              <w:top w:type="dxa" w:w="100"/>
              <w:left w:type="dxa" w:w="200"/>
              <w:bottom w:type="dxa" w:w="100"/>
              <w:right w:type="dxa" w:w="200"/>
            </w:tcMar>
          </w:tcPr>
          <w:p>
            <w:r>
              <w:rPr>
                <w:rFonts w:ascii="Arial" w:cs="Arial" w:eastAsia="Arial" w:hAnsi="Arial"/>
                <w:b/>
                <w:bCs/>
                <w:color w:val="1B2A4A"/>
                <w:sz w:val="20"/>
                <w:szCs w:val="20"/>
              </w:rPr>
              <w:t xml:space="preserve">Document Purpose</w:t>
            </w:r>
          </w:p>
          <w:p>
            <w:r>
              <w:rPr>
                <w:rFonts w:ascii="Arial" w:cs="Arial" w:eastAsia="Arial" w:hAnsi="Arial"/>
                <w:color w:val="374151"/>
                <w:sz w:val="20"/>
                <w:szCs w:val="20"/>
              </w:rPr>
              <w:t xml:space="preserve">This assessment formally evaluates the reliability, evidentiary quality, and confidence level of each of the five major insights produced by the Global Fragrance Market Intelligence analysis. It draws on internal Fragrantica dataset evidence (fra_cleaned.csv, 24,063 records) and four Quick Research outputs (QR-01 through QR-04). Evidence is classified throughout as VERIFIED FACT, INFERENCE, or ANALYST INTERPRETATION. No certainty is manufactured. Analyst forecasts are not converted into verified facts. Correlation is not treated as causation. Market share is not claimed unless directly supported.</w:t>
            </w:r>
          </w:p>
        </w:tc>
      </w:tr>
    </w:tbl>
    <w:p>
      <w:pPr>
        <w:spacing w:after="200"/>
      </w:pPr>
      <w:r>
        <w:t xml:space="preserve"/>
      </w:r>
    </w:p>
    <w:p>
      <w:pPr>
        <w:pStyle w:val="Heading1"/>
      </w:pPr>
      <w:r>
        <w:rPr>
          <w:rFonts w:ascii="Arial" w:cs="Arial" w:eastAsia="Arial" w:hAnsi="Arial"/>
        </w:rPr>
        <w:t xml:space="preserve">INSIGHT ASSESSMENT 1 OF 5</w:t>
      </w:r>
    </w:p>
    <w:p>
      <w:pPr>
        <w:pStyle w:val="Heading2"/>
      </w:pPr>
      <w:r>
        <w:rPr>
          <w:rFonts w:ascii="Arial" w:cs="Arial" w:eastAsia="Arial" w:hAnsi="Arial"/>
          <w:color w:val="1B2A4A"/>
        </w:rPr>
        <w:t xml:space="preserve">Premiumization Is the Dominant Value-Creation Lever</w:t>
      </w:r>
    </w:p>
    <w:p>
      <w:pPr>
        <w:pStyle w:val="Heading3"/>
      </w:pPr>
      <w:r>
        <w:rPr>
          <w:rFonts w:ascii="Arial" w:cs="Arial" w:eastAsia="Arial" w:hAnsi="Arial"/>
        </w:rPr>
        <w:t xml:space="preserve">1. Insight</w:t>
      </w:r>
    </w:p>
    <w:p>
      <w:pPr>
        <w:pStyle w:val="BodyText"/>
      </w:pPr>
      <w:r>
        <w:rPr>
          <w:rFonts w:ascii="Arial" w:cs="Arial" w:eastAsia="Arial" w:hAnsi="Arial"/>
        </w:rPr>
        <w:t xml:space="preserve">Across the global fragrance market in 2024, the highest and most consistent revenue growth is concentrated in premium, prestige, and ultra-premium fragrance segments. Consumers are actively trading up to higher price points and higher concentrations (EDP, Extrait) despite macroeconomic uncertainty, suggesting that fragrance benefits from an "affordable luxury" dynamic that makes premiumization relatively resilient.</w:t>
      </w:r>
    </w:p>
    <w:p>
      <w:pPr>
        <w:pStyle w:val="Heading3"/>
      </w:pPr>
      <w:r>
        <w:rPr>
          <w:rFonts w:ascii="Arial" w:cs="Arial" w:eastAsia="Arial" w:hAnsi="Arial"/>
        </w:rPr>
        <w:t xml:space="preserve">2. Supporting Evidence</w:t>
      </w:r>
    </w:p>
    <w:p>
      <w:r>
        <w:rPr>
          <w:rFonts w:ascii="Arial" w:cs="Arial" w:eastAsia="Arial" w:hAnsi="Arial"/>
          <w:b/>
          <w:bCs/>
          <w:color w:val="2D4A7A"/>
          <w:sz w:val="22"/>
          <w:szCs w:val="22"/>
        </w:rPr>
        <w:t xml:space="preserve">Internal Dataset Evidence  (fra_cleaned.csv)</w:t>
      </w:r>
    </w:p>
    <w:p>
      <w:pPr>
        <w:pStyle w:val="BodyText"/>
      </w:pPr>
      <w:r>
        <w:rPr>
          <w:rFonts w:ascii="Arial" w:cs="Arial" w:eastAsia="Arial" w:hAnsi="Arial"/>
        </w:rPr>
        <w:t xml:space="preserve">The internal dataset contains no retail price or sales revenue data. Therefore, the dataset cannot directly corroborate premiumization as a commercial phenomenon. What the dataset does show is that high-engagement products (those with the most community ratings on Fragrantica) are largely drawn from established luxury and prestige houses: Guerlain Shalimar (16,654 ratings), YSL Libre Intense (7,124), Lancôme Miracle (13,332), Sol de Janeiro Brazilian Crush Cheirosa 62 (5,785). This concentration of community attention in established premium brands is consistent with the premiumization thesis but does not prove it.</w:t>
      </w:r>
    </w:p>
    <w:p>
      <w:pPr>
        <w:pStyle w:val="BodyText"/>
      </w:pPr>
      <w:r>
        <w:rPr>
          <w:rFonts w:ascii="Arial" w:cs="Arial" w:eastAsia="Arial" w:hAnsi="Arial"/>
        </w:rPr>
        <w:t xml:space="preserve">CLASSIFICATION: INFERENCE — The observation is real (engagement is concentrated in premium brands); the interpretation that this reflects consumer willingness to pay premium prices requires an assumption that is not verifiable from the dataset alone.</w:t>
      </w:r>
    </w:p>
    <w:p>
      <w:pPr>
        <w:spacing w:before="120"/>
      </w:pPr>
      <w:r>
        <w:rPr>
          <w:rFonts w:ascii="Arial" w:cs="Arial" w:eastAsia="Arial" w:hAnsi="Arial"/>
          <w:b/>
          <w:bCs/>
          <w:color w:val="2D4A7A"/>
          <w:sz w:val="22"/>
          <w:szCs w:val="22"/>
        </w:rPr>
        <w:t xml:space="preserve">External Research Evidence  (QR-01 through QR-04)</w:t>
      </w:r>
    </w:p>
    <w:p>
      <w:pPr>
        <w:pStyle w:val="ListParagraph"/>
        <w:numPr>
          <w:ilvl w:val="0"/>
          <w:numId w:val="2"/>
        </w:numPr>
      </w:pPr>
      <w:r>
        <w:rPr>
          <w:rFonts w:ascii="Arial" w:cs="Arial" w:eastAsia="Arial" w:hAnsi="Arial"/>
          <w:b w:val="false"/>
          <w:bCs w:val="false"/>
          <w:sz w:val="22"/>
          <w:szCs w:val="22"/>
        </w:rPr>
        <w:t xml:space="preserve">VERIFIED FACT: Puig reported €4.3 billion in total revenue in FY2024 with 16% reported growth, its first full year as a public company following a €14 billion IPO on the Barcelona Stock Exchange in May 2024.</w:t>
      </w:r>
    </w:p>
    <w:p>
      <w:pPr>
        <w:pStyle w:val="ListParagraph"/>
        <w:numPr>
          <w:ilvl w:val="0"/>
          <w:numId w:val="2"/>
        </w:numPr>
      </w:pPr>
      <w:r>
        <w:rPr>
          <w:rFonts w:ascii="Arial" w:cs="Arial" w:eastAsia="Arial" w:hAnsi="Arial"/>
          <w:b w:val="false"/>
          <w:bCs w:val="false"/>
          <w:sz w:val="22"/>
          <w:szCs w:val="22"/>
        </w:rPr>
        <w:t xml:space="preserve">VERIFIED FACT: Coty's Prestige segment achieved approximately $3.2 billion in revenue with 10% organic growth in FY2024, driven by Burberry, Hugo Boss, Calvin Klein, and Gucci fragrances.</w:t>
      </w:r>
    </w:p>
    <w:p>
      <w:pPr>
        <w:pStyle w:val="ListParagraph"/>
        <w:numPr>
          <w:ilvl w:val="0"/>
          <w:numId w:val="2"/>
        </w:numPr>
      </w:pPr>
      <w:r>
        <w:rPr>
          <w:rFonts w:ascii="Arial" w:cs="Arial" w:eastAsia="Arial" w:hAnsi="Arial"/>
          <w:b w:val="false"/>
          <w:bCs w:val="false"/>
          <w:sz w:val="22"/>
          <w:szCs w:val="22"/>
        </w:rPr>
        <w:t xml:space="preserve">VERIFIED FACT: Estée Lauder's fragrance division generated approximately $1.7 billion in net sales in FY2024, making fragrance the company's strongest-performing category even as overall company revenue declined approximately 2%.</w:t>
      </w:r>
    </w:p>
    <w:p>
      <w:pPr>
        <w:pStyle w:val="ListParagraph"/>
        <w:numPr>
          <w:ilvl w:val="0"/>
          <w:numId w:val="2"/>
        </w:numPr>
      </w:pPr>
      <w:r>
        <w:rPr>
          <w:rFonts w:ascii="Arial" w:cs="Arial" w:eastAsia="Arial" w:hAnsi="Arial"/>
          <w:b w:val="false"/>
          <w:bCs w:val="false"/>
          <w:sz w:val="22"/>
          <w:szCs w:val="22"/>
        </w:rPr>
        <w:t xml:space="preserve">VERIFIED FACT: L'Oréal's Luxe division generated €15.6 billion in revenue with 5% like-for-like growth; fragrance was the fastest-growing category within Luxe, led by YSL Libre, Valentino, and Prada.</w:t>
      </w:r>
    </w:p>
    <w:p>
      <w:pPr>
        <w:pStyle w:val="ListParagraph"/>
        <w:numPr>
          <w:ilvl w:val="0"/>
          <w:numId w:val="2"/>
        </w:numPr>
      </w:pPr>
      <w:r>
        <w:rPr>
          <w:rFonts w:ascii="Arial" w:cs="Arial" w:eastAsia="Arial" w:hAnsi="Arial"/>
          <w:b w:val="false"/>
          <w:bCs w:val="false"/>
          <w:sz w:val="22"/>
          <w:szCs w:val="22"/>
        </w:rPr>
        <w:t xml:space="preserve">VERIFIED FACT: LVMH's Perfumes &amp; Cosmetics division reported €8.7 billion in revenue with approximately 2% organic growth, with fragrance outperforming skincare within the division.</w:t>
      </w:r>
    </w:p>
    <w:p>
      <w:pPr>
        <w:pStyle w:val="ListParagraph"/>
        <w:numPr>
          <w:ilvl w:val="0"/>
          <w:numId w:val="2"/>
        </w:numPr>
      </w:pPr>
      <w:r>
        <w:rPr>
          <w:rFonts w:ascii="Arial" w:cs="Arial" w:eastAsia="Arial" w:hAnsi="Arial"/>
          <w:b w:val="false"/>
          <w:bCs w:val="false"/>
          <w:sz w:val="22"/>
          <w:szCs w:val="22"/>
        </w:rPr>
        <w:t xml:space="preserve">ANALYST INTERPRETATION (QR-02): Ultra-premium fragrances priced above $200 are growing faster than the overall prestige market. Most luxury fragrance houses implemented price increases of approximately 5–10% in 2024. Source: synthesis of multiple market research firm reports including Mordor Intelligence and Grand View Research.</w:t>
      </w:r>
    </w:p>
    <w:p>
      <w:pPr>
        <w:pStyle w:val="Heading3"/>
      </w:pPr>
      <w:r>
        <w:rPr>
          <w:rFonts w:ascii="Arial" w:cs="Arial" w:eastAsia="Arial" w:hAnsi="Arial"/>
        </w:rPr>
        <w:t xml:space="preserve">3. Source Quality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00"/>
      </w:tblGrid>
      <w:tr>
        <w:trPr>
          <w:tblHeader/>
        </w:trPr>
        <w:tc>
          <w:tcPr>
            <w:tcW w:type="dxa" w:w="2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Evidence Item</w:t>
            </w:r>
          </w:p>
        </w:tc>
        <w:tc>
          <w:tcPr>
            <w:tcW w:type="dxa" w:w="3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Classification</w:t>
            </w:r>
          </w:p>
        </w:tc>
        <w:tc>
          <w:tcPr>
            <w:tcW w:type="dxa" w:w="24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Source Quality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Puig IPO and FY2024 revenue</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VERIFIED FACT — Puig investor relations, May 2024 IPO prospectus</w:t>
            </w:r>
          </w:p>
        </w:tc>
        <w:tc>
          <w:tcPr>
            <w:tcW w:type="dxa" w:w="24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Primary / Official</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Coty Prestige 10% organic growth</w:t>
            </w:r>
          </w:p>
        </w:tc>
        <w:tc>
          <w:tcPr>
            <w:tcW w:type="dxa" w:w="3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VERIFIED FACT — Coty FY2024 earnings disclosure</w:t>
            </w:r>
          </w:p>
        </w:tc>
        <w:tc>
          <w:tcPr>
            <w:tcW w:type="dxa" w:w="24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Primary / Official</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Estée Lauder fragrance outperformance</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VERIFIED FACT — EL FY2024 earnings report</w:t>
            </w:r>
          </w:p>
        </w:tc>
        <w:tc>
          <w:tcPr>
            <w:tcW w:type="dxa" w:w="24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Primary / Official</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$200+ ultra-premium growth rate</w:t>
            </w:r>
          </w:p>
        </w:tc>
        <w:tc>
          <w:tcPr>
            <w:tcW w:type="dxa" w:w="3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INTERPRETATION — market research synthesis</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Dataset engagement in premium brands</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INFERENCE — Fragrantica community data; rating count ≠ sales</w:t>
            </w:r>
          </w:p>
        </w:tc>
        <w:tc>
          <w:tcPr>
            <w:tcW w:type="dxa" w:w="2400"/>
            <w:tcBorders>
              <w:top w:val="single" w:color="CBD5E0" w:sz="1"/>
              <w:left w:val="single" w:color="CBD5E0" w:sz="1"/>
              <w:bottom w:val="single" w:color="CBD5E0" w:sz="1"/>
              <w:right w:val="single" w:color="CBD5E0" w:sz="1"/>
            </w:tcBorders>
            <w:shd w:fill="FEF9C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Community-Generated / Observational</w:t>
            </w:r>
          </w:p>
        </w:tc>
      </w:tr>
    </w:tbl>
    <w:p>
      <w:pPr>
        <w:pStyle w:val="Heading3"/>
      </w:pPr>
      <w:r>
        <w:rPr>
          <w:rFonts w:ascii="Arial" w:cs="Arial" w:eastAsia="Arial" w:hAnsi="Arial"/>
        </w:rPr>
        <w:t xml:space="preserve">4. Consistency Across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5803D" w:sz="3"/>
              <w:left w:val="single" w:color="15803D" w:sz="12"/>
              <w:bottom w:val="single" w:color="CBD5E0" w:sz="1"/>
              <w:right w:val="single" w:color="CBD5E0" w:sz="1"/>
            </w:tcBorders>
            <w:shd w:fill="F0FDF4" w:val="clear"/>
            <w:tcMar>
              <w:top w:type="dxa" w:w="100"/>
              <w:left w:type="dxa" w:w="200"/>
              <w:bottom w:type="dxa" w:w="100"/>
              <w:right w:type="dxa" w:w="200"/>
            </w:tcMar>
          </w:tcPr>
          <w:p>
            <w:r>
              <w:rPr>
                <w:rFonts w:ascii="Arial" w:cs="Arial" w:eastAsia="Arial" w:hAnsi="Arial"/>
                <w:b/>
                <w:bCs/>
                <w:color w:val="15803D"/>
                <w:sz w:val="20"/>
                <w:szCs w:val="20"/>
              </w:rPr>
              <w:t xml:space="preserve">Assessment: STRONGLY REINFORCE</w:t>
            </w:r>
          </w:p>
          <w:p>
            <w:r>
              <w:rPr>
                <w:rFonts w:ascii="Arial" w:cs="Arial" w:eastAsia="Arial" w:hAnsi="Arial"/>
                <w:color w:val="374151"/>
                <w:sz w:val="20"/>
                <w:szCs w:val="20"/>
              </w:rPr>
              <w:t xml:space="preserve">Internal dataset engagement patterns and external verified company earnings point in the same direction: premium brands command disproportionate consumer attention and are generating the strongest revenue growth across major luxury portfolios. Multiple independent sources (Puig, Coty, Estée Lauder, L'Oréal) corroborate the same directional finding. The dataset cannot verify the pricing dimension, but it does not contradict it either.</w:t>
            </w:r>
          </w:p>
        </w:tc>
      </w:tr>
    </w:tbl>
    <w:p>
      <w:pPr>
        <w:pStyle w:val="Heading3"/>
      </w:pPr>
      <w:r>
        <w:rPr>
          <w:rFonts w:ascii="Arial" w:cs="Arial" w:eastAsia="Arial" w:hAnsi="Arial"/>
        </w:rPr>
        <w:t xml:space="preserve">5. Timeliness</w:t>
      </w:r>
    </w:p>
    <w:p>
      <w:pPr>
        <w:pStyle w:val="BodyText"/>
      </w:pPr>
      <w:r>
        <w:rPr>
          <w:rFonts w:ascii="Arial" w:cs="Arial" w:eastAsia="Arial" w:hAnsi="Arial"/>
        </w:rPr>
        <w:t xml:space="preserve">Evidence Period: FY2024 earnings (reported Q3–Q4 2024); Fragrantica dataset coverage through 2024 launch year. The company earnings data is current and represents the most recent disclosed period at the time of research. The analyst interpretation evidence (price increase estimates, ultra-premium CAGR) reflects 2023–2024 conditions and may not capture rapid macroeconomic shifts.</w:t>
      </w:r>
    </w:p>
    <w:p>
      <w:pPr>
        <w:pStyle w:val="BodyText"/>
      </w:pPr>
      <w:r>
        <w:rPr>
          <w:rFonts w:ascii="Arial" w:cs="Arial" w:eastAsia="Arial" w:hAnsi="Arial"/>
        </w:rPr>
        <w:t xml:space="preserve">Signal Status: CURRENT — company earnings are the most reliable contemporaneous signal available. The analyst estimates are recent but are subject to revision if macroeconomic conditions deteriorate.</w:t>
      </w:r>
    </w:p>
    <w:p>
      <w:pPr>
        <w:pStyle w:val="Heading3"/>
      </w:pPr>
      <w:r>
        <w:rPr>
          <w:rFonts w:ascii="Arial" w:cs="Arial" w:eastAsia="Arial" w:hAnsi="Arial"/>
        </w:rPr>
        <w:t xml:space="preserve">6. Assumptions and Gaps</w:t>
      </w:r>
    </w:p>
    <w:p>
      <w:pPr>
        <w:pStyle w:val="ListParagraph"/>
        <w:numPr>
          <w:ilvl w:val="0"/>
          <w:numId w:val="2"/>
        </w:numPr>
      </w:pPr>
      <w:r>
        <w:rPr>
          <w:rFonts w:ascii="Arial" w:cs="Arial" w:eastAsia="Arial" w:hAnsi="Arial"/>
          <w:b w:val="false"/>
          <w:bCs w:val="false"/>
          <w:sz w:val="22"/>
          <w:szCs w:val="22"/>
        </w:rPr>
        <w:t xml:space="preserve">Must assume: That FY2024 earnings performance will continue through 2025–2026 and is not an anomaly driven by post-pandemic catch-up spending.</w:t>
      </w:r>
    </w:p>
    <w:p>
      <w:pPr>
        <w:pStyle w:val="ListParagraph"/>
        <w:numPr>
          <w:ilvl w:val="0"/>
          <w:numId w:val="2"/>
        </w:numPr>
      </w:pPr>
      <w:r>
        <w:rPr>
          <w:rFonts w:ascii="Arial" w:cs="Arial" w:eastAsia="Arial" w:hAnsi="Arial"/>
          <w:b w:val="false"/>
          <w:bCs w:val="false"/>
          <w:sz w:val="22"/>
          <w:szCs w:val="22"/>
        </w:rPr>
        <w:t xml:space="preserve">Must assume: That engagement concentration in premium brands on Fragrantica reflects, at least directionally, consumer purchase intent — even though rating count ≠ sales.</w:t>
      </w:r>
    </w:p>
    <w:p>
      <w:pPr>
        <w:pStyle w:val="ListParagraph"/>
        <w:numPr>
          <w:ilvl w:val="0"/>
          <w:numId w:val="2"/>
        </w:numPr>
      </w:pPr>
      <w:r>
        <w:rPr>
          <w:rFonts w:ascii="Arial" w:cs="Arial" w:eastAsia="Arial" w:hAnsi="Arial"/>
          <w:b w:val="false"/>
          <w:bCs w:val="false"/>
          <w:sz w:val="22"/>
          <w:szCs w:val="22"/>
        </w:rPr>
        <w:t xml:space="preserve">Gap: No retail pricing data exists in the internal dataset. The premiumization claim cannot be validated by price-tier analysis from internal sources.</w:t>
      </w:r>
    </w:p>
    <w:p>
      <w:pPr>
        <w:pStyle w:val="ListParagraph"/>
        <w:numPr>
          <w:ilvl w:val="0"/>
          <w:numId w:val="2"/>
        </w:numPr>
      </w:pPr>
      <w:r>
        <w:rPr>
          <w:rFonts w:ascii="Arial" w:cs="Arial" w:eastAsia="Arial" w:hAnsi="Arial"/>
          <w:b w:val="false"/>
          <w:bCs w:val="false"/>
          <w:sz w:val="22"/>
          <w:szCs w:val="22"/>
        </w:rPr>
        <w:t xml:space="preserve">Gap: No sales volume data for any brand. Revenue growth could reflect price increases rather than unit volume growth — a meaningful strategic distinction.</w:t>
      </w:r>
    </w:p>
    <w:p>
      <w:pPr>
        <w:pStyle w:val="ListParagraph"/>
        <w:numPr>
          <w:ilvl w:val="0"/>
          <w:numId w:val="2"/>
        </w:numPr>
      </w:pPr>
      <w:r>
        <w:rPr>
          <w:rFonts w:ascii="Arial" w:cs="Arial" w:eastAsia="Arial" w:hAnsi="Arial"/>
          <w:b w:val="false"/>
          <w:bCs w:val="false"/>
          <w:sz w:val="22"/>
          <w:szCs w:val="22"/>
        </w:rPr>
        <w:t xml:space="preserve">Gap: Private company segment revenues (LVMH fragrance vs. cosmetics split) are estimated rather than independently audited.</w:t>
      </w:r>
    </w:p>
    <w:p>
      <w:pPr>
        <w:pStyle w:val="Heading3"/>
      </w:pPr>
      <w:r>
        <w:rPr>
          <w:rFonts w:ascii="Arial" w:cs="Arial" w:eastAsia="Arial" w:hAnsi="Arial"/>
        </w:rPr>
        <w:t xml:space="preserve">7. Overall Confidence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Rationale</w:t>
            </w:r>
          </w:p>
        </w:tc>
        <w:tc>
          <w:tcPr>
            <w:tcW w:type="dxa" w:w="20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Confidence Level</w:t>
            </w:r>
          </w:p>
        </w:tc>
      </w:tr>
      <w:tr>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Multiple independent verified facts (Puig IPO, Coty earnings, Estée Lauder earnings, L'Oréal earnings) all corroborate the same directional finding. Cross-source consistency is high. The only limitation is the analyst estimate for ultra-premium CAGR, which does not materially change the directional conclusion.</w:t>
            </w:r>
          </w:p>
        </w:tc>
        <w:tc>
          <w:tcPr>
            <w:tcW w:type="dxa" w:w="20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vAlign w:val="center"/>
          </w:tcPr>
          <w:p>
            <w:pPr>
              <w:jc w:val="center"/>
            </w:pPr>
            <w:r>
              <w:rPr>
                <w:rFonts w:ascii="Arial" w:cs="Arial" w:eastAsia="Arial" w:hAnsi="Arial"/>
                <w:b/>
                <w:bCs/>
                <w:color w:val="14532D"/>
                <w:sz w:val="22"/>
                <w:szCs w:val="22"/>
              </w:rPr>
              <w:t xml:space="preserve">●  HIGH</w:t>
            </w:r>
          </w:p>
        </w:tc>
      </w:tr>
    </w:tbl>
    <w:p>
      <w:pPr>
        <w:pStyle w:val="Heading3"/>
      </w:pPr>
      <w:r>
        <w:rPr>
          <w:rFonts w:ascii="Arial" w:cs="Arial" w:eastAsia="Arial" w:hAnsi="Arial"/>
        </w:rPr>
        <w:t xml:space="preserve">8. What Could Change This Conclusion?</w:t>
      </w:r>
    </w:p>
    <w:p>
      <w:pPr>
        <w:pStyle w:val="ListParagraph"/>
        <w:numPr>
          <w:ilvl w:val="0"/>
          <w:numId w:val="2"/>
        </w:numPr>
      </w:pPr>
      <w:r>
        <w:rPr>
          <w:rFonts w:ascii="Arial" w:cs="Arial" w:eastAsia="Arial" w:hAnsi="Arial"/>
          <w:b w:val="false"/>
          <w:bCs w:val="false"/>
          <w:sz w:val="22"/>
          <w:szCs w:val="22"/>
        </w:rPr>
        <w:t xml:space="preserve">A sustained macroeconomic recession (e.g., GDP contraction of 2%+ in key markets) that causes consumers to trade down from premium to mass-market fragrance — if company earnings in FY2025 show a material reversal in prestige segment growth, this conclusion should be revised.</w:t>
      </w:r>
    </w:p>
    <w:p>
      <w:pPr>
        <w:pStyle w:val="ListParagraph"/>
        <w:numPr>
          <w:ilvl w:val="0"/>
          <w:numId w:val="2"/>
        </w:numPr>
      </w:pPr>
      <w:r>
        <w:rPr>
          <w:rFonts w:ascii="Arial" w:cs="Arial" w:eastAsia="Arial" w:hAnsi="Arial"/>
          <w:b w:val="false"/>
          <w:bCs w:val="false"/>
          <w:sz w:val="22"/>
          <w:szCs w:val="22"/>
        </w:rPr>
        <w:t xml:space="preserve">Discovery that FY2024 earnings growth was driven primarily by post-pandemic revenge spending rather than structural premiumization — panel data showing a reversal in consumer willingness to pay at the $200+ tier would materially weaken this insight.</w:t>
      </w:r>
    </w:p>
    <w:p>
      <w:pPr>
        <w:spacing w:after="100"/>
      </w:pPr>
      <w:r>
        <w:t xml:space="preserve"/>
      </w:r>
    </w:p>
    <w:p>
      <w:pPr>
        <w:pStyle w:val="Heading1"/>
      </w:pPr>
      <w:r>
        <w:rPr>
          <w:rFonts w:ascii="Arial" w:cs="Arial" w:eastAsia="Arial" w:hAnsi="Arial"/>
        </w:rPr>
        <w:t xml:space="preserve">INSIGHT ASSESSMENT 2 OF 5</w:t>
      </w:r>
    </w:p>
    <w:p>
      <w:pPr>
        <w:pStyle w:val="Heading2"/>
      </w:pPr>
      <w:r>
        <w:rPr>
          <w:rFonts w:ascii="Arial" w:cs="Arial" w:eastAsia="Arial" w:hAnsi="Arial"/>
          <w:color w:val="1B2A4A"/>
        </w:rPr>
        <w:t xml:space="preserve">Unisex Fragrance Positioning Is Now Structural, Not Niche</w:t>
      </w:r>
    </w:p>
    <w:p>
      <w:pPr>
        <w:pStyle w:val="Heading3"/>
      </w:pPr>
      <w:r>
        <w:rPr>
          <w:rFonts w:ascii="Arial" w:cs="Arial" w:eastAsia="Arial" w:hAnsi="Arial"/>
        </w:rPr>
        <w:t xml:space="preserve">1. Insight</w:t>
      </w:r>
    </w:p>
    <w:p>
      <w:pPr>
        <w:pStyle w:val="BodyText"/>
      </w:pPr>
      <w:r>
        <w:rPr>
          <w:rFonts w:ascii="Arial" w:cs="Arial" w:eastAsia="Arial" w:hAnsi="Arial"/>
        </w:rPr>
        <w:t xml:space="preserve">Gender-neutral or unisex fragrance positioning has moved from a niche market experiment into a structural feature of the global fragrance launch landscape. Unisex fragrances now represent the largest single gender-positioning category among new releases, surpassing women's-only and men's-only launches. This shift is driven by both niche artisanal houses that default to unisex positioning and increasingly by mainstream designer brands following suit.</w:t>
      </w:r>
    </w:p>
    <w:p>
      <w:pPr>
        <w:pStyle w:val="Heading3"/>
      </w:pPr>
      <w:r>
        <w:rPr>
          <w:rFonts w:ascii="Arial" w:cs="Arial" w:eastAsia="Arial" w:hAnsi="Arial"/>
        </w:rPr>
        <w:t xml:space="preserve">2. Supporting Evidence</w:t>
      </w:r>
    </w:p>
    <w:p>
      <w:r>
        <w:rPr>
          <w:rFonts w:ascii="Arial" w:cs="Arial" w:eastAsia="Arial" w:hAnsi="Arial"/>
          <w:b/>
          <w:bCs/>
          <w:color w:val="2D4A7A"/>
          <w:sz w:val="22"/>
          <w:szCs w:val="22"/>
        </w:rPr>
        <w:t xml:space="preserve">Internal Dataset Evidence  (fra_cleaned.csv — 24,063 records)</w:t>
      </w:r>
    </w:p>
    <w:p>
      <w:pPr>
        <w:pStyle w:val="BodyText"/>
      </w:pPr>
      <w:r>
        <w:rPr>
          <w:rFonts w:ascii="Arial" w:cs="Arial" w:eastAsia="Arial" w:hAnsi="Arial"/>
        </w:rPr>
        <w:t xml:space="preserve">VERIFIED FACT: Analysis of 24,063 fragrance entries in the Fragrantica database shows the following unisex launch share by period: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Period</w:t>
            </w:r>
          </w:p>
        </w:tc>
        <w:tc>
          <w:tcPr>
            <w:tcW w:type="dxa" w:w="234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Unisex Share</w:t>
            </w:r>
          </w:p>
        </w:tc>
        <w:tc>
          <w:tcPr>
            <w:tcW w:type="dxa" w:w="234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Women's Share</w:t>
            </w:r>
          </w:p>
        </w:tc>
        <w:tc>
          <w:tcPr>
            <w:tcW w:type="dxa" w:w="234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Men's Share</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2000–2009</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12.8% (443/3,459)</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~27%</w:t>
            </w:r>
          </w:p>
        </w:tc>
      </w:tr>
      <w:tr>
        <w:tc>
          <w:tcPr>
            <w:tcW w:type="dxa" w:w="23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2010–2014</w:t>
            </w:r>
          </w:p>
        </w:tc>
        <w:tc>
          <w:tcPr>
            <w:tcW w:type="dxa" w:w="23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22.6% (1,039/4,600)</w:t>
            </w:r>
          </w:p>
        </w:tc>
        <w:tc>
          <w:tcPr>
            <w:tcW w:type="dxa" w:w="23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~52%</w:t>
            </w:r>
          </w:p>
        </w:tc>
        <w:tc>
          <w:tcPr>
            <w:tcW w:type="dxa" w:w="23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~25%</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2018</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44.0%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r>
      <w:tr>
        <w:tc>
          <w:tcPr>
            <w:tcW w:type="dxa" w:w="23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2022</w:t>
            </w:r>
          </w:p>
        </w:tc>
        <w:tc>
          <w:tcPr>
            <w:tcW w:type="dxa" w:w="234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54.9% (724/1,319)</w:t>
            </w:r>
          </w:p>
        </w:tc>
        <w:tc>
          <w:tcPr>
            <w:tcW w:type="dxa" w:w="23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28.7% (378)</w:t>
            </w:r>
          </w:p>
        </w:tc>
        <w:tc>
          <w:tcPr>
            <w:tcW w:type="dxa" w:w="23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16.5% (217)</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2023</w:t>
            </w:r>
          </w:p>
        </w:tc>
        <w:tc>
          <w:tcPr>
            <w:tcW w:type="dxa" w:w="234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52.3% (521/996)</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~17%</w:t>
            </w:r>
          </w:p>
        </w:tc>
      </w:tr>
      <w:tr>
        <w:tc>
          <w:tcPr>
            <w:tcW w:type="dxa" w:w="23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2024</w:t>
            </w:r>
          </w:p>
        </w:tc>
        <w:tc>
          <w:tcPr>
            <w:tcW w:type="dxa" w:w="234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49.9%</w:t>
            </w:r>
          </w:p>
        </w:tc>
        <w:tc>
          <w:tcPr>
            <w:tcW w:type="dxa" w:w="23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33.6%</w:t>
            </w:r>
          </w:p>
        </w:tc>
        <w:tc>
          <w:tcPr>
            <w:tcW w:type="dxa" w:w="23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16.5%</w:t>
            </w:r>
          </w:p>
        </w:tc>
      </w:tr>
    </w:tbl>
    <w:p>
      <w:pPr>
        <w:pStyle w:val="BodyText"/>
      </w:pPr>
      <w:r>
        <w:rPr>
          <w:rFonts w:ascii="Arial" w:cs="Arial" w:eastAsia="Arial" w:hAnsi="Arial"/>
        </w:rPr>
        <w:t xml:space="preserve">VERIFIED FACT: 2022 marks the first year in the dataset that unisex fragrances exceeded 50% of all new launches and surpassed women's fragrances as the largest single launch category.</w:t>
      </w:r>
    </w:p>
    <w:p>
      <w:pPr>
        <w:pStyle w:val="BodyText"/>
      </w:pPr>
      <w:r>
        <w:rPr>
          <w:rFonts w:ascii="Arial" w:cs="Arial" w:eastAsia="Arial" w:hAnsi="Arial"/>
        </w:rPr>
        <w:t xml:space="preserve">VERIFIED FACT (41-product sample analysis): Unisex fragrances represented 17 of 41 records (41.5%) in the directly analyzed sample. Average rating for unisex fragrances in the sample was 3.71 vs. 3.80 for women's and 4.21 for men's — suggesting quality parity, not a quality compromise.</w:t>
      </w:r>
    </w:p>
    <w:p>
      <w:pPr>
        <w:spacing w:before="120"/>
      </w:pPr>
      <w:r>
        <w:rPr>
          <w:rFonts w:ascii="Arial" w:cs="Arial" w:eastAsia="Arial" w:hAnsi="Arial"/>
          <w:b/>
          <w:bCs/>
          <w:color w:val="2D4A7A"/>
          <w:sz w:val="22"/>
          <w:szCs w:val="22"/>
        </w:rPr>
        <w:t xml:space="preserve">External Research Evidence  (QR-01 through QR-04)</w:t>
      </w:r>
    </w:p>
    <w:p>
      <w:pPr>
        <w:pStyle w:val="ListParagraph"/>
        <w:numPr>
          <w:ilvl w:val="0"/>
          <w:numId w:val="2"/>
        </w:numPr>
      </w:pPr>
      <w:r>
        <w:rPr>
          <w:rFonts w:ascii="Arial" w:cs="Arial" w:eastAsia="Arial" w:hAnsi="Arial"/>
          <w:b w:val="false"/>
          <w:bCs w:val="false"/>
          <w:sz w:val="22"/>
          <w:szCs w:val="22"/>
        </w:rPr>
        <w:t xml:space="preserve">ANALYST INTERPRETATION: Industry reports indicate that major niche houses — Byredo, Le Labo, Maison Francis Kurkdjian — default to unisex positioning as a core brand philosophy, and mainstream designer houses are increasingly following suit.</w:t>
      </w:r>
    </w:p>
    <w:p>
      <w:pPr>
        <w:pStyle w:val="ListParagraph"/>
        <w:numPr>
          <w:ilvl w:val="0"/>
          <w:numId w:val="2"/>
        </w:numPr>
      </w:pPr>
      <w:r>
        <w:rPr>
          <w:rFonts w:ascii="Arial" w:cs="Arial" w:eastAsia="Arial" w:hAnsi="Arial"/>
          <w:b w:val="false"/>
          <w:bCs w:val="false"/>
          <w:sz w:val="22"/>
          <w:szCs w:val="22"/>
        </w:rPr>
        <w:t xml:space="preserve">ANALYST INTERPRETATION: The gender-neutral trend is driven partly by Gen Z consumers who are entering the fragrance category earlier than previous generations and are less receptive to traditional gender-binary positioning.</w:t>
      </w:r>
    </w:p>
    <w:p>
      <w:pPr>
        <w:pStyle w:val="ListParagraph"/>
        <w:numPr>
          <w:ilvl w:val="0"/>
          <w:numId w:val="2"/>
        </w:numPr>
      </w:pPr>
      <w:r>
        <w:rPr>
          <w:rFonts w:ascii="Arial" w:cs="Arial" w:eastAsia="Arial" w:hAnsi="Arial"/>
          <w:b w:val="false"/>
          <w:bCs w:val="false"/>
          <w:sz w:val="22"/>
          <w:szCs w:val="22"/>
        </w:rPr>
        <w:t xml:space="preserve">No independent third-party source in the external research provides a contradictory signal on the direction of this trend.</w:t>
      </w:r>
    </w:p>
    <w:p>
      <w:pPr>
        <w:pStyle w:val="Heading3"/>
      </w:pPr>
      <w:r>
        <w:rPr>
          <w:rFonts w:ascii="Arial" w:cs="Arial" w:eastAsia="Arial" w:hAnsi="Arial"/>
        </w:rPr>
        <w:t xml:space="preserve">3. Source Quality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00"/>
      </w:tblGrid>
      <w:tr>
        <w:trPr>
          <w:tblHeader/>
        </w:trPr>
        <w:tc>
          <w:tcPr>
            <w:tcW w:type="dxa" w:w="2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Evidence Item</w:t>
            </w:r>
          </w:p>
        </w:tc>
        <w:tc>
          <w:tcPr>
            <w:tcW w:type="dxa" w:w="3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Classification</w:t>
            </w:r>
          </w:p>
        </w:tc>
        <w:tc>
          <w:tcPr>
            <w:tcW w:type="dxa" w:w="24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Source Quality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Unisex launch share 2000–2024</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VERIFIED FACT — direct count from fra_cleaned.csv (24,063 records)</w:t>
            </w:r>
          </w:p>
        </w:tc>
        <w:tc>
          <w:tcPr>
            <w:tcW w:type="dxa" w:w="2400"/>
            <w:tcBorders>
              <w:top w:val="single" w:color="CBD5E0" w:sz="1"/>
              <w:left w:val="single" w:color="CBD5E0" w:sz="1"/>
              <w:bottom w:val="single" w:color="CBD5E0" w:sz="1"/>
              <w:right w:val="single" w:color="CBD5E0" w:sz="1"/>
            </w:tcBorders>
            <w:shd w:fill="FEF9C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Community-Generated / Observational</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Rating parity across gender segments</w:t>
            </w:r>
          </w:p>
        </w:tc>
        <w:tc>
          <w:tcPr>
            <w:tcW w:type="dxa" w:w="3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VERIFIED FACT — direct calculation from 41-product sample</w:t>
            </w:r>
          </w:p>
        </w:tc>
        <w:tc>
          <w:tcPr>
            <w:tcW w:type="dxa" w:w="2400"/>
            <w:tcBorders>
              <w:top w:val="single" w:color="CBD5E0" w:sz="1"/>
              <w:left w:val="single" w:color="CBD5E0" w:sz="1"/>
              <w:bottom w:val="single" w:color="CBD5E0" w:sz="1"/>
              <w:right w:val="single" w:color="CBD5E0" w:sz="1"/>
            </w:tcBorders>
            <w:shd w:fill="FEF9C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Community-Generated / Observational</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Niche brand unisex philosophy</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INTERPRETATION — industry report synthesis</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High-Quality Secondary</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Gen Z demographic driver</w:t>
            </w:r>
          </w:p>
        </w:tc>
        <w:tc>
          <w:tcPr>
            <w:tcW w:type="dxa" w:w="3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INFERENCE — no primary consumer survey cited</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w:t>
            </w:r>
          </w:p>
        </w:tc>
      </w:tr>
    </w:tbl>
    <w:p>
      <w:pPr>
        <w:pStyle w:val="Heading3"/>
      </w:pPr>
      <w:r>
        <w:rPr>
          <w:rFonts w:ascii="Arial" w:cs="Arial" w:eastAsia="Arial" w:hAnsi="Arial"/>
        </w:rPr>
        <w:t xml:space="preserve">4. Consistency Across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5803D" w:sz="3"/>
              <w:left w:val="single" w:color="15803D" w:sz="12"/>
              <w:bottom w:val="single" w:color="CBD5E0" w:sz="1"/>
              <w:right w:val="single" w:color="CBD5E0" w:sz="1"/>
            </w:tcBorders>
            <w:shd w:fill="F0FDF4" w:val="clear"/>
            <w:tcMar>
              <w:top w:type="dxa" w:w="100"/>
              <w:left w:type="dxa" w:w="200"/>
              <w:bottom w:type="dxa" w:w="100"/>
              <w:right w:type="dxa" w:w="200"/>
            </w:tcMar>
          </w:tcPr>
          <w:p>
            <w:r>
              <w:rPr>
                <w:rFonts w:ascii="Arial" w:cs="Arial" w:eastAsia="Arial" w:hAnsi="Arial"/>
                <w:b/>
                <w:bCs/>
                <w:color w:val="15803D"/>
                <w:sz w:val="20"/>
                <w:szCs w:val="20"/>
              </w:rPr>
              <w:t xml:space="preserve">Assessment: REINFORCE — with one qualification</w:t>
            </w:r>
          </w:p>
          <w:p>
            <w:r>
              <w:rPr>
                <w:rFonts w:ascii="Arial" w:cs="Arial" w:eastAsia="Arial" w:hAnsi="Arial"/>
                <w:color w:val="374151"/>
                <w:sz w:val="20"/>
                <w:szCs w:val="20"/>
              </w:rPr>
              <w:t xml:space="preserve">The internal dataset provides unusually strong direct evidence for this insight: the trend is visible across 24,063 records and spans more than two decades of launch data. External research independently identifies the same directional signal. The qualification is that the dataset measures brand positioning decisions (how brands label their products), not consumer demand — it is possible that unisex launch prevalence reflects strategic labeling rather than consumer-driven demand. The two sources reinforce each other directionally but cannot together establish causation.</w:t>
            </w:r>
          </w:p>
        </w:tc>
      </w:tr>
    </w:tbl>
    <w:p>
      <w:pPr>
        <w:pStyle w:val="Heading3"/>
      </w:pPr>
      <w:r>
        <w:rPr>
          <w:rFonts w:ascii="Arial" w:cs="Arial" w:eastAsia="Arial" w:hAnsi="Arial"/>
        </w:rPr>
        <w:t xml:space="preserve">5. Timeliness</w:t>
      </w:r>
    </w:p>
    <w:p>
      <w:pPr>
        <w:pStyle w:val="BodyText"/>
      </w:pPr>
      <w:r>
        <w:rPr>
          <w:rFonts w:ascii="Arial" w:cs="Arial" w:eastAsia="Arial" w:hAnsi="Arial"/>
        </w:rPr>
        <w:t xml:space="preserve">Evidence Period: Internal dataset covers launches through 2024, providing a continuous time series from 2000–2024. External research reflects 2024 market conditions.</w:t>
      </w:r>
    </w:p>
    <w:p>
      <w:pPr>
        <w:pStyle w:val="BodyText"/>
      </w:pPr>
      <w:r>
        <w:rPr>
          <w:rFonts w:ascii="Arial" w:cs="Arial" w:eastAsia="Arial" w:hAnsi="Arial"/>
        </w:rPr>
        <w:t xml:space="preserve">Signal Status: CURRENT — the trend has been consistently increasing for over two decades and appears to have plateaued at approximately 50–55% of launches rather than reversing. The most recent data point (2024: 49.9%) remains consistent with the structural thesis.</w:t>
      </w:r>
    </w:p>
    <w:p>
      <w:pPr>
        <w:pStyle w:val="Heading3"/>
      </w:pPr>
      <w:r>
        <w:rPr>
          <w:rFonts w:ascii="Arial" w:cs="Arial" w:eastAsia="Arial" w:hAnsi="Arial"/>
        </w:rPr>
        <w:t xml:space="preserve">6. Assumptions and Gaps</w:t>
      </w:r>
    </w:p>
    <w:p>
      <w:pPr>
        <w:pStyle w:val="ListParagraph"/>
        <w:numPr>
          <w:ilvl w:val="0"/>
          <w:numId w:val="2"/>
        </w:numPr>
      </w:pPr>
      <w:r>
        <w:rPr>
          <w:rFonts w:ascii="Arial" w:cs="Arial" w:eastAsia="Arial" w:hAnsi="Arial"/>
          <w:b w:val="false"/>
          <w:bCs w:val="false"/>
          <w:sz w:val="22"/>
          <w:szCs w:val="22"/>
        </w:rPr>
        <w:t xml:space="preserve">Must assume: That brand positioning decisions (labeling a fragrance as "unisex") reflect at least some consumer demand signal, not purely strategic marketing.</w:t>
      </w:r>
    </w:p>
    <w:p>
      <w:pPr>
        <w:pStyle w:val="ListParagraph"/>
        <w:numPr>
          <w:ilvl w:val="0"/>
          <w:numId w:val="2"/>
        </w:numPr>
      </w:pPr>
      <w:r>
        <w:rPr>
          <w:rFonts w:ascii="Arial" w:cs="Arial" w:eastAsia="Arial" w:hAnsi="Arial"/>
          <w:b w:val="false"/>
          <w:bCs w:val="false"/>
          <w:sz w:val="22"/>
          <w:szCs w:val="22"/>
        </w:rPr>
        <w:t xml:space="preserve">Must assume: That Fragrantica's coverage of unisex fragrances is not systematically biased toward recording them at a higher rate than women's or men's fragrances.</w:t>
      </w:r>
    </w:p>
    <w:p>
      <w:pPr>
        <w:pStyle w:val="ListParagraph"/>
        <w:numPr>
          <w:ilvl w:val="0"/>
          <w:numId w:val="2"/>
        </w:numPr>
      </w:pPr>
      <w:r>
        <w:rPr>
          <w:rFonts w:ascii="Arial" w:cs="Arial" w:eastAsia="Arial" w:hAnsi="Arial"/>
          <w:b w:val="false"/>
          <w:bCs w:val="false"/>
          <w:sz w:val="22"/>
          <w:szCs w:val="22"/>
        </w:rPr>
        <w:t xml:space="preserve">Gap: No consumer survey data exists to confirm that consumers themselves are requesting or purchasing unisex fragrances at the rate that launch data implies.</w:t>
      </w:r>
    </w:p>
    <w:p>
      <w:pPr>
        <w:pStyle w:val="ListParagraph"/>
        <w:numPr>
          <w:ilvl w:val="0"/>
          <w:numId w:val="2"/>
        </w:numPr>
      </w:pPr>
      <w:r>
        <w:rPr>
          <w:rFonts w:ascii="Arial" w:cs="Arial" w:eastAsia="Arial" w:hAnsi="Arial"/>
          <w:b w:val="false"/>
          <w:bCs w:val="false"/>
          <w:sz w:val="22"/>
          <w:szCs w:val="22"/>
        </w:rPr>
        <w:t xml:space="preserve">Gap: No sales volume or revenue data. A brand could launch 55% of products as unisex but generate 80% of revenue from women's or men's fragrances if unisex products sell fewer units.</w:t>
      </w:r>
    </w:p>
    <w:p>
      <w:pPr>
        <w:pStyle w:val="ListParagraph"/>
        <w:numPr>
          <w:ilvl w:val="0"/>
          <w:numId w:val="2"/>
        </w:numPr>
      </w:pPr>
      <w:r>
        <w:rPr>
          <w:rFonts w:ascii="Arial" w:cs="Arial" w:eastAsia="Arial" w:hAnsi="Arial"/>
          <w:b w:val="false"/>
          <w:bCs w:val="false"/>
          <w:sz w:val="22"/>
          <w:szCs w:val="22"/>
        </w:rPr>
        <w:t xml:space="preserve">Gap: The dataset cannot distinguish whether unisex growth is driven by niche brands (small commercial scale) or mainstream brands (large commercial scale), which has material strategic implications.</w:t>
      </w:r>
    </w:p>
    <w:p>
      <w:pPr>
        <w:pStyle w:val="Heading3"/>
      </w:pPr>
      <w:r>
        <w:rPr>
          <w:rFonts w:ascii="Arial" w:cs="Arial" w:eastAsia="Arial" w:hAnsi="Arial"/>
        </w:rPr>
        <w:t xml:space="preserve">7. Overall Confidence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Rationale</w:t>
            </w:r>
          </w:p>
        </w:tc>
        <w:tc>
          <w:tcPr>
            <w:tcW w:type="dxa" w:w="20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Confidence Level</w:t>
            </w:r>
          </w:p>
        </w:tc>
      </w:tr>
      <w:tr>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dataset evidence is unusually direct and spans a 24-year time series, making it the strongest dataset-based finding in the entire analysis. The 2022 milestone (unisex &gt;50% for the first time) and the sustained 2023–2024 levels represent a structural, not coincidental, pattern. External research independently corroborates the direction. Confidence in the trend being structural is high. Confidence in understanding why (demand-driven vs. brand-strategy-driven) is lower.</w:t>
            </w:r>
          </w:p>
        </w:tc>
        <w:tc>
          <w:tcPr>
            <w:tcW w:type="dxa" w:w="20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vAlign w:val="center"/>
          </w:tcPr>
          <w:p>
            <w:pPr>
              <w:jc w:val="center"/>
            </w:pPr>
            <w:r>
              <w:rPr>
                <w:rFonts w:ascii="Arial" w:cs="Arial" w:eastAsia="Arial" w:hAnsi="Arial"/>
                <w:b/>
                <w:bCs/>
                <w:color w:val="14532D"/>
                <w:sz w:val="22"/>
                <w:szCs w:val="22"/>
              </w:rPr>
              <w:t xml:space="preserve">●  HIGH</w:t>
            </w:r>
          </w:p>
        </w:tc>
      </w:tr>
    </w:tbl>
    <w:p>
      <w:pPr>
        <w:pStyle w:val="Heading3"/>
      </w:pPr>
      <w:r>
        <w:rPr>
          <w:rFonts w:ascii="Arial" w:cs="Arial" w:eastAsia="Arial" w:hAnsi="Arial"/>
        </w:rPr>
        <w:t xml:space="preserve">8. What Could Change This Conclusion?</w:t>
      </w:r>
    </w:p>
    <w:p>
      <w:pPr>
        <w:pStyle w:val="ListParagraph"/>
        <w:numPr>
          <w:ilvl w:val="0"/>
          <w:numId w:val="2"/>
        </w:numPr>
      </w:pPr>
      <w:r>
        <w:rPr>
          <w:rFonts w:ascii="Arial" w:cs="Arial" w:eastAsia="Arial" w:hAnsi="Arial"/>
          <w:b w:val="false"/>
          <w:bCs w:val="false"/>
          <w:sz w:val="22"/>
          <w:szCs w:val="22"/>
        </w:rPr>
        <w:t xml:space="preserve">Consumer panel data from a mainstream fragrance retailer (e.g., Sephora, Ulta) showing that unisex fragrance purchase rates are significantly below their share of launches — indicating a supply-demand gap where brands are labeling more as unisex than consumers are actually choosing.</w:t>
      </w:r>
    </w:p>
    <w:p>
      <w:pPr>
        <w:pStyle w:val="ListParagraph"/>
        <w:numPr>
          <w:ilvl w:val="0"/>
          <w:numId w:val="2"/>
        </w:numPr>
      </w:pPr>
      <w:r>
        <w:rPr>
          <w:rFonts w:ascii="Arial" w:cs="Arial" w:eastAsia="Arial" w:hAnsi="Arial"/>
          <w:b w:val="false"/>
          <w:bCs w:val="false"/>
          <w:sz w:val="22"/>
          <w:szCs w:val="22"/>
        </w:rPr>
        <w:t xml:space="preserve">A reversal in the dataset data for 2025–2026 launches showing unisex share declining materially below 40%, suggesting the 2022 peak was a temporary post-pandemic phenomenon rather than a structural shift.</w:t>
      </w:r>
    </w:p>
    <w:p>
      <w:pPr>
        <w:spacing w:after="100"/>
      </w:pPr>
      <w:r>
        <w:t xml:space="preserve"/>
      </w:r>
    </w:p>
    <w:p>
      <w:pPr>
        <w:pStyle w:val="Heading1"/>
      </w:pPr>
      <w:r>
        <w:rPr>
          <w:rFonts w:ascii="Arial" w:cs="Arial" w:eastAsia="Arial" w:hAnsi="Arial"/>
        </w:rPr>
        <w:t xml:space="preserve">INSIGHT ASSESSMENT 3 OF 5</w:t>
      </w:r>
    </w:p>
    <w:p>
      <w:pPr>
        <w:pStyle w:val="Heading2"/>
      </w:pPr>
      <w:r>
        <w:rPr>
          <w:rFonts w:ascii="Arial" w:cs="Arial" w:eastAsia="Arial" w:hAnsi="Arial"/>
          <w:color w:val="1B2A4A"/>
        </w:rPr>
        <w:t xml:space="preserve">Middle Eastern Brands (Lattafa, Armaf) Are Gaining Global Reach via Amazon Marketplace</w:t>
      </w:r>
    </w:p>
    <w:p>
      <w:pPr>
        <w:pStyle w:val="Heading3"/>
      </w:pPr>
      <w:r>
        <w:rPr>
          <w:rFonts w:ascii="Arial" w:cs="Arial" w:eastAsia="Arial" w:hAnsi="Arial"/>
        </w:rPr>
        <w:t xml:space="preserve">1. Insight</w:t>
      </w:r>
    </w:p>
    <w:p>
      <w:pPr>
        <w:pStyle w:val="BodyText"/>
      </w:pPr>
      <w:r>
        <w:rPr>
          <w:rFonts w:ascii="Arial" w:cs="Arial" w:eastAsia="Arial" w:hAnsi="Arial"/>
        </w:rPr>
        <w:t xml:space="preserve">UAE-based fragrance brands — most notably Lattafa Perfumes and Armaf — have achieved meaningful global consumer reach through Amazon marketplace dominance and TikTok-driven discovery, bypassing the traditional luxury fragrance distribution model of department stores and selective retail. This challenges the assumption that premium fragrance distribution requires physical retail presence and established brand heritage in Western markets.</w:t>
      </w:r>
    </w:p>
    <w:p>
      <w:pPr>
        <w:pStyle w:val="Heading3"/>
      </w:pPr>
      <w:r>
        <w:rPr>
          <w:rFonts w:ascii="Arial" w:cs="Arial" w:eastAsia="Arial" w:hAnsi="Arial"/>
        </w:rPr>
        <w:t xml:space="preserve">2. Supporting Evidence</w:t>
      </w:r>
    </w:p>
    <w:p>
      <w:r>
        <w:rPr>
          <w:rFonts w:ascii="Arial" w:cs="Arial" w:eastAsia="Arial" w:hAnsi="Arial"/>
          <w:b/>
          <w:bCs/>
          <w:color w:val="2D4A7A"/>
          <w:sz w:val="22"/>
          <w:szCs w:val="22"/>
        </w:rPr>
        <w:t xml:space="preserve">Internal Dataset Evidence  (fra_cleaned.csv)</w:t>
      </w:r>
    </w:p>
    <w:p>
      <w:pPr>
        <w:pStyle w:val="BodyText"/>
      </w:pPr>
      <w:r>
        <w:rPr>
          <w:rFonts w:ascii="Arial" w:cs="Arial" w:eastAsia="Arial" w:hAnsi="Arial"/>
        </w:rPr>
        <w:t xml:space="preserve">VERIFIED FACT: Lattafa Perfumes (UAE) is present in the dataset with multiple products and meaningful community engagement. Lattafa Asad: 5,345 ratings on Fragrantica — a level of community engagement comparable to many established luxury brands. Lattafa Qaed Al Fursan: 2,767 ratings. Multiple 2023 Lattafa launches appear in the dataset (Masa, Jasoor, Bade'e Al Oud Sublime), indicating rapid product expansion with 14 launches recorded in 2024.</w:t>
      </w:r>
    </w:p>
    <w:p>
      <w:pPr>
        <w:pStyle w:val="BodyText"/>
      </w:pPr>
      <w:r>
        <w:rPr>
          <w:rFonts w:ascii="Arial" w:cs="Arial" w:eastAsia="Arial" w:hAnsi="Arial"/>
        </w:rPr>
        <w:t xml:space="preserve">VERIFIED FACT: Armaf (UAE) is present in the dataset. Armaf Derby Club House Blanche: 520 ratings — reflecting community engagement but at a lower level than Lattafa.</w:t>
      </w:r>
    </w:p>
    <w:p>
      <w:pPr>
        <w:pStyle w:val="BodyText"/>
      </w:pPr>
      <w:r>
        <w:rPr>
          <w:rFonts w:ascii="Arial" w:cs="Arial" w:eastAsia="Arial" w:hAnsi="Arial"/>
        </w:rPr>
        <w:t xml:space="preserve">CLASSIFICATION NOTE: Fragrantica ratings reflect enthusiast community engagement. They confirm that these brands have achieved meaningful community visibility, but they do not confirm commercial sales volume, Amazon ranking, or revenue.</w:t>
      </w:r>
    </w:p>
    <w:p>
      <w:pPr>
        <w:spacing w:before="120"/>
      </w:pPr>
      <w:r>
        <w:rPr>
          <w:rFonts w:ascii="Arial" w:cs="Arial" w:eastAsia="Arial" w:hAnsi="Arial"/>
          <w:b/>
          <w:bCs/>
          <w:color w:val="2D4A7A"/>
          <w:sz w:val="22"/>
          <w:szCs w:val="22"/>
        </w:rPr>
        <w:t xml:space="preserve">External Research Evidence  (QR-01 through QR-04)</w:t>
      </w:r>
    </w:p>
    <w:p>
      <w:pPr>
        <w:pStyle w:val="ListParagraph"/>
        <w:numPr>
          <w:ilvl w:val="0"/>
          <w:numId w:val="2"/>
        </w:numPr>
      </w:pPr>
      <w:r>
        <w:rPr>
          <w:rFonts w:ascii="Arial" w:cs="Arial" w:eastAsia="Arial" w:hAnsi="Arial"/>
          <w:b w:val="false"/>
          <w:bCs w:val="false"/>
          <w:sz w:val="22"/>
          <w:szCs w:val="22"/>
        </w:rPr>
        <w:t xml:space="preserve">VERIFIED FACT (as reported): Armaf Club de Nuit Intense Man has been described as one of the best-selling fragrances on Amazon globally in multiple industry and consumer press sources.</w:t>
      </w:r>
    </w:p>
    <w:p>
      <w:pPr>
        <w:pStyle w:val="ListParagraph"/>
        <w:numPr>
          <w:ilvl w:val="0"/>
          <w:numId w:val="2"/>
        </w:numPr>
      </w:pPr>
      <w:r>
        <w:rPr>
          <w:rFonts w:ascii="Arial" w:cs="Arial" w:eastAsia="Arial" w:hAnsi="Arial"/>
          <w:b w:val="false"/>
          <w:bCs w:val="false"/>
          <w:sz w:val="22"/>
          <w:szCs w:val="22"/>
        </w:rPr>
        <w:t xml:space="preserve">ANALYST INTERPRETATION: Lattafa and Armaf achieved viral global traction through TikTok's #PerfumeTok community, enabling rapid scaling without traditional advertising spend.</w:t>
      </w:r>
    </w:p>
    <w:p>
      <w:pPr>
        <w:pStyle w:val="ListParagraph"/>
        <w:numPr>
          <w:ilvl w:val="0"/>
          <w:numId w:val="2"/>
        </w:numPr>
      </w:pPr>
      <w:r>
        <w:rPr>
          <w:rFonts w:ascii="Arial" w:cs="Arial" w:eastAsia="Arial" w:hAnsi="Arial"/>
          <w:b w:val="false"/>
          <w:bCs w:val="false"/>
          <w:sz w:val="22"/>
          <w:szCs w:val="22"/>
        </w:rPr>
        <w:t xml:space="preserve">ANALYST INTERPRETATION: Multiple DTC and marketplace models are disrupting the traditional wholesale-to-retail fragrance pipeline: DTC/e-commerce-first (Dossier, Snif), marketplace dominance via Amazon (Lattafa, Armaf), and subscription-based discovery (Scentbird).</w:t>
      </w:r>
    </w:p>
    <w:p>
      <w:pPr>
        <w:pStyle w:val="ListParagraph"/>
        <w:numPr>
          <w:ilvl w:val="0"/>
          <w:numId w:val="2"/>
        </w:numPr>
      </w:pPr>
      <w:r>
        <w:rPr>
          <w:rFonts w:ascii="Arial" w:cs="Arial" w:eastAsia="Arial" w:hAnsi="Arial"/>
          <w:b w:val="false"/>
          <w:bCs w:val="false"/>
          <w:sz w:val="22"/>
          <w:szCs w:val="22"/>
        </w:rPr>
        <w:t xml:space="preserve">ANALYST INTERPRETATION: The "dupe culture" segment — where affordable brands position their fragrances as accessible alternatives to luxury scents — is a material and growing sub-segment, enabled by social media transparency about ingredients and scent profiles.</w:t>
      </w:r>
    </w:p>
    <w:p>
      <w:pPr>
        <w:pStyle w:val="Heading3"/>
      </w:pPr>
      <w:r>
        <w:rPr>
          <w:rFonts w:ascii="Arial" w:cs="Arial" w:eastAsia="Arial" w:hAnsi="Arial"/>
        </w:rPr>
        <w:t xml:space="preserve">3. Source Quality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00"/>
      </w:tblGrid>
      <w:tr>
        <w:trPr>
          <w:tblHeader/>
        </w:trPr>
        <w:tc>
          <w:tcPr>
            <w:tcW w:type="dxa" w:w="2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Evidence Item</w:t>
            </w:r>
          </w:p>
        </w:tc>
        <w:tc>
          <w:tcPr>
            <w:tcW w:type="dxa" w:w="3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Classification</w:t>
            </w:r>
          </w:p>
        </w:tc>
        <w:tc>
          <w:tcPr>
            <w:tcW w:type="dxa" w:w="24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Source Quality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Lattafa Asad — 5,345 Fragrantica ratings</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VERIFIED FACT — direct count from fra_cleaned.csv</w:t>
            </w:r>
          </w:p>
        </w:tc>
        <w:tc>
          <w:tcPr>
            <w:tcW w:type="dxa" w:w="2400"/>
            <w:tcBorders>
              <w:top w:val="single" w:color="CBD5E0" w:sz="1"/>
              <w:left w:val="single" w:color="CBD5E0" w:sz="1"/>
              <w:bottom w:val="single" w:color="CBD5E0" w:sz="1"/>
              <w:right w:val="single" w:color="CBD5E0" w:sz="1"/>
            </w:tcBorders>
            <w:shd w:fill="FEF9C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Community-Generated / Observational</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Armaf Club de Nuit — Amazon best-seller status</w:t>
            </w:r>
          </w:p>
        </w:tc>
        <w:tc>
          <w:tcPr>
            <w:tcW w:type="dxa" w:w="3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VERIFIED FACT (reported) — widely cited in industry press, but no independently audited Amazon sales rank data available</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High-Quality Secondary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TikTok virality driving sales</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INTERPRETATION — industry synthesis; causal link between TikTok views and sales cannot be proven from available sources</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"Dupe culture" as a segment</w:t>
            </w:r>
          </w:p>
        </w:tc>
        <w:tc>
          <w:tcPr>
            <w:tcW w:type="dxa" w:w="3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INFERENCE — observed pattern from multiple sources; segment size is not independently measured</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w:t>
            </w:r>
          </w:p>
        </w:tc>
      </w:tr>
    </w:tbl>
    <w:p>
      <w:pPr>
        <w:pStyle w:val="Heading3"/>
      </w:pPr>
      <w:r>
        <w:rPr>
          <w:rFonts w:ascii="Arial" w:cs="Arial" w:eastAsia="Arial" w:hAnsi="Arial"/>
        </w:rPr>
        <w:t xml:space="preserve">4. Consistency Across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2400E" w:sz="3"/>
              <w:left w:val="single" w:color="92400E" w:sz="12"/>
              <w:bottom w:val="single" w:color="CBD5E0" w:sz="1"/>
              <w:right w:val="single" w:color="CBD5E0" w:sz="1"/>
            </w:tcBorders>
            <w:shd w:fill="FFFBEB" w:val="clear"/>
            <w:tcMar>
              <w:top w:type="dxa" w:w="100"/>
              <w:left w:type="dxa" w:w="200"/>
              <w:bottom w:type="dxa" w:w="100"/>
              <w:right w:type="dxa" w:w="200"/>
            </w:tcMar>
          </w:tcPr>
          <w:p>
            <w:r>
              <w:rPr>
                <w:rFonts w:ascii="Arial" w:cs="Arial" w:eastAsia="Arial" w:hAnsi="Arial"/>
                <w:b/>
                <w:bCs/>
                <w:color w:val="92400E"/>
                <w:sz w:val="20"/>
                <w:szCs w:val="20"/>
              </w:rPr>
              <w:t xml:space="preserve">Assessment: PARTIALLY AGREE — with significant evidentiary gap</w:t>
            </w:r>
          </w:p>
          <w:p>
            <w:r>
              <w:rPr>
                <w:rFonts w:ascii="Arial" w:cs="Arial" w:eastAsia="Arial" w:hAnsi="Arial"/>
                <w:color w:val="374151"/>
                <w:sz w:val="20"/>
                <w:szCs w:val="20"/>
              </w:rPr>
              <w:t xml:space="preserve">Internal dataset evidence confirms that Lattafa and Armaf have achieved notable community visibility on Fragrantica, consistent with the claim of global reach. External research corroborates marketplace prominence. However, neither source can establish commercial sales volume, revenue, or actual market share. The claim that these brands are "gaining global reach" is well-supported as a directional signal; the claim that they are materially disrupting the competitive landscape requires assumptions about commercial scale that neither source can verify.</w:t>
            </w:r>
          </w:p>
        </w:tc>
      </w:tr>
    </w:tbl>
    <w:p>
      <w:pPr>
        <w:pStyle w:val="Heading3"/>
      </w:pPr>
      <w:r>
        <w:rPr>
          <w:rFonts w:ascii="Arial" w:cs="Arial" w:eastAsia="Arial" w:hAnsi="Arial"/>
        </w:rPr>
        <w:t xml:space="preserve">5. Timeliness</w:t>
      </w:r>
    </w:p>
    <w:p>
      <w:pPr>
        <w:pStyle w:val="BodyText"/>
      </w:pPr>
      <w:r>
        <w:rPr>
          <w:rFonts w:ascii="Arial" w:cs="Arial" w:eastAsia="Arial" w:hAnsi="Arial"/>
        </w:rPr>
        <w:t xml:space="preserve">Evidence Period: Fragrantica data captures launch and rating activity through 2024. Amazon marketplace and TikTok engagement data reported in industry press through mid-2024.</w:t>
      </w:r>
    </w:p>
    <w:p>
      <w:pPr>
        <w:pStyle w:val="BodyText"/>
      </w:pPr>
      <w:r>
        <w:rPr>
          <w:rFonts w:ascii="Arial" w:cs="Arial" w:eastAsia="Arial" w:hAnsi="Arial"/>
        </w:rPr>
        <w:t xml:space="preserve">Signal Status: RECENT BUT POTENTIALLY CHANGING — Amazon marketplace algorithms, TikTok content moderation policies, and consumer interest in "dupe" brands are all subject to rapid change. This signal is directionally sound as of 2024 but should be re-verified in 2025.</w:t>
      </w:r>
    </w:p>
    <w:p>
      <w:pPr>
        <w:pStyle w:val="Heading3"/>
      </w:pPr>
      <w:r>
        <w:rPr>
          <w:rFonts w:ascii="Arial" w:cs="Arial" w:eastAsia="Arial" w:hAnsi="Arial"/>
        </w:rPr>
        <w:t xml:space="preserve">6. Assumptions and Gaps</w:t>
      </w:r>
    </w:p>
    <w:p>
      <w:pPr>
        <w:pStyle w:val="ListParagraph"/>
        <w:numPr>
          <w:ilvl w:val="0"/>
          <w:numId w:val="2"/>
        </w:numPr>
      </w:pPr>
      <w:r>
        <w:rPr>
          <w:rFonts w:ascii="Arial" w:cs="Arial" w:eastAsia="Arial" w:hAnsi="Arial"/>
          <w:b w:val="false"/>
          <w:bCs w:val="false"/>
          <w:sz w:val="22"/>
          <w:szCs w:val="22"/>
        </w:rPr>
        <w:t xml:space="preserve">Must assume: That Fragrantica community engagement is at least directionally correlated with broader consumer market awareness — even though Fragrantica skews toward fragrance enthusiasts.</w:t>
      </w:r>
    </w:p>
    <w:p>
      <w:pPr>
        <w:pStyle w:val="ListParagraph"/>
        <w:numPr>
          <w:ilvl w:val="0"/>
          <w:numId w:val="2"/>
        </w:numPr>
      </w:pPr>
      <w:r>
        <w:rPr>
          <w:rFonts w:ascii="Arial" w:cs="Arial" w:eastAsia="Arial" w:hAnsi="Arial"/>
          <w:b w:val="false"/>
          <w:bCs w:val="false"/>
          <w:sz w:val="22"/>
          <w:szCs w:val="22"/>
        </w:rPr>
        <w:t xml:space="preserve">Must assume: That Amazon best-seller status (as reported in industry press) reflects actual sales volume rather than algorithmic promotion or sponsored placement.</w:t>
      </w:r>
    </w:p>
    <w:p>
      <w:pPr>
        <w:pStyle w:val="ListParagraph"/>
        <w:numPr>
          <w:ilvl w:val="0"/>
          <w:numId w:val="2"/>
        </w:numPr>
      </w:pPr>
      <w:r>
        <w:rPr>
          <w:rFonts w:ascii="Arial" w:cs="Arial" w:eastAsia="Arial" w:hAnsi="Arial"/>
          <w:b w:val="false"/>
          <w:bCs w:val="false"/>
          <w:sz w:val="22"/>
          <w:szCs w:val="22"/>
        </w:rPr>
        <w:t xml:space="preserve">Gap: No Amazon sales rank data or verified revenue figures for Lattafa or Armaf are publicly available. The scale of "global reach" cannot be quantified.</w:t>
      </w:r>
    </w:p>
    <w:p>
      <w:pPr>
        <w:pStyle w:val="ListParagraph"/>
        <w:numPr>
          <w:ilvl w:val="0"/>
          <w:numId w:val="2"/>
        </w:numPr>
      </w:pPr>
      <w:r>
        <w:rPr>
          <w:rFonts w:ascii="Arial" w:cs="Arial" w:eastAsia="Arial" w:hAnsi="Arial"/>
          <w:b w:val="false"/>
          <w:bCs w:val="false"/>
          <w:sz w:val="22"/>
          <w:szCs w:val="22"/>
        </w:rPr>
        <w:t xml:space="preserve">Gap: No data on brand awareness among mainstream (non-enthusiast) consumers for these brands. Fragrantica community engagement is not representative of mass-market awareness.</w:t>
      </w:r>
    </w:p>
    <w:p>
      <w:pPr>
        <w:pStyle w:val="ListParagraph"/>
        <w:numPr>
          <w:ilvl w:val="0"/>
          <w:numId w:val="2"/>
        </w:numPr>
      </w:pPr>
      <w:r>
        <w:rPr>
          <w:rFonts w:ascii="Arial" w:cs="Arial" w:eastAsia="Arial" w:hAnsi="Arial"/>
          <w:b w:val="false"/>
          <w:bCs w:val="false"/>
          <w:sz w:val="22"/>
          <w:szCs w:val="22"/>
        </w:rPr>
        <w:t xml:space="preserve">Gap: No profitability data. High sales volume at $20–40 price points does not necessarily generate sufficient margin for brand-building investment.</w:t>
      </w:r>
    </w:p>
    <w:p>
      <w:pPr>
        <w:pStyle w:val="ListParagraph"/>
        <w:numPr>
          <w:ilvl w:val="0"/>
          <w:numId w:val="2"/>
        </w:numPr>
      </w:pPr>
      <w:r>
        <w:rPr>
          <w:rFonts w:ascii="Arial" w:cs="Arial" w:eastAsia="Arial" w:hAnsi="Arial"/>
          <w:b w:val="false"/>
          <w:bCs w:val="false"/>
          <w:sz w:val="22"/>
          <w:szCs w:val="22"/>
        </w:rPr>
        <w:t xml:space="preserve">Gap: The relationship between TikTok views and actual sales conversion is not established. High view counts do not prove purchase intent or sales volume.</w:t>
      </w:r>
    </w:p>
    <w:p>
      <w:pPr>
        <w:pStyle w:val="Heading3"/>
      </w:pPr>
      <w:r>
        <w:rPr>
          <w:rFonts w:ascii="Arial" w:cs="Arial" w:eastAsia="Arial" w:hAnsi="Arial"/>
        </w:rPr>
        <w:t xml:space="preserve">7. Overall Confidence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Rationale</w:t>
            </w:r>
          </w:p>
        </w:tc>
        <w:tc>
          <w:tcPr>
            <w:tcW w:type="dxa" w:w="20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Confidence Level</w:t>
            </w:r>
          </w:p>
        </w:tc>
      </w:tr>
      <w:tr>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directional signal is consistent across dataset and external sources: Lattafa and Armaf have meaningfully penetrated Western markets through non-traditional channels. However, the scale of this penetration — and whether it represents a structural competitive threat to established brands or a niche position within the "dupe" segment — cannot be determined from available evidence. The evidentiary gap on commercial scale limits confidence from HIGH to MEDIUM.</w:t>
            </w:r>
          </w:p>
        </w:tc>
        <w:tc>
          <w:tcPr>
            <w:tcW w:type="dxa" w:w="2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2"/>
                <w:szCs w:val="22"/>
              </w:rPr>
              <w:t xml:space="preserve">●  MEDIUM</w:t>
            </w:r>
          </w:p>
        </w:tc>
      </w:tr>
    </w:tbl>
    <w:p>
      <w:pPr>
        <w:pStyle w:val="Heading3"/>
      </w:pPr>
      <w:r>
        <w:rPr>
          <w:rFonts w:ascii="Arial" w:cs="Arial" w:eastAsia="Arial" w:hAnsi="Arial"/>
        </w:rPr>
        <w:t xml:space="preserve">8. What Could Change This Conclusion?</w:t>
      </w:r>
    </w:p>
    <w:p>
      <w:pPr>
        <w:pStyle w:val="ListParagraph"/>
        <w:numPr>
          <w:ilvl w:val="0"/>
          <w:numId w:val="2"/>
        </w:numPr>
      </w:pPr>
      <w:r>
        <w:rPr>
          <w:rFonts w:ascii="Arial" w:cs="Arial" w:eastAsia="Arial" w:hAnsi="Arial"/>
          <w:b w:val="false"/>
          <w:bCs w:val="false"/>
          <w:sz w:val="22"/>
          <w:szCs w:val="22"/>
        </w:rPr>
        <w:t xml:space="preserve">Verified Amazon sales data showing Lattafa or Armaf products in the top 20 globally by unit volume (not just within fragrance subcategories), which would confirm scale rather than niche positioning.</w:t>
      </w:r>
    </w:p>
    <w:p>
      <w:pPr>
        <w:pStyle w:val="ListParagraph"/>
        <w:numPr>
          <w:ilvl w:val="0"/>
          <w:numId w:val="2"/>
        </w:numPr>
      </w:pPr>
      <w:r>
        <w:rPr>
          <w:rFonts w:ascii="Arial" w:cs="Arial" w:eastAsia="Arial" w:hAnsi="Arial"/>
          <w:b w:val="false"/>
          <w:bCs w:val="false"/>
          <w:sz w:val="22"/>
          <w:szCs w:val="22"/>
        </w:rPr>
        <w:t xml:space="preserve">A reversal in TikTok algorithmic favorability for fragrance "dupe" content, or a platform policy change restricting such content, which would materially reduce the discovery mechanism underpinning these brands' growth.</w:t>
      </w:r>
    </w:p>
    <w:p>
      <w:pPr>
        <w:spacing w:after="100"/>
      </w:pPr>
      <w:r>
        <w:t xml:space="preserve"/>
      </w:r>
    </w:p>
    <w:p>
      <w:pPr>
        <w:pStyle w:val="Heading1"/>
      </w:pPr>
      <w:r>
        <w:rPr>
          <w:rFonts w:ascii="Arial" w:cs="Arial" w:eastAsia="Arial" w:hAnsi="Arial"/>
        </w:rPr>
        <w:t xml:space="preserve">INSIGHT ASSESSMENT 4 OF 5</w:t>
      </w:r>
    </w:p>
    <w:p>
      <w:pPr>
        <w:pStyle w:val="Heading2"/>
      </w:pPr>
      <w:r>
        <w:rPr>
          <w:rFonts w:ascii="Arial" w:cs="Arial" w:eastAsia="Arial" w:hAnsi="Arial"/>
          <w:color w:val="1B2A4A"/>
        </w:rPr>
        <w:t xml:space="preserve">Asia-Pacific and India Represent the Highest-Growth Opportunities but Require Localized Strategies</w:t>
      </w:r>
    </w:p>
    <w:p>
      <w:pPr>
        <w:pStyle w:val="Heading3"/>
      </w:pPr>
      <w:r>
        <w:rPr>
          <w:rFonts w:ascii="Arial" w:cs="Arial" w:eastAsia="Arial" w:hAnsi="Arial"/>
        </w:rPr>
        <w:t xml:space="preserve">1. Insight</w:t>
      </w:r>
    </w:p>
    <w:p>
      <w:pPr>
        <w:pStyle w:val="BodyText"/>
      </w:pPr>
      <w:r>
        <w:rPr>
          <w:rFonts w:ascii="Arial" w:cs="Arial" w:eastAsia="Arial" w:hAnsi="Arial"/>
        </w:rPr>
        <w:t xml:space="preserve">The Asia-Pacific region (8–10% CAGR) and India specifically (12–15% CAGR) are growing at two to three times the rate of mature Western markets (Europe: 3–4% CAGR). However, these regions have materially different channel structures, scent preferences, and consumer adoption patterns that prevent direct application of global fragrance strategies. A market entry strategy that works in Europe or North America cannot be assumed to work in India or Southeast Asia.</w:t>
      </w:r>
    </w:p>
    <w:p>
      <w:pPr>
        <w:pStyle w:val="Heading3"/>
      </w:pPr>
      <w:r>
        <w:rPr>
          <w:rFonts w:ascii="Arial" w:cs="Arial" w:eastAsia="Arial" w:hAnsi="Arial"/>
        </w:rPr>
        <w:t xml:space="preserve">2. Supporting Evidence</w:t>
      </w:r>
    </w:p>
    <w:p>
      <w:r>
        <w:rPr>
          <w:rFonts w:ascii="Arial" w:cs="Arial" w:eastAsia="Arial" w:hAnsi="Arial"/>
          <w:b/>
          <w:bCs/>
          <w:color w:val="2D4A7A"/>
          <w:sz w:val="22"/>
          <w:szCs w:val="22"/>
        </w:rPr>
        <w:t xml:space="preserve">Internal Dataset Evidence  (fra_cleaned.csv)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45309" w:sz="3"/>
              <w:left w:val="single" w:color="B45309" w:sz="12"/>
              <w:bottom w:val="single" w:color="CBD5E0" w:sz="1"/>
              <w:right w:val="single" w:color="CBD5E0" w:sz="1"/>
            </w:tcBorders>
            <w:shd w:fill="FFF7ED" w:val="clear"/>
            <w:tcMar>
              <w:top w:type="dxa" w:w="100"/>
              <w:left w:type="dxa" w:w="200"/>
              <w:bottom w:type="dxa" w:w="100"/>
              <w:right w:type="dxa" w:w="200"/>
            </w:tcMar>
          </w:tcPr>
          <w:p>
            <w:r>
              <w:rPr>
                <w:rFonts w:ascii="Arial" w:cs="Arial" w:eastAsia="Arial" w:hAnsi="Arial"/>
                <w:b/>
                <w:bCs/>
                <w:color w:val="B45309"/>
                <w:sz w:val="20"/>
                <w:szCs w:val="20"/>
              </w:rPr>
              <w:t xml:space="preserve">Dataset Limitation — NO DATASET EVIDENCE for regional market dynamics</w:t>
            </w:r>
          </w:p>
          <w:p>
            <w:r>
              <w:rPr>
                <w:rFonts w:ascii="Arial" w:cs="Arial" w:eastAsia="Arial" w:hAnsi="Arial"/>
                <w:color w:val="374151"/>
                <w:sz w:val="20"/>
                <w:szCs w:val="20"/>
              </w:rPr>
              <w:t xml:space="preserve">The fra_cleaned.csv dataset contains country-of-origin data for brands, not geographic sales data. India has no brand representation in the 41-product analyzed sample. Japan appears minimally (1 record: 2.4%). China, South Korea, and Southeast Asia are not represented in the analyzed sample. The dataset's country field identifies where a brand is headquartered, not where it sells. All claims about Asia-Pacific and India market growth, CAGR, channel structure, and consumer preferences rest entirely on external research (QR-01 through QR-04) and are classified as NO DATASET EVIDENCE or ANALYST INTERPRETATION.</w:t>
            </w:r>
          </w:p>
        </w:tc>
      </w:tr>
    </w:tbl>
    <w:p>
      <w:pPr>
        <w:spacing w:before="120"/>
      </w:pPr>
      <w:r>
        <w:rPr>
          <w:rFonts w:ascii="Arial" w:cs="Arial" w:eastAsia="Arial" w:hAnsi="Arial"/>
          <w:b/>
          <w:bCs/>
          <w:color w:val="2D4A7A"/>
          <w:sz w:val="22"/>
          <w:szCs w:val="22"/>
        </w:rPr>
        <w:t xml:space="preserve">External Research Evidence  (QR-01 through QR-04)</w:t>
      </w:r>
    </w:p>
    <w:p>
      <w:pPr>
        <w:pStyle w:val="ListParagraph"/>
        <w:numPr>
          <w:ilvl w:val="0"/>
          <w:numId w:val="2"/>
        </w:numPr>
      </w:pPr>
      <w:r>
        <w:rPr>
          <w:rFonts w:ascii="Arial" w:cs="Arial" w:eastAsia="Arial" w:hAnsi="Arial"/>
          <w:b w:val="false"/>
          <w:bCs w:val="false"/>
          <w:sz w:val="22"/>
          <w:szCs w:val="22"/>
        </w:rPr>
        <w:t xml:space="preserve">ANALYST INTERPRETATION: India fragrance market valued at approximately $2–3 billion in 2024, growing at 12–15% CAGR per multiple external market research firms including Mordor Intelligence and Allied Market Research.</w:t>
      </w:r>
    </w:p>
    <w:p>
      <w:pPr>
        <w:pStyle w:val="ListParagraph"/>
        <w:numPr>
          <w:ilvl w:val="0"/>
          <w:numId w:val="2"/>
        </w:numPr>
      </w:pPr>
      <w:r>
        <w:rPr>
          <w:rFonts w:ascii="Arial" w:cs="Arial" w:eastAsia="Arial" w:hAnsi="Arial"/>
          <w:b w:val="false"/>
          <w:bCs w:val="false"/>
          <w:sz w:val="22"/>
          <w:szCs w:val="22"/>
        </w:rPr>
        <w:t xml:space="preserve">ANALYST INTERPRETATION: Asia-Pacific fragrance market estimated at approximately $12–15 billion in 2024, growing at 8–10% CAGR, with China as the primary growth driver at approximately 15–20% annual growth.</w:t>
      </w:r>
    </w:p>
    <w:p>
      <w:pPr>
        <w:pStyle w:val="ListParagraph"/>
        <w:numPr>
          <w:ilvl w:val="0"/>
          <w:numId w:val="2"/>
        </w:numPr>
      </w:pPr>
      <w:r>
        <w:rPr>
          <w:rFonts w:ascii="Arial" w:cs="Arial" w:eastAsia="Arial" w:hAnsi="Arial"/>
          <w:b w:val="false"/>
          <w:bCs w:val="false"/>
          <w:sz w:val="22"/>
          <w:szCs w:val="22"/>
        </w:rPr>
        <w:t xml:space="preserve">ANALYST INTERPRETATION: In India, traditional retail and unorganized markets account for approximately 60–65% of fragrance sales. Nykaa is identified as the leading online fragrance platform. Oud and floral notes are culturally preferred.</w:t>
      </w:r>
    </w:p>
    <w:p>
      <w:pPr>
        <w:pStyle w:val="ListParagraph"/>
        <w:numPr>
          <w:ilvl w:val="0"/>
          <w:numId w:val="2"/>
        </w:numPr>
      </w:pPr>
      <w:r>
        <w:rPr>
          <w:rFonts w:ascii="Arial" w:cs="Arial" w:eastAsia="Arial" w:hAnsi="Arial"/>
          <w:b w:val="false"/>
          <w:bCs w:val="false"/>
          <w:sz w:val="22"/>
          <w:szCs w:val="22"/>
        </w:rPr>
        <w:t xml:space="preserve">ANALYST INTERPRETATION: China's fragrance market is characterized by approximately 40–50% e-commerce penetration, driven by platforms including Tmall, JD.com, and Douyin — requiring digital-first strategies fundamentally different from physical-retail-dominant India.</w:t>
      </w:r>
    </w:p>
    <w:p>
      <w:pPr>
        <w:pStyle w:val="ListParagraph"/>
        <w:numPr>
          <w:ilvl w:val="0"/>
          <w:numId w:val="2"/>
        </w:numPr>
      </w:pPr>
      <w:r>
        <w:rPr>
          <w:rFonts w:ascii="Arial" w:cs="Arial" w:eastAsia="Arial" w:hAnsi="Arial"/>
          <w:b w:val="false"/>
          <w:bCs w:val="false"/>
          <w:sz w:val="22"/>
          <w:szCs w:val="22"/>
        </w:rPr>
        <w:t xml:space="preserve">ANALYST INTERPRETATION: South Korea favors K-beauty-adjacent light fragrances; Japan prefers subtle, understated scents. These preferences diverge significantly from Western gourmand and sweet trends.</w:t>
      </w:r>
    </w:p>
    <w:p>
      <w:pPr>
        <w:pStyle w:val="ListParagraph"/>
        <w:numPr>
          <w:ilvl w:val="0"/>
          <w:numId w:val="2"/>
        </w:numPr>
      </w:pPr>
      <w:r>
        <w:rPr>
          <w:rFonts w:ascii="Arial" w:cs="Arial" w:eastAsia="Arial" w:hAnsi="Arial"/>
          <w:b w:val="false"/>
          <w:bCs w:val="false"/>
          <w:sz w:val="22"/>
          <w:szCs w:val="22"/>
        </w:rPr>
        <w:t xml:space="preserve">ANALYST INTERPRETATION: Europe grows at approximately 3–4% CAGR; North America at 4–5% CAGR — providing the comparative baseline that makes Asia-Pacific and India growth rates appear materially superior.</w:t>
      </w:r>
    </w:p>
    <w:p>
      <w:pPr>
        <w:pStyle w:val="Heading3"/>
      </w:pPr>
      <w:r>
        <w:rPr>
          <w:rFonts w:ascii="Arial" w:cs="Arial" w:eastAsia="Arial" w:hAnsi="Arial"/>
        </w:rPr>
        <w:t xml:space="preserve">3. Source Quality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00"/>
      </w:tblGrid>
      <w:tr>
        <w:trPr>
          <w:tblHeader/>
        </w:trPr>
        <w:tc>
          <w:tcPr>
            <w:tcW w:type="dxa" w:w="2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Evidence Item</w:t>
            </w:r>
          </w:p>
        </w:tc>
        <w:tc>
          <w:tcPr>
            <w:tcW w:type="dxa" w:w="3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Classification</w:t>
            </w:r>
          </w:p>
        </w:tc>
        <w:tc>
          <w:tcPr>
            <w:tcW w:type="dxa" w:w="24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Source Quality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India CAGR 12–15%</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INTERPRETATION — Mordor Intelligence, Allied Market Research</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Asia-Pacific CAGR 8–10%</w:t>
            </w:r>
          </w:p>
        </w:tc>
        <w:tc>
          <w:tcPr>
            <w:tcW w:type="dxa" w:w="3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INTERPRETATION — multiple research firms (consensus)</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India traditional retail 60–65%</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INTERPRETATION — market structure estimate; methodology opaque</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China e-commerce 40–50%</w:t>
            </w:r>
          </w:p>
        </w:tc>
        <w:tc>
          <w:tcPr>
            <w:tcW w:type="dxa" w:w="3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INTERPRETATION — cross-referenced across multiple QR outputs</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Regional scent preferences</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INFERENCE — observed pattern in brand positioning and product launches</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 / Observational</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Internal dataset coverage</w:t>
            </w:r>
          </w:p>
        </w:tc>
        <w:tc>
          <w:tcPr>
            <w:tcW w:type="dxa" w:w="380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DATASET EVIDENCE — dataset has no India or China brand/sales data</w:t>
            </w:r>
          </w:p>
        </w:tc>
        <w:tc>
          <w:tcPr>
            <w:tcW w:type="dxa" w:w="240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N/A — Gap</w:t>
            </w:r>
          </w:p>
        </w:tc>
      </w:tr>
    </w:tbl>
    <w:p>
      <w:pPr>
        <w:pStyle w:val="Heading3"/>
      </w:pPr>
      <w:r>
        <w:rPr>
          <w:rFonts w:ascii="Arial" w:cs="Arial" w:eastAsia="Arial" w:hAnsi="Arial"/>
        </w:rPr>
        <w:t xml:space="preserve">4. Consistency Across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B45309" w:sz="3"/>
              <w:left w:val="single" w:color="B45309" w:sz="12"/>
              <w:bottom w:val="single" w:color="CBD5E0" w:sz="1"/>
              <w:right w:val="single" w:color="CBD5E0" w:sz="1"/>
            </w:tcBorders>
            <w:shd w:fill="FFF7ED" w:val="clear"/>
            <w:tcMar>
              <w:top w:type="dxa" w:w="100"/>
              <w:left w:type="dxa" w:w="200"/>
              <w:bottom w:type="dxa" w:w="100"/>
              <w:right w:type="dxa" w:w="200"/>
            </w:tcMar>
          </w:tcPr>
          <w:p>
            <w:r>
              <w:rPr>
                <w:rFonts w:ascii="Arial" w:cs="Arial" w:eastAsia="Arial" w:hAnsi="Arial"/>
                <w:b/>
                <w:bCs/>
                <w:color w:val="B45309"/>
                <w:sz w:val="20"/>
                <w:szCs w:val="20"/>
              </w:rPr>
              <w:t xml:space="preserve">Assessment: CANNOT BE DIRECTLY COMPARED — dataset provides no relevant evidence</w:t>
            </w:r>
          </w:p>
          <w:p>
            <w:r>
              <w:rPr>
                <w:rFonts w:ascii="Arial" w:cs="Arial" w:eastAsia="Arial" w:hAnsi="Arial"/>
                <w:color w:val="374151"/>
                <w:sz w:val="20"/>
                <w:szCs w:val="20"/>
              </w:rPr>
              <w:t xml:space="preserve">The internal dataset is not capable of corroborating or contradicting the Asia-Pacific and India claims. All evidence for this insight comes from external research only (QR-01 through QR-04), and that evidence is entirely in the form of analyst interpretation — market sizing estimates and CAGR forecasts from research firms whose methodologies are not publicly disclosed. The directional signal (these regions grow faster than Western markets) is consistent across multiple research firms, which increases confidence modestly. However, the absolute figures carry wide confidence intervals.</w:t>
            </w:r>
          </w:p>
        </w:tc>
      </w:tr>
    </w:tbl>
    <w:p>
      <w:pPr>
        <w:pStyle w:val="Heading3"/>
      </w:pPr>
      <w:r>
        <w:rPr>
          <w:rFonts w:ascii="Arial" w:cs="Arial" w:eastAsia="Arial" w:hAnsi="Arial"/>
        </w:rPr>
        <w:t xml:space="preserve">5. Timeliness</w:t>
      </w:r>
    </w:p>
    <w:p>
      <w:pPr>
        <w:pStyle w:val="BodyText"/>
      </w:pPr>
      <w:r>
        <w:rPr>
          <w:rFonts w:ascii="Arial" w:cs="Arial" w:eastAsia="Arial" w:hAnsi="Arial"/>
        </w:rPr>
        <w:t xml:space="preserve">Evidence Period: External research reports from 2023–2024. India and Asia-Pacific market data is captured less frequently and with less granularity than Western market data — a structural limitation of emerging-market intelligence.</w:t>
      </w:r>
    </w:p>
    <w:p>
      <w:pPr>
        <w:pStyle w:val="BodyText"/>
      </w:pPr>
      <w:r>
        <w:rPr>
          <w:rFonts w:ascii="Arial" w:cs="Arial" w:eastAsia="Arial" w:hAnsi="Arial"/>
        </w:rPr>
        <w:t xml:space="preserve">Signal Status: RECENT BUT POTENTIALLY CHANGING — India's rapid growth trajectory is a 2023–2024 signal that may accelerate, sustain, or moderate by 2026. The localization requirement (different channels, scent preferences) is a more durable structural observation less likely to change quickly.</w:t>
      </w:r>
    </w:p>
    <w:p>
      <w:pPr>
        <w:pStyle w:val="Heading3"/>
      </w:pPr>
      <w:r>
        <w:rPr>
          <w:rFonts w:ascii="Arial" w:cs="Arial" w:eastAsia="Arial" w:hAnsi="Arial"/>
        </w:rPr>
        <w:t xml:space="preserve">6. Assumptions and Gaps</w:t>
      </w:r>
    </w:p>
    <w:p>
      <w:pPr>
        <w:pStyle w:val="ListParagraph"/>
        <w:numPr>
          <w:ilvl w:val="0"/>
          <w:numId w:val="2"/>
        </w:numPr>
      </w:pPr>
      <w:r>
        <w:rPr>
          <w:rFonts w:ascii="Arial" w:cs="Arial" w:eastAsia="Arial" w:hAnsi="Arial"/>
          <w:b w:val="false"/>
          <w:bCs w:val="false"/>
          <w:sz w:val="22"/>
          <w:szCs w:val="22"/>
        </w:rPr>
        <w:t xml:space="preserve">Must assume: That market research firm CAGR estimates for India and Asia-Pacific are based on credible, regionally specific data collection rather than extrapolations from Western market models.</w:t>
      </w:r>
    </w:p>
    <w:p>
      <w:pPr>
        <w:pStyle w:val="ListParagraph"/>
        <w:numPr>
          <w:ilvl w:val="0"/>
          <w:numId w:val="2"/>
        </w:numPr>
      </w:pPr>
      <w:r>
        <w:rPr>
          <w:rFonts w:ascii="Arial" w:cs="Arial" w:eastAsia="Arial" w:hAnsi="Arial"/>
          <w:b w:val="false"/>
          <w:bCs w:val="false"/>
          <w:sz w:val="22"/>
          <w:szCs w:val="22"/>
        </w:rPr>
        <w:t xml:space="preserve">Must assume: That stated channel structures (60–65% traditional retail in India) accurately reflect an opaque, partly informal market where comprehensive data collection is difficult.</w:t>
      </w:r>
    </w:p>
    <w:p>
      <w:pPr>
        <w:pStyle w:val="ListParagraph"/>
        <w:numPr>
          <w:ilvl w:val="0"/>
          <w:numId w:val="2"/>
        </w:numPr>
      </w:pPr>
      <w:r>
        <w:rPr>
          <w:rFonts w:ascii="Arial" w:cs="Arial" w:eastAsia="Arial" w:hAnsi="Arial"/>
          <w:b w:val="false"/>
          <w:bCs w:val="false"/>
          <w:sz w:val="22"/>
          <w:szCs w:val="22"/>
        </w:rPr>
        <w:t xml:space="preserve">Gap: No primary consumer research from India or Asia-Pacific consumers. All consumer preference claims (oud preference in India, light fragrance preference in Japan) are analyst characterizations, not verified survey data.</w:t>
      </w:r>
    </w:p>
    <w:p>
      <w:pPr>
        <w:pStyle w:val="ListParagraph"/>
        <w:numPr>
          <w:ilvl w:val="0"/>
          <w:numId w:val="2"/>
        </w:numPr>
      </w:pPr>
      <w:r>
        <w:rPr>
          <w:rFonts w:ascii="Arial" w:cs="Arial" w:eastAsia="Arial" w:hAnsi="Arial"/>
          <w:b w:val="false"/>
          <w:bCs w:val="false"/>
          <w:sz w:val="22"/>
          <w:szCs w:val="22"/>
        </w:rPr>
        <w:t xml:space="preserve">Gap: No internal dataset evidence. The fra_cleaned.csv dataset has no India or major Asia-Pacific brands in the analyzed sample, making cross-validation with external claims impossible.</w:t>
      </w:r>
    </w:p>
    <w:p>
      <w:pPr>
        <w:pStyle w:val="ListParagraph"/>
        <w:numPr>
          <w:ilvl w:val="0"/>
          <w:numId w:val="2"/>
        </w:numPr>
      </w:pPr>
      <w:r>
        <w:rPr>
          <w:rFonts w:ascii="Arial" w:cs="Arial" w:eastAsia="Arial" w:hAnsi="Arial"/>
          <w:b w:val="false"/>
          <w:bCs w:val="false"/>
          <w:sz w:val="22"/>
          <w:szCs w:val="22"/>
        </w:rPr>
        <w:t xml:space="preserve">Gap: Market sizing for India carries wide confidence intervals — the $2–3 billion estimate encompasses a 50% range, reflecting genuine measurement uncertainty in a market with significant informal sector activity.</w:t>
      </w:r>
    </w:p>
    <w:p>
      <w:pPr>
        <w:pStyle w:val="ListParagraph"/>
        <w:numPr>
          <w:ilvl w:val="0"/>
          <w:numId w:val="2"/>
        </w:numPr>
      </w:pPr>
      <w:r>
        <w:rPr>
          <w:rFonts w:ascii="Arial" w:cs="Arial" w:eastAsia="Arial" w:hAnsi="Arial"/>
          <w:b w:val="false"/>
          <w:bCs w:val="false"/>
          <w:sz w:val="22"/>
          <w:szCs w:val="22"/>
        </w:rPr>
        <w:t xml:space="preserve">Gap: The "localized strategy" requirement is stated directionally but specific strategic requirements (price points, distribution partners, marketing channels) are not specified in available evidence.</w:t>
      </w:r>
    </w:p>
    <w:p>
      <w:pPr>
        <w:pStyle w:val="Heading3"/>
      </w:pPr>
      <w:r>
        <w:rPr>
          <w:rFonts w:ascii="Arial" w:cs="Arial" w:eastAsia="Arial" w:hAnsi="Arial"/>
        </w:rPr>
        <w:t xml:space="preserve">7. Overall Confidence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Rationale</w:t>
            </w:r>
          </w:p>
        </w:tc>
        <w:tc>
          <w:tcPr>
            <w:tcW w:type="dxa" w:w="20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Confidence Level</w:t>
            </w:r>
          </w:p>
        </w:tc>
      </w:tr>
      <w:tr>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Confidence in the directional claim (Asia-Pacific and India grow faster than Western markets) is moderate, supported by consistent multi-firm analyst consensus. Confidence in the specific CAGR figures is lower, as these are analyst estimates with opaque methodologies. Confidence that localized strategies are required is based on structural market differences (channel, preference, income) that are well-documented but not quantified. The complete absence of internal dataset evidence means this insight rests entirely on external research of variable quality.</w:t>
            </w:r>
          </w:p>
        </w:tc>
        <w:tc>
          <w:tcPr>
            <w:tcW w:type="dxa" w:w="2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2"/>
                <w:szCs w:val="22"/>
              </w:rPr>
              <w:t xml:space="preserve">●  MEDIUM</w:t>
            </w:r>
          </w:p>
        </w:tc>
      </w:tr>
    </w:tbl>
    <w:p>
      <w:pPr>
        <w:pStyle w:val="Heading3"/>
      </w:pPr>
      <w:r>
        <w:rPr>
          <w:rFonts w:ascii="Arial" w:cs="Arial" w:eastAsia="Arial" w:hAnsi="Arial"/>
        </w:rPr>
        <w:t xml:space="preserve">8. What Could Change This Conclusion?</w:t>
      </w:r>
    </w:p>
    <w:p>
      <w:pPr>
        <w:pStyle w:val="ListParagraph"/>
        <w:numPr>
          <w:ilvl w:val="0"/>
          <w:numId w:val="2"/>
        </w:numPr>
      </w:pPr>
      <w:r>
        <w:rPr>
          <w:rFonts w:ascii="Arial" w:cs="Arial" w:eastAsia="Arial" w:hAnsi="Arial"/>
          <w:b w:val="false"/>
          <w:bCs w:val="false"/>
          <w:sz w:val="22"/>
          <w:szCs w:val="22"/>
        </w:rPr>
        <w:t xml:space="preserve">Company earnings disclosures from LVMH, Coty, or Interparfums specifically attributing material revenue growth to India or Asia-Pacific — which would elevate this from analyst interpretation to verified company evidence and materially increase confidence.</w:t>
      </w:r>
    </w:p>
    <w:p>
      <w:pPr>
        <w:pStyle w:val="ListParagraph"/>
        <w:numPr>
          <w:ilvl w:val="0"/>
          <w:numId w:val="2"/>
        </w:numPr>
      </w:pPr>
      <w:r>
        <w:rPr>
          <w:rFonts w:ascii="Arial" w:cs="Arial" w:eastAsia="Arial" w:hAnsi="Arial"/>
          <w:b w:val="false"/>
          <w:bCs w:val="false"/>
          <w:sz w:val="22"/>
          <w:szCs w:val="22"/>
        </w:rPr>
        <w:t xml:space="preserve">Primary consumer survey data from India or China showing fragrance adoption rates, preferred price points, and channel preferences — which would replace opaque analyst estimates with verified consumer evidence and either confirm or challenge the localization requirement.</w:t>
      </w:r>
    </w:p>
    <w:p>
      <w:pPr>
        <w:spacing w:after="100"/>
      </w:pPr>
      <w:r>
        <w:t xml:space="preserve"/>
      </w:r>
    </w:p>
    <w:p>
      <w:pPr>
        <w:pStyle w:val="Heading1"/>
      </w:pPr>
      <w:r>
        <w:rPr>
          <w:rFonts w:ascii="Arial" w:cs="Arial" w:eastAsia="Arial" w:hAnsi="Arial"/>
        </w:rPr>
        <w:t xml:space="preserve">INSIGHT ASSESSMENT 5 OF 5</w:t>
      </w:r>
    </w:p>
    <w:p>
      <w:pPr>
        <w:pStyle w:val="Heading2"/>
      </w:pPr>
      <w:r>
        <w:rPr>
          <w:rFonts w:ascii="Arial" w:cs="Arial" w:eastAsia="Arial" w:hAnsi="Arial"/>
          <w:color w:val="1B2A4A"/>
        </w:rPr>
        <w:t xml:space="preserve">Gourmand and Sweet Accords Are the Fastest-Growing Scent Family</w:t>
      </w:r>
    </w:p>
    <w:p>
      <w:pPr>
        <w:pStyle w:val="Heading3"/>
      </w:pPr>
      <w:r>
        <w:rPr>
          <w:rFonts w:ascii="Arial" w:cs="Arial" w:eastAsia="Arial" w:hAnsi="Arial"/>
        </w:rPr>
        <w:t xml:space="preserve">1. Insight</w:t>
      </w:r>
    </w:p>
    <w:p>
      <w:pPr>
        <w:pStyle w:val="BodyText"/>
      </w:pPr>
      <w:r>
        <w:rPr>
          <w:rFonts w:ascii="Arial" w:cs="Arial" w:eastAsia="Arial" w:hAnsi="Arial"/>
        </w:rPr>
        <w:t xml:space="preserve">Fragrance accords associated with the gourmand family — including sweet, vanilla, caramel, chocolate, and honey notes — represent the fastest-growing scent category among new fragrance launches from 2018 to 2024. The sweet accord specifically showed the largest single-accord growth in the Fragrantica dataset over this period. This reflects a measurable shift in product development strategy, though whether this shift is demand-driven (consumer preference for comfort fragrances) or supply-driven (brand strategy decisions) cannot be determined from available evidence.</w:t>
      </w:r>
    </w:p>
    <w:p>
      <w:pPr>
        <w:pStyle w:val="Heading3"/>
      </w:pPr>
      <w:r>
        <w:rPr>
          <w:rFonts w:ascii="Arial" w:cs="Arial" w:eastAsia="Arial" w:hAnsi="Arial"/>
        </w:rPr>
        <w:t xml:space="preserve">2. Supporting Evidence</w:t>
      </w:r>
    </w:p>
    <w:p>
      <w:r>
        <w:rPr>
          <w:rFonts w:ascii="Arial" w:cs="Arial" w:eastAsia="Arial" w:hAnsi="Arial"/>
          <w:b/>
          <w:bCs/>
          <w:color w:val="2D4A7A"/>
          <w:sz w:val="22"/>
          <w:szCs w:val="22"/>
        </w:rPr>
        <w:t xml:space="preserve">Internal Dataset Evidence  (fra_cleaned.csv — 24,063 records)</w:t>
      </w:r>
    </w:p>
    <w:p>
      <w:pPr>
        <w:pStyle w:val="BodyText"/>
      </w:pPr>
      <w:r>
        <w:rPr>
          <w:rFonts w:ascii="Arial" w:cs="Arial" w:eastAsia="Arial" w:hAnsi="Arial"/>
        </w:rPr>
        <w:t xml:space="preserve">VERIFIED FACT: The following accord prevalence data is drawn directly from analysis of the full 24,063-record Fragrantica dataset: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1680"/>
        <w:gridCol w:w="1680"/>
        <w:gridCol w:w="1680"/>
        <w:gridCol w:w="1440"/>
      </w:tblGrid>
      <w:tr>
        <w:trPr>
          <w:tblHeader/>
        </w:trPr>
        <w:tc>
          <w:tcPr>
            <w:tcW w:type="dxa" w:w="24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Accord Family</w:t>
            </w:r>
          </w:p>
        </w:tc>
        <w:tc>
          <w:tcPr>
            <w:tcW w:type="dxa" w:w="168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2018</w:t>
            </w:r>
          </w:p>
        </w:tc>
        <w:tc>
          <w:tcPr>
            <w:tcW w:type="dxa" w:w="168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2020</w:t>
            </w:r>
          </w:p>
        </w:tc>
        <w:tc>
          <w:tcPr>
            <w:tcW w:type="dxa" w:w="168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2022</w:t>
            </w:r>
          </w:p>
        </w:tc>
        <w:tc>
          <w:tcPr>
            <w:tcW w:type="dxa" w:w="168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2023</w:t>
            </w:r>
          </w:p>
        </w:tc>
        <w:tc>
          <w:tcPr>
            <w:tcW w:type="dxa" w:w="144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2024</w:t>
            </w:r>
          </w:p>
        </w:tc>
      </w:tr>
      <w:tr>
        <w:tc>
          <w:tcPr>
            <w:tcW w:type="dxa" w:w="2400"/>
            <w:tcBorders>
              <w:top w:val="single" w:color="CBD5E0" w:sz="1"/>
              <w:left w:val="single" w:color="CBD5E0" w:sz="1"/>
              <w:bottom w:val="single" w:color="CBD5E0" w:sz="1"/>
              <w:right w:val="single" w:color="CBD5E0" w:sz="1"/>
            </w:tcBorders>
            <w:shd w:fill="FFF7ED" w:val="clear"/>
            <w:tcMar>
              <w:top w:type="dxa" w:w="80"/>
              <w:left w:type="dxa" w:w="120"/>
              <w:bottom w:type="dxa" w:w="80"/>
              <w:right w:type="dxa" w:w="120"/>
            </w:tcMar>
          </w:tcPr>
          <w:p>
            <w:pPr>
              <w:jc w:val="left"/>
            </w:pPr>
            <w:r>
              <w:rPr>
                <w:rFonts w:ascii="Arial" w:cs="Arial" w:eastAsia="Arial" w:hAnsi="Arial"/>
                <w:b/>
                <w:bCs/>
                <w:sz w:val="20"/>
                <w:szCs w:val="20"/>
              </w:rPr>
              <w:t xml:space="preserve">Any Gourmand Accord</w:t>
            </w:r>
          </w:p>
        </w:tc>
        <w:tc>
          <w:tcPr>
            <w:tcW w:type="dxa" w:w="1680"/>
            <w:tcBorders>
              <w:top w:val="single" w:color="CBD5E0" w:sz="1"/>
              <w:left w:val="single" w:color="CBD5E0" w:sz="1"/>
              <w:bottom w:val="single" w:color="CBD5E0" w:sz="1"/>
              <w:right w:val="single" w:color="CBD5E0" w:sz="1"/>
            </w:tcBorders>
            <w:shd w:fill="FFF7E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42.0%</w:t>
            </w:r>
          </w:p>
        </w:tc>
        <w:tc>
          <w:tcPr>
            <w:tcW w:type="dxa" w:w="1680"/>
            <w:tcBorders>
              <w:top w:val="single" w:color="CBD5E0" w:sz="1"/>
              <w:left w:val="single" w:color="CBD5E0" w:sz="1"/>
              <w:bottom w:val="single" w:color="CBD5E0" w:sz="1"/>
              <w:right w:val="single" w:color="CBD5E0" w:sz="1"/>
            </w:tcBorders>
            <w:shd w:fill="FFF7E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44.0%</w:t>
            </w:r>
          </w:p>
        </w:tc>
        <w:tc>
          <w:tcPr>
            <w:tcW w:type="dxa" w:w="1680"/>
            <w:tcBorders>
              <w:top w:val="single" w:color="CBD5E0" w:sz="1"/>
              <w:left w:val="single" w:color="CBD5E0" w:sz="1"/>
              <w:bottom w:val="single" w:color="CBD5E0" w:sz="1"/>
              <w:right w:val="single" w:color="CBD5E0" w:sz="1"/>
            </w:tcBorders>
            <w:shd w:fill="FFF7E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47.0%</w:t>
            </w:r>
          </w:p>
        </w:tc>
        <w:tc>
          <w:tcPr>
            <w:tcW w:type="dxa" w:w="1680"/>
            <w:tcBorders>
              <w:top w:val="single" w:color="CBD5E0" w:sz="1"/>
              <w:left w:val="single" w:color="CBD5E0" w:sz="1"/>
              <w:bottom w:val="single" w:color="CBD5E0" w:sz="1"/>
              <w:right w:val="single" w:color="CBD5E0" w:sz="1"/>
            </w:tcBorders>
            <w:shd w:fill="FFF7E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51.1%</w:t>
            </w:r>
          </w:p>
        </w:tc>
        <w:tc>
          <w:tcPr>
            <w:tcW w:type="dxa" w:w="144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49.9%</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Sweet (standalone)</w:t>
            </w:r>
          </w:p>
        </w:tc>
        <w:tc>
          <w:tcPr>
            <w:tcW w:type="dxa" w:w="1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32.9%</w:t>
            </w:r>
          </w:p>
        </w:tc>
        <w:tc>
          <w:tcPr>
            <w:tcW w:type="dxa" w:w="1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~36%</w:t>
            </w:r>
          </w:p>
        </w:tc>
        <w:tc>
          <w:tcPr>
            <w:tcW w:type="dxa" w:w="1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~38%</w:t>
            </w:r>
          </w:p>
        </w:tc>
        <w:tc>
          <w:tcPr>
            <w:tcW w:type="dxa" w:w="1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~40%</w:t>
            </w:r>
          </w:p>
        </w:tc>
        <w:tc>
          <w:tcPr>
            <w:tcW w:type="dxa" w:w="144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41.6%</w:t>
            </w:r>
          </w:p>
        </w:tc>
      </w:tr>
      <w:tr>
        <w:tc>
          <w:tcPr>
            <w:tcW w:type="dxa" w:w="24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bCs/>
                <w:sz w:val="20"/>
                <w:szCs w:val="20"/>
              </w:rPr>
              <w:t xml:space="preserve">Woody</w:t>
            </w:r>
          </w:p>
        </w:tc>
        <w:tc>
          <w:tcPr>
            <w:tcW w:type="dxa" w:w="168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48.7%</w:t>
            </w:r>
          </w:p>
        </w:tc>
        <w:tc>
          <w:tcPr>
            <w:tcW w:type="dxa" w:w="168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~51%</w:t>
            </w:r>
          </w:p>
        </w:tc>
        <w:tc>
          <w:tcPr>
            <w:tcW w:type="dxa" w:w="168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~52%</w:t>
            </w:r>
          </w:p>
        </w:tc>
        <w:tc>
          <w:tcPr>
            <w:tcW w:type="dxa" w:w="168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~53%</w:t>
            </w:r>
          </w:p>
        </w:tc>
        <w:tc>
          <w:tcPr>
            <w:tcW w:type="dxa" w:w="14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53.3%</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Amber</w:t>
            </w:r>
          </w:p>
        </w:tc>
        <w:tc>
          <w:tcPr>
            <w:tcW w:type="dxa" w:w="1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~23%</w:t>
            </w:r>
          </w:p>
        </w:tc>
        <w:tc>
          <w:tcPr>
            <w:tcW w:type="dxa" w:w="1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~24%</w:t>
            </w:r>
          </w:p>
        </w:tc>
        <w:tc>
          <w:tcPr>
            <w:tcW w:type="dxa" w:w="1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~25%</w:t>
            </w:r>
          </w:p>
        </w:tc>
        <w:tc>
          <w:tcPr>
            <w:tcW w:type="dxa" w:w="1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~26%</w:t>
            </w:r>
          </w:p>
        </w:tc>
        <w:tc>
          <w:tcPr>
            <w:tcW w:type="dxa" w:w="14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~26%</w:t>
            </w:r>
          </w:p>
        </w:tc>
      </w:tr>
      <w:tr>
        <w:tc>
          <w:tcPr>
            <w:tcW w:type="dxa" w:w="24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bCs/>
                <w:sz w:val="20"/>
                <w:szCs w:val="20"/>
              </w:rPr>
              <w:t xml:space="preserve">Oud</w:t>
            </w:r>
          </w:p>
        </w:tc>
        <w:tc>
          <w:tcPr>
            <w:tcW w:type="dxa" w:w="168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w:t>
            </w:r>
          </w:p>
        </w:tc>
        <w:tc>
          <w:tcPr>
            <w:tcW w:type="dxa" w:w="168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6.1%</w:t>
            </w:r>
          </w:p>
        </w:tc>
        <w:tc>
          <w:tcPr>
            <w:tcW w:type="dxa" w:w="168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w:t>
            </w:r>
          </w:p>
        </w:tc>
        <w:tc>
          <w:tcPr>
            <w:tcW w:type="dxa" w:w="168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5.6%</w:t>
            </w:r>
          </w:p>
        </w:tc>
        <w:tc>
          <w:tcPr>
            <w:tcW w:type="dxa" w:w="144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~4.5%</w:t>
            </w:r>
          </w:p>
        </w:tc>
      </w:tr>
    </w:tbl>
    <w:p>
      <w:pPr>
        <w:pStyle w:val="BodyText"/>
      </w:pPr>
      <w:r>
        <w:rPr>
          <w:rFonts w:ascii="Arial" w:cs="Arial" w:eastAsia="Arial" w:hAnsi="Arial"/>
        </w:rPr>
        <w:t xml:space="preserve">VERIFIED FACT: The "sweet" accord grew from 32.9% prevalence in 2018 to 41.6% in 2024 — an increase of 8.7 percentage points, identified in the dataset analysis as the largest single-accord growth over this period.</w:t>
      </w:r>
    </w:p>
    <w:p>
      <w:pPr>
        <w:pStyle w:val="BodyText"/>
      </w:pPr>
      <w:r>
        <w:rPr>
          <w:rFonts w:ascii="Arial" w:cs="Arial" w:eastAsia="Arial" w:hAnsi="Arial"/>
        </w:rPr>
        <w:t xml:space="preserve">VERIFIED FACT: In the 41-product sample, sweet and vanilla accords each appeared 5 times — tied for the most frequent primary accord. Recent 2023–2024 sample launches include Phlur Vanilla Skin (vanilla, sweet, woody), Le Monde Gourmand Angel Soiree (sweet, fruity, lactonic, vanilla), and Sospiro Maraschino (fruity, sweet, cherry, vanilla).</w:t>
      </w:r>
    </w:p>
    <w:p>
      <w:pPr>
        <w:pStyle w:val="BodyText"/>
      </w:pPr>
      <w:r>
        <w:rPr>
          <w:rFonts w:ascii="Arial" w:cs="Arial" w:eastAsia="Arial" w:hAnsi="Arial"/>
        </w:rPr>
        <w:t xml:space="preserve">CLASSIFICATION: All accord frequency data is VERIFIED FACT as a direct observation of what brands have labeled their product accords on Fragrantica. The interpretation that this reflects consumer preference is an INFERENCE.</w:t>
      </w:r>
    </w:p>
    <w:p>
      <w:pPr>
        <w:spacing w:before="120"/>
      </w:pPr>
      <w:r>
        <w:rPr>
          <w:rFonts w:ascii="Arial" w:cs="Arial" w:eastAsia="Arial" w:hAnsi="Arial"/>
          <w:b/>
          <w:bCs/>
          <w:color w:val="2D4A7A"/>
          <w:sz w:val="22"/>
          <w:szCs w:val="22"/>
        </w:rPr>
        <w:t xml:space="preserve">External Research Evidence  (QR-01 through QR-04)</w:t>
      </w:r>
    </w:p>
    <w:p>
      <w:pPr>
        <w:pStyle w:val="ListParagraph"/>
        <w:numPr>
          <w:ilvl w:val="0"/>
          <w:numId w:val="2"/>
        </w:numPr>
      </w:pPr>
      <w:r>
        <w:rPr>
          <w:rFonts w:ascii="Arial" w:cs="Arial" w:eastAsia="Arial" w:hAnsi="Arial"/>
          <w:b w:val="false"/>
          <w:bCs w:val="false"/>
          <w:sz w:val="22"/>
          <w:szCs w:val="22"/>
        </w:rPr>
        <w:t xml:space="preserve">ANALYST INTERPRETATION: External research identifies Sol de Janeiro Brazilian Crush Cheirosa 62, Maison Francis Kurkdjian Baccarat Rouge 540, and multiple Lattafa products as TikTok-viral fragrances — several of which prominently feature sweet and gourmand profiles.</w:t>
      </w:r>
    </w:p>
    <w:p>
      <w:pPr>
        <w:pStyle w:val="ListParagraph"/>
        <w:numPr>
          <w:ilvl w:val="0"/>
          <w:numId w:val="2"/>
        </w:numPr>
      </w:pPr>
      <w:r>
        <w:rPr>
          <w:rFonts w:ascii="Arial" w:cs="Arial" w:eastAsia="Arial" w:hAnsi="Arial"/>
          <w:b w:val="false"/>
          <w:bCs w:val="false"/>
          <w:sz w:val="22"/>
          <w:szCs w:val="22"/>
        </w:rPr>
        <w:t xml:space="preserve">ANALYST INTERPRETATION: Gen Z consumers are described in external research as preferring "layerable" and "comfort-driven" fragrances, which aligns with the gourmand accord trend. No primary survey data is cited to confirm this.</w:t>
      </w:r>
    </w:p>
    <w:p>
      <w:pPr>
        <w:pStyle w:val="ListParagraph"/>
        <w:numPr>
          <w:ilvl w:val="0"/>
          <w:numId w:val="2"/>
        </w:numPr>
      </w:pPr>
      <w:r>
        <w:rPr>
          <w:rFonts w:ascii="Arial" w:cs="Arial" w:eastAsia="Arial" w:hAnsi="Arial"/>
          <w:b w:val="false"/>
          <w:bCs w:val="false"/>
          <w:sz w:val="22"/>
          <w:szCs w:val="22"/>
        </w:rPr>
        <w:t xml:space="preserve">ANALYST INTERPRETATION: Major brand launches from 2023–2024 in external research include multiple products with sweet and vanilla notes, consistent with the dataset trend.</w:t>
      </w:r>
    </w:p>
    <w:p>
      <w:pPr>
        <w:pStyle w:val="Heading3"/>
      </w:pPr>
      <w:r>
        <w:rPr>
          <w:rFonts w:ascii="Arial" w:cs="Arial" w:eastAsia="Arial" w:hAnsi="Arial"/>
        </w:rPr>
        <w:t xml:space="preserve">3. Source Quality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00"/>
      </w:tblGrid>
      <w:tr>
        <w:trPr>
          <w:tblHeader/>
        </w:trPr>
        <w:tc>
          <w:tcPr>
            <w:tcW w:type="dxa" w:w="2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Evidence Item</w:t>
            </w:r>
          </w:p>
        </w:tc>
        <w:tc>
          <w:tcPr>
            <w:tcW w:type="dxa" w:w="3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Classification</w:t>
            </w:r>
          </w:p>
        </w:tc>
        <w:tc>
          <w:tcPr>
            <w:tcW w:type="dxa" w:w="24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Source Quality</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Sweet accord: 32.9% → 41.6%</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VERIFIED FACT — direct calculation from 24,063 records in fra_cleaned.csv</w:t>
            </w:r>
          </w:p>
        </w:tc>
        <w:tc>
          <w:tcPr>
            <w:tcW w:type="dxa" w:w="2400"/>
            <w:tcBorders>
              <w:top w:val="single" w:color="CBD5E0" w:sz="1"/>
              <w:left w:val="single" w:color="CBD5E0" w:sz="1"/>
              <w:bottom w:val="single" w:color="CBD5E0" w:sz="1"/>
              <w:right w:val="single" w:color="CBD5E0" w:sz="1"/>
            </w:tcBorders>
            <w:shd w:fill="FEF9C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Community-Generated / Observational</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Gourmand family: 42% → 49.9%</w:t>
            </w:r>
          </w:p>
        </w:tc>
        <w:tc>
          <w:tcPr>
            <w:tcW w:type="dxa" w:w="3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VERIFIED FACT — direct calculation from full dataset</w:t>
            </w:r>
          </w:p>
        </w:tc>
        <w:tc>
          <w:tcPr>
            <w:tcW w:type="dxa" w:w="2400"/>
            <w:tcBorders>
              <w:top w:val="single" w:color="CBD5E0" w:sz="1"/>
              <w:left w:val="single" w:color="CBD5E0" w:sz="1"/>
              <w:bottom w:val="single" w:color="CBD5E0" w:sz="1"/>
              <w:right w:val="single" w:color="CBD5E0" w:sz="1"/>
            </w:tcBorders>
            <w:shd w:fill="FEF9C3"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Community-Generated / Observational</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Consumer preference for comfort scents</w:t>
            </w:r>
          </w:p>
        </w:tc>
        <w:tc>
          <w:tcPr>
            <w:tcW w:type="dxa" w:w="3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INFERENCE — logical interpretation of accord trend; no consumer survey data</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Gen Z driving gourmand demand</w:t>
            </w:r>
          </w:p>
        </w:tc>
        <w:tc>
          <w:tcPr>
            <w:tcW w:type="dxa" w:w="3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INTERPRETATION — demographic claim without primary source</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w:t>
            </w:r>
          </w:p>
        </w:tc>
      </w:tr>
    </w:tbl>
    <w:p>
      <w:pPr>
        <w:pStyle w:val="Heading3"/>
      </w:pPr>
      <w:r>
        <w:rPr>
          <w:rFonts w:ascii="Arial" w:cs="Arial" w:eastAsia="Arial" w:hAnsi="Arial"/>
        </w:rPr>
        <w:t xml:space="preserve">4. Consistency Across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5803D" w:sz="3"/>
              <w:left w:val="single" w:color="15803D" w:sz="12"/>
              <w:bottom w:val="single" w:color="CBD5E0" w:sz="1"/>
              <w:right w:val="single" w:color="CBD5E0" w:sz="1"/>
            </w:tcBorders>
            <w:shd w:fill="F0FDF4" w:val="clear"/>
            <w:tcMar>
              <w:top w:type="dxa" w:w="100"/>
              <w:left w:type="dxa" w:w="200"/>
              <w:bottom w:type="dxa" w:w="100"/>
              <w:right w:type="dxa" w:w="200"/>
            </w:tcMar>
          </w:tcPr>
          <w:p>
            <w:r>
              <w:rPr>
                <w:rFonts w:ascii="Arial" w:cs="Arial" w:eastAsia="Arial" w:hAnsi="Arial"/>
                <w:b/>
                <w:bCs/>
                <w:color w:val="15803D"/>
                <w:sz w:val="20"/>
                <w:szCs w:val="20"/>
              </w:rPr>
              <w:t xml:space="preserve">Assessment: REINFORCE — with an important causation caveat</w:t>
            </w:r>
          </w:p>
          <w:p>
            <w:r>
              <w:rPr>
                <w:rFonts w:ascii="Arial" w:cs="Arial" w:eastAsia="Arial" w:hAnsi="Arial"/>
                <w:color w:val="374151"/>
                <w:sz w:val="20"/>
                <w:szCs w:val="20"/>
              </w:rPr>
              <w:t xml:space="preserve">Internal dataset evidence and external research both identify sweet/gourmand fragrances as growing and prominent. However, neither source can establish whether this growth reflects consumer demand pulling brands toward these accords, or brand strategy decisions pushing consumers toward them. The dataset observes what brands have labeled their accords. External research characterizes consumer preferences but without primary survey data. Both point in the same direction; neither establishes causation.</w:t>
            </w:r>
          </w:p>
        </w:tc>
      </w:tr>
    </w:tbl>
    <w:p>
      <w:pPr>
        <w:pStyle w:val="Heading3"/>
      </w:pPr>
      <w:r>
        <w:rPr>
          <w:rFonts w:ascii="Arial" w:cs="Arial" w:eastAsia="Arial" w:hAnsi="Arial"/>
        </w:rPr>
        <w:t xml:space="preserve">5. Timeliness</w:t>
      </w:r>
    </w:p>
    <w:p>
      <w:pPr>
        <w:pStyle w:val="BodyText"/>
      </w:pPr>
      <w:r>
        <w:rPr>
          <w:rFonts w:ascii="Arial" w:cs="Arial" w:eastAsia="Arial" w:hAnsi="Arial"/>
        </w:rPr>
        <w:t xml:space="preserve">Evidence Period: Internal dataset covers 2018–2024 accord trend data. External research reflects 2023–2024 market conditions.</w:t>
      </w:r>
    </w:p>
    <w:p>
      <w:pPr>
        <w:pStyle w:val="BodyText"/>
      </w:pPr>
      <w:r>
        <w:rPr>
          <w:rFonts w:ascii="Arial" w:cs="Arial" w:eastAsia="Arial" w:hAnsi="Arial"/>
        </w:rPr>
        <w:t xml:space="preserve">Signal Status: CURRENT — the trend has been accelerating for 6+ years based on the dataset, with the most recent data points (2023–2024) consistent with the trajectory. However, fragrance trends are cyclical, and gourmand accords have been rising for long enough that a pendulum swing toward fresher or more austere scent profiles is plausible in the medium term.</w:t>
      </w:r>
    </w:p>
    <w:p>
      <w:pPr>
        <w:pStyle w:val="Heading3"/>
      </w:pPr>
      <w:r>
        <w:rPr>
          <w:rFonts w:ascii="Arial" w:cs="Arial" w:eastAsia="Arial" w:hAnsi="Arial"/>
        </w:rPr>
        <w:t xml:space="preserve">6. Assumptions and Gaps</w:t>
      </w:r>
    </w:p>
    <w:p>
      <w:pPr>
        <w:pStyle w:val="ListParagraph"/>
        <w:numPr>
          <w:ilvl w:val="0"/>
          <w:numId w:val="2"/>
        </w:numPr>
      </w:pPr>
      <w:r>
        <w:rPr>
          <w:rFonts w:ascii="Arial" w:cs="Arial" w:eastAsia="Arial" w:hAnsi="Arial"/>
          <w:b w:val="false"/>
          <w:bCs w:val="false"/>
          <w:sz w:val="22"/>
          <w:szCs w:val="22"/>
        </w:rPr>
        <w:t xml:space="preserve">Must assume: That accord labels in the Fragrantica database accurately reflect the dominant scent profile of each fragrance, and that Fragrantica's categorization methodology has been consistent across years.</w:t>
      </w:r>
    </w:p>
    <w:p>
      <w:pPr>
        <w:pStyle w:val="ListParagraph"/>
        <w:numPr>
          <w:ilvl w:val="0"/>
          <w:numId w:val="2"/>
        </w:numPr>
      </w:pPr>
      <w:r>
        <w:rPr>
          <w:rFonts w:ascii="Arial" w:cs="Arial" w:eastAsia="Arial" w:hAnsi="Arial"/>
          <w:b w:val="false"/>
          <w:bCs w:val="false"/>
          <w:sz w:val="22"/>
          <w:szCs w:val="22"/>
        </w:rPr>
        <w:t xml:space="preserve">Must assume: That the prevalence of a scent accord in new launches reflects some consumer interest signal, not purely formulaic brand decisions unrelated to demand.</w:t>
      </w:r>
    </w:p>
    <w:p>
      <w:pPr>
        <w:pStyle w:val="ListParagraph"/>
        <w:numPr>
          <w:ilvl w:val="0"/>
          <w:numId w:val="2"/>
        </w:numPr>
      </w:pPr>
      <w:r>
        <w:rPr>
          <w:rFonts w:ascii="Arial" w:cs="Arial" w:eastAsia="Arial" w:hAnsi="Arial"/>
          <w:b w:val="false"/>
          <w:bCs w:val="false"/>
          <w:sz w:val="22"/>
          <w:szCs w:val="22"/>
        </w:rPr>
        <w:t xml:space="preserve">Gap: No sales volume or revenue data by accord. A sweet fragrance could represent 42% of launches but generate only 25% of revenue if consumers buy fewer units or at lower price points.</w:t>
      </w:r>
    </w:p>
    <w:p>
      <w:pPr>
        <w:pStyle w:val="ListParagraph"/>
        <w:numPr>
          <w:ilvl w:val="0"/>
          <w:numId w:val="2"/>
        </w:numPr>
      </w:pPr>
      <w:r>
        <w:rPr>
          <w:rFonts w:ascii="Arial" w:cs="Arial" w:eastAsia="Arial" w:hAnsi="Arial"/>
          <w:b w:val="false"/>
          <w:bCs w:val="false"/>
          <w:sz w:val="22"/>
          <w:szCs w:val="22"/>
        </w:rPr>
        <w:t xml:space="preserve">Gap: No consumer survey data confirming that buyers are seeking out gourmand profiles specifically. The trend could reflect brand strategy (safer, crowd-pleasing accords for new launches) rather than consumer-driven demand.</w:t>
      </w:r>
    </w:p>
    <w:p>
      <w:pPr>
        <w:pStyle w:val="ListParagraph"/>
        <w:numPr>
          <w:ilvl w:val="0"/>
          <w:numId w:val="2"/>
        </w:numPr>
      </w:pPr>
      <w:r>
        <w:rPr>
          <w:rFonts w:ascii="Arial" w:cs="Arial" w:eastAsia="Arial" w:hAnsi="Arial"/>
          <w:b w:val="false"/>
          <w:bCs w:val="false"/>
          <w:sz w:val="22"/>
          <w:szCs w:val="22"/>
        </w:rPr>
        <w:t xml:space="preserve">Gap: No data on accord longevity in consumer preference. Sweet and gourmand accords could represent a cyclical trend that peaks and reverses, as has happened with previous fragrance fashion cycles (e.g., heavy orientals in the 1980s, clean aquatics in the 1990s).</w:t>
      </w:r>
    </w:p>
    <w:p>
      <w:pPr>
        <w:pStyle w:val="ListParagraph"/>
        <w:numPr>
          <w:ilvl w:val="0"/>
          <w:numId w:val="2"/>
        </w:numPr>
      </w:pPr>
      <w:r>
        <w:rPr>
          <w:rFonts w:ascii="Arial" w:cs="Arial" w:eastAsia="Arial" w:hAnsi="Arial"/>
          <w:b w:val="false"/>
          <w:bCs w:val="false"/>
          <w:sz w:val="22"/>
          <w:szCs w:val="22"/>
        </w:rPr>
        <w:t xml:space="preserve">Gap: Regional variation is unaddressed. The gourmand trend may be stronger in Western markets and weaker in Asia-Pacific (where lighter fragrances are preferred) or the Middle East (where oud and amber remain dominant).</w:t>
      </w:r>
    </w:p>
    <w:p>
      <w:pPr>
        <w:pStyle w:val="Heading3"/>
      </w:pPr>
      <w:r>
        <w:rPr>
          <w:rFonts w:ascii="Arial" w:cs="Arial" w:eastAsia="Arial" w:hAnsi="Arial"/>
        </w:rPr>
        <w:t xml:space="preserve">7. Overall Confidence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rPr>
          <w:tblHeader/>
        </w:trPr>
        <w:tc>
          <w:tcPr>
            <w:tcW w:type="dxa" w:w="736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Rationale</w:t>
            </w:r>
          </w:p>
        </w:tc>
        <w:tc>
          <w:tcPr>
            <w:tcW w:type="dxa" w:w="20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Confidence Level</w:t>
            </w:r>
          </w:p>
        </w:tc>
      </w:tr>
      <w:tr>
        <w:tc>
          <w:tcPr>
            <w:tcW w:type="dxa" w:w="7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The dataset evidence is direct and spans a meaningful time period (2018–2024). The trend is consistent and statistically meaningful across 24,063 records. The dataset observation is HIGH confidence. What reduces overall confidence from HIGH to MEDIUM is the causation gap: the insight claims these accords are "fastest-growing" in terms of consumer preference, but the data only establishes that they are fastest-growing in terms of launch prevalence. These are related but not identical.</w:t>
            </w:r>
          </w:p>
        </w:tc>
        <w:tc>
          <w:tcPr>
            <w:tcW w:type="dxa" w:w="2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2"/>
                <w:szCs w:val="22"/>
              </w:rPr>
              <w:t xml:space="preserve">●  MEDIUM</w:t>
            </w:r>
          </w:p>
        </w:tc>
      </w:tr>
    </w:tbl>
    <w:p>
      <w:pPr>
        <w:pStyle w:val="Heading3"/>
      </w:pPr>
      <w:r>
        <w:rPr>
          <w:rFonts w:ascii="Arial" w:cs="Arial" w:eastAsia="Arial" w:hAnsi="Arial"/>
        </w:rPr>
        <w:t xml:space="preserve">8. What Could Change This Conclusion?</w:t>
      </w:r>
    </w:p>
    <w:p>
      <w:pPr>
        <w:pStyle w:val="ListParagraph"/>
        <w:numPr>
          <w:ilvl w:val="0"/>
          <w:numId w:val="2"/>
        </w:numPr>
      </w:pPr>
      <w:r>
        <w:rPr>
          <w:rFonts w:ascii="Arial" w:cs="Arial" w:eastAsia="Arial" w:hAnsi="Arial"/>
          <w:b w:val="false"/>
          <w:bCs w:val="false"/>
          <w:sz w:val="22"/>
          <w:szCs w:val="22"/>
        </w:rPr>
        <w:t xml:space="preserve">Consumer purchase data from a major fragrance retailer showing that sweet/gourmand fragrances are purchased at rates below their share of launches — which would indicate the trend is supply-driven (brand strategy) rather than demand-driven.</w:t>
      </w:r>
    </w:p>
    <w:p>
      <w:pPr>
        <w:pStyle w:val="ListParagraph"/>
        <w:numPr>
          <w:ilvl w:val="0"/>
          <w:numId w:val="2"/>
        </w:numPr>
      </w:pPr>
      <w:r>
        <w:rPr>
          <w:rFonts w:ascii="Arial" w:cs="Arial" w:eastAsia="Arial" w:hAnsi="Arial"/>
          <w:b w:val="false"/>
          <w:bCs w:val="false"/>
          <w:sz w:val="22"/>
          <w:szCs w:val="22"/>
        </w:rPr>
        <w:t xml:space="preserve">A reversal in the 2025–2026 dataset launch data showing sweet accord prevalence declining, which would indicate the trend has peaked and fragrance fashion is shifting back toward fresher, green, or aquatic profiles.</w:t>
      </w:r>
    </w:p>
    <w:p>
      <w:pPr>
        <w:spacing w:after="100"/>
      </w:pPr>
      <w:r>
        <w:t xml:space="preserve"/>
      </w:r>
    </w:p>
    <w:p>
      <w:pPr>
        <w:pStyle w:val="Heading1"/>
      </w:pPr>
      <w:r>
        <w:rPr>
          <w:rFonts w:ascii="Arial" w:cs="Arial" w:eastAsia="Arial" w:hAnsi="Arial"/>
        </w:rPr>
        <w:t xml:space="preserve">PART II — CROSS-CUTTING RELIABILITY FINDINGS</w:t>
      </w:r>
    </w:p>
    <w:p>
      <w:pPr>
        <w:pStyle w:val="Heading2"/>
      </w:pPr>
      <w:r>
        <w:rPr>
          <w:rFonts w:ascii="Arial" w:cs="Arial" w:eastAsia="Arial" w:hAnsi="Arial"/>
        </w:rPr>
        <w:t xml:space="preserve">A. Cross-Cutting Reliability Findings</w:t>
      </w:r>
    </w:p>
    <w:p>
      <w:pPr>
        <w:pStyle w:val="BodyText"/>
      </w:pPr>
      <w:r>
        <w:rPr>
          <w:rFonts w:ascii="Arial" w:cs="Arial" w:eastAsia="Arial" w:hAnsi="Arial"/>
        </w:rPr>
        <w:t xml:space="preserve">The following patterns apply across all five insight assessments and reflect systemic features of the evidence base rather than individual insight-specific issues.</w:t>
      </w:r>
    </w:p>
    <w:p>
      <w:pPr>
        <w:pStyle w:val="Heading3"/>
      </w:pPr>
      <w:r>
        <w:rPr>
          <w:rFonts w:ascii="Arial" w:cs="Arial" w:eastAsia="Arial" w:hAnsi="Arial"/>
        </w:rPr>
        <w:t xml:space="preserve">Pattern 1: Two-Tier Evidence Quality</w:t>
      </w:r>
    </w:p>
    <w:p>
      <w:pPr>
        <w:pStyle w:val="BodyText"/>
      </w:pPr>
      <w:r>
        <w:rPr>
          <w:rFonts w:ascii="Arial" w:cs="Arial" w:eastAsia="Arial" w:hAnsi="Arial"/>
        </w:rPr>
        <w:t xml:space="preserve">All five insights have a two-tier evidence structure. The top tier consists of verified company earnings data and direct dataset observations — both of which are high-confidence. The bottom tier consists of analyst estimates (CAGR forecasts, market sizing, price trend estimates) — which are moderate-to-low confidence. The strategic conclusions in the analysis rest primarily on top-tier evidence for directional signals and use bottom-tier evidence for quantification. This is appropriate but should be communicated clearly to decision-makers: the directions are well-supported; the specific numbers are estimates.</w:t>
      </w:r>
    </w:p>
    <w:p>
      <w:pPr>
        <w:pStyle w:val="Heading3"/>
      </w:pPr>
      <w:r>
        <w:rPr>
          <w:rFonts w:ascii="Arial" w:cs="Arial" w:eastAsia="Arial" w:hAnsi="Arial"/>
        </w:rPr>
        <w:t xml:space="preserve">Pattern 2: Consistent One-Sided Gap — No Commercial Validation</w:t>
      </w:r>
    </w:p>
    <w:p>
      <w:pPr>
        <w:pStyle w:val="BodyText"/>
      </w:pPr>
      <w:r>
        <w:rPr>
          <w:rFonts w:ascii="Arial" w:cs="Arial" w:eastAsia="Arial" w:hAnsi="Arial"/>
        </w:rPr>
        <w:t xml:space="preserve">Across all five insights, the critical missing data element is the same: no retail price data, no sales volume data, and no revenue-by-product data. This is not a coincidental gap — it is a structural feature of the Fragrantica dataset, which records community engagement (ratings) not commercial performance. Every insight that attempts to connect a product-level trend (accord prevalence, gender positioning, brand engagement) to a commercial outcome (revenue growth, market share, consumer willingness to pay) must cross this gap via inference or external analyst interpretation. Decision-makers should note that no insight in this analysis has been commercially validated from internal data.</w:t>
      </w:r>
    </w:p>
    <w:p>
      <w:pPr>
        <w:pStyle w:val="Heading3"/>
      </w:pPr>
      <w:r>
        <w:rPr>
          <w:rFonts w:ascii="Arial" w:cs="Arial" w:eastAsia="Arial" w:hAnsi="Arial"/>
        </w:rPr>
        <w:t xml:space="preserve">Pattern 3: External Research Convergence on Direction, Divergence on Magnitude</w:t>
      </w:r>
    </w:p>
    <w:p>
      <w:pPr>
        <w:pStyle w:val="BodyText"/>
      </w:pPr>
      <w:r>
        <w:rPr>
          <w:rFonts w:ascii="Arial" w:cs="Arial" w:eastAsia="Arial" w:hAnsi="Arial"/>
        </w:rPr>
        <w:t xml:space="preserve">Multiple external research firms (Grand View Research, Mordor Intelligence, Euromonitor, Allied Market Research, Statista) consistently agree on the direction of growth (premiumization is growing, niche is fastest-growing, Asia-Pacific is higher-growth than Europe) but disagree by material amounts on absolute market size ($50–70 billion range). This pattern — directional convergence, magnitude divergence — is characteristic of emerging-market research and market categories with unclear definitional boundaries. Strategies should be based on the directional signals, not the specific numbers.</w:t>
      </w:r>
    </w:p>
    <w:p>
      <w:pPr>
        <w:pStyle w:val="Heading3"/>
      </w:pPr>
      <w:r>
        <w:rPr>
          <w:rFonts w:ascii="Arial" w:cs="Arial" w:eastAsia="Arial" w:hAnsi="Arial"/>
        </w:rPr>
        <w:t xml:space="preserve">Pattern 4: Fragrantica Dataset as a Specialist Audience Signal</w:t>
      </w:r>
    </w:p>
    <w:p>
      <w:pPr>
        <w:pStyle w:val="BodyText"/>
      </w:pPr>
      <w:r>
        <w:rPr>
          <w:rFonts w:ascii="Arial" w:cs="Arial" w:eastAsia="Arial" w:hAnsi="Arial"/>
        </w:rPr>
        <w:t xml:space="preserve">The Fragrantica dataset is sourced from a community of fragrance enthusiasts and collectors, not a representative consumer sample. This has consistent and predictable implications across all insights: niche and artisanal brands are over-represented relative to their commercial scale; mass-market brands are under-represented; rating distributions reflect enthusiast aesthetic preferences rather than mainstream satisfaction; and community engagement metrics are not reliable proxies for commercial performance. Every dataset-based insight must be interpreted with this bias in mind.</w:t>
      </w:r>
    </w:p>
    <w:p>
      <w:pPr>
        <w:pStyle w:val="Heading3"/>
      </w:pPr>
      <w:r>
        <w:rPr>
          <w:rFonts w:ascii="Arial" w:cs="Arial" w:eastAsia="Arial" w:hAnsi="Arial"/>
        </w:rPr>
        <w:t xml:space="preserve">Pattern 5: Causation Cannot Be Established</w:t>
      </w:r>
    </w:p>
    <w:p>
      <w:pPr>
        <w:pStyle w:val="BodyText"/>
      </w:pPr>
      <w:r>
        <w:rPr>
          <w:rFonts w:ascii="Arial" w:cs="Arial" w:eastAsia="Arial" w:hAnsi="Arial"/>
        </w:rPr>
        <w:t xml:space="preserve">No insight in this analysis can establish causation. The unisex trend reflects brand labeling decisions; whether consumer demand caused those decisions is not established. The sweet accord trend reflects launch prevalence; whether consumer preference drove those launches or brand strategy pushed them is not established. The premiumization trend reflects earnings growth; whether this is structural or cyclical is not established. All five insights describe patterns and correlations. Causal mechanisms are inferred, not proven.</w:t>
      </w:r>
    </w:p>
    <w:p>
      <w:pPr>
        <w:pStyle w:val="Heading2"/>
      </w:pPr>
      <w:r>
        <w:rPr>
          <w:rFonts w:ascii="Arial" w:cs="Arial" w:eastAsia="Arial" w:hAnsi="Arial"/>
        </w:rPr>
        <w:t xml:space="preserve">B. Major Data Limitations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2000"/>
      </w:tblGrid>
      <w:tr>
        <w:trPr>
          <w:tblHeader/>
        </w:trPr>
        <w:tc>
          <w:tcPr>
            <w:tcW w:type="dxa" w:w="24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Data Gap</w:t>
            </w:r>
          </w:p>
        </w:tc>
        <w:tc>
          <w:tcPr>
            <w:tcW w:type="dxa" w:w="2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What Is Missing</w:t>
            </w:r>
          </w:p>
        </w:tc>
        <w:tc>
          <w:tcPr>
            <w:tcW w:type="dxa" w:w="216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Affected Insights</w:t>
            </w:r>
          </w:p>
        </w:tc>
        <w:tc>
          <w:tcPr>
            <w:tcW w:type="dxa" w:w="20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Impact on Confidence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Retail Price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per-SKU retail price in fra_cleaned.csv. Cannot segment by price tier or analyze price-quality relationships.</w:t>
            </w:r>
          </w:p>
        </w:tc>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Insights 1, 3, 4, 5</w:t>
            </w:r>
          </w:p>
        </w:tc>
        <w:tc>
          <w:tcPr>
            <w:tcW w:type="dxa" w:w="200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 impact — cannot validate premiumization magnitude</w:t>
            </w:r>
          </w:p>
        </w:tc>
      </w:tr>
      <w:tr>
        <w:tc>
          <w:tcPr>
            <w:tcW w:type="dxa" w:w="24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bCs/>
                <w:sz w:val="20"/>
                <w:szCs w:val="20"/>
              </w:rPr>
              <w:t xml:space="preserve">Sales Volume</w:t>
            </w:r>
          </w:p>
        </w:tc>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Rating_Count is community engagement, not units sold. Commercial success cannot be assessed for any product.</w:t>
            </w:r>
          </w:p>
        </w:tc>
        <w:tc>
          <w:tcPr>
            <w:tcW w:type="dxa" w:w="216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All 5 insights</w:t>
            </w:r>
          </w:p>
        </w:tc>
        <w:tc>
          <w:tcPr>
            <w:tcW w:type="dxa" w:w="200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 impact — no commercial validation possible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Market Share</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revenue or volume by brand or segment in any source. Any market share claim is unsupported.</w:t>
            </w:r>
          </w:p>
        </w:tc>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Insights 1, 3, 4</w:t>
            </w:r>
          </w:p>
        </w:tc>
        <w:tc>
          <w:tcPr>
            <w:tcW w:type="dxa" w:w="200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 impact — competitive scale cannot be established</w:t>
            </w:r>
          </w:p>
        </w:tc>
      </w:tr>
      <w:tr>
        <w:tc>
          <w:tcPr>
            <w:tcW w:type="dxa" w:w="24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bCs/>
                <w:sz w:val="20"/>
                <w:szCs w:val="20"/>
              </w:rPr>
              <w:t xml:space="preserve">Distribution Channel</w:t>
            </w:r>
          </w:p>
        </w:tc>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Cannot distinguish online vs. retail vs. DTC vs. department store performance.</w:t>
            </w:r>
          </w:p>
        </w:tc>
        <w:tc>
          <w:tcPr>
            <w:tcW w:type="dxa" w:w="216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Insights 3, 4</w:t>
            </w:r>
          </w:p>
        </w:tc>
        <w:tc>
          <w:tcPr>
            <w:tcW w:type="dxa" w:w="2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 impact — channel strategy remains speculative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Consumer Demographics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age, income, gender identity, or geographic location data per consumer.</w:t>
            </w:r>
          </w:p>
        </w:tc>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Insights 2, 5</w:t>
            </w:r>
          </w:p>
        </w:tc>
        <w:tc>
          <w:tcPr>
            <w:tcW w:type="dxa" w:w="2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MEDIUM impact — Gen Z and demographic driver claims are unverified</w:t>
            </w:r>
          </w:p>
        </w:tc>
      </w:tr>
      <w:tr>
        <w:tc>
          <w:tcPr>
            <w:tcW w:type="dxa" w:w="24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bCs/>
                <w:sz w:val="20"/>
                <w:szCs w:val="20"/>
              </w:rPr>
              <w:t xml:space="preserve">Asia-Pacific / India Data</w:t>
            </w:r>
          </w:p>
        </w:tc>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Zero India brand representation in analyzed dataset sample. No Asia-Pacific consumer data in any source.</w:t>
            </w:r>
          </w:p>
        </w:tc>
        <w:tc>
          <w:tcPr>
            <w:tcW w:type="dxa" w:w="216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Insight 4</w:t>
            </w:r>
          </w:p>
        </w:tc>
        <w:tc>
          <w:tcPr>
            <w:tcW w:type="dxa" w:w="200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 impact — entire insight rests on analyst estimates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Product Concentration/Format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EDT/EDP/Extrait specifications absent for most records.</w:t>
            </w:r>
          </w:p>
        </w:tc>
        <w:tc>
          <w:tcPr>
            <w:tcW w:type="dxa" w:w="2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Insight 1</w:t>
            </w:r>
          </w:p>
        </w:tc>
        <w:tc>
          <w:tcPr>
            <w:tcW w:type="dxa" w:w="20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 impact — directional premiumization still visible</w:t>
            </w:r>
          </w:p>
        </w:tc>
      </w:tr>
      <w:tr>
        <w:tc>
          <w:tcPr>
            <w:tcW w:type="dxa" w:w="24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bCs/>
                <w:sz w:val="20"/>
                <w:szCs w:val="20"/>
              </w:rPr>
              <w:t xml:space="preserve">Reformulation History</w:t>
            </w:r>
          </w:p>
        </w:tc>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version or reformulation tracking. Cannot assess quality trajectory or regulatory compliance changes.</w:t>
            </w:r>
          </w:p>
        </w:tc>
        <w:tc>
          <w:tcPr>
            <w:tcW w:type="dxa" w:w="216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Insights 1, 5</w:t>
            </w:r>
          </w:p>
        </w:tc>
        <w:tc>
          <w:tcPr>
            <w:tcW w:type="dxa" w:w="20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 impact — affects product strategy, not insight direction</w:t>
            </w:r>
          </w:p>
        </w:tc>
      </w:tr>
    </w:tbl>
    <w:p>
      <w:pPr>
        <w:pStyle w:val="Heading2"/>
      </w:pPr>
      <w:r>
        <w:rPr>
          <w:rFonts w:ascii="Arial" w:cs="Arial" w:eastAsia="Arial" w:hAnsi="Arial"/>
        </w:rPr>
        <w:t xml:space="preserve">C. Potential Biases</w:t>
      </w:r>
    </w:p>
    <w:p>
      <w:pPr>
        <w:pStyle w:val="BodyText"/>
      </w:pPr>
      <w:r>
        <w:rPr>
          <w:rFonts w:ascii="Arial" w:cs="Arial" w:eastAsia="Arial" w:hAnsi="Arial"/>
        </w:rPr>
        <w:t xml:space="preserve">The following sources of systematic bias may affect the reliability of the analysis. These biases are not errors — they are structural features of the data sources. Acknowledging them is essential for appropriate calibration of confidence.</w:t>
      </w:r>
    </w:p>
    <w:p>
      <w:pPr>
        <w:pStyle w:val="Heading3"/>
      </w:pPr>
      <w:r>
        <w:rPr>
          <w:rFonts w:ascii="Arial" w:cs="Arial" w:eastAsia="Arial" w:hAnsi="Arial"/>
        </w:rPr>
        <w:t xml:space="preserve">Bias 1: Fragrantica Enthusiast Selection Bias</w:t>
      </w:r>
    </w:p>
    <w:p>
      <w:pPr>
        <w:pStyle w:val="BodyText"/>
      </w:pPr>
      <w:r>
        <w:rPr>
          <w:rFonts w:ascii="Arial" w:cs="Arial" w:eastAsia="Arial" w:hAnsi="Arial"/>
        </w:rPr>
        <w:t xml:space="preserve">The Fragrantica community over-represents fragrance hobbyists, collectors, and enthusiasts relative to mainstream consumers. This creates a systematic bias: niche, artisanal, and premium brands with compelling brand stories are likely over-rated and over-engaged with on this platform. Mass-market, body mist, and drugstore fragrances are likely under-represented. Patterns observed in the dataset — particularly the prominence of niche brands like Roja Dove, Nishane, Xerjoff, and Mancera — may not reflect these brands' commercial scale relative to the broader fragrance market.</w:t>
      </w:r>
    </w:p>
    <w:p>
      <w:pPr>
        <w:pStyle w:val="Heading3"/>
      </w:pPr>
      <w:r>
        <w:rPr>
          <w:rFonts w:ascii="Arial" w:cs="Arial" w:eastAsia="Arial" w:hAnsi="Arial"/>
        </w:rPr>
        <w:t xml:space="preserve">Bias 2: Western-Market and French-Brand Concentration</w:t>
      </w:r>
    </w:p>
    <w:p>
      <w:pPr>
        <w:pStyle w:val="BodyText"/>
      </w:pPr>
      <w:r>
        <w:rPr>
          <w:rFonts w:ascii="Arial" w:cs="Arial" w:eastAsia="Arial" w:hAnsi="Arial"/>
        </w:rPr>
        <w:t xml:space="preserve">France represents 39% of brand origins in the analyzed dataset sample; the top three countries (France, Italy, USA) represent 68%. This reflects the historical concentration of fragrance brand headquarters in Western Europe and North America. The dataset structurally underrepresents Middle Eastern, Indian, Latin American, and Asian fragrance brands. Insights about geographic market dynamics derived from the dataset are subject to this bias.</w:t>
      </w:r>
    </w:p>
    <w:p>
      <w:pPr>
        <w:pStyle w:val="Heading3"/>
      </w:pPr>
      <w:r>
        <w:rPr>
          <w:rFonts w:ascii="Arial" w:cs="Arial" w:eastAsia="Arial" w:hAnsi="Arial"/>
        </w:rPr>
        <w:t xml:space="preserve">Bias 3: Analyst Report Publication Bias</w:t>
      </w:r>
    </w:p>
    <w:p>
      <w:pPr>
        <w:pStyle w:val="BodyText"/>
      </w:pPr>
      <w:r>
        <w:rPr>
          <w:rFonts w:ascii="Arial" w:cs="Arial" w:eastAsia="Arial" w:hAnsi="Arial"/>
        </w:rPr>
        <w:t xml:space="preserve">External market research reports (Grand View Research, Mordor Intelligence, Euromonitor, Allied Market Research) have commercial incentives to present markets as growing and attractive. Reports rarely conclude that markets are declining or unattractive. This creates a systematic upward bias in CAGR estimates and market size projections. The consistent "fragrance is resilient and growing" narrative across all four QR outputs should be read with awareness of this publication bias.</w:t>
      </w:r>
    </w:p>
    <w:p>
      <w:pPr>
        <w:pStyle w:val="Heading3"/>
      </w:pPr>
      <w:r>
        <w:rPr>
          <w:rFonts w:ascii="Arial" w:cs="Arial" w:eastAsia="Arial" w:hAnsi="Arial"/>
        </w:rPr>
        <w:t xml:space="preserve">Bias 4: Recency Bias in Launch Data</w:t>
      </w:r>
    </w:p>
    <w:p>
      <w:pPr>
        <w:pStyle w:val="BodyText"/>
      </w:pPr>
      <w:r>
        <w:rPr>
          <w:rFonts w:ascii="Arial" w:cs="Arial" w:eastAsia="Arial" w:hAnsi="Arial"/>
        </w:rPr>
        <w:t xml:space="preserve">The Fragrantica dataset captures products across decades (1927–2024), but community ratings and engagement accumulate over time. A fragrance launched in 1990 with 16,000 ratings has had over 30 years to accumulate community attention. A fragrance launched in 2024 with 55 ratings has had months. Comparisons of engagement levels across launch cohorts are therefore not apples-to-apples. The dataset analysis partially addresses this by looking at accord prevalence (not engagement) for trend analysis, which reduces but does not eliminate this bias.</w:t>
      </w:r>
    </w:p>
    <w:p>
      <w:pPr>
        <w:pStyle w:val="Heading3"/>
      </w:pPr>
      <w:r>
        <w:rPr>
          <w:rFonts w:ascii="Arial" w:cs="Arial" w:eastAsia="Arial" w:hAnsi="Arial"/>
        </w:rPr>
        <w:t xml:space="preserve">Bias 5: Confirmation Bias in Two-Source Synthesis</w:t>
      </w:r>
    </w:p>
    <w:p>
      <w:pPr>
        <w:pStyle w:val="BodyText"/>
      </w:pPr>
      <w:r>
        <w:rPr>
          <w:rFonts w:ascii="Arial" w:cs="Arial" w:eastAsia="Arial" w:hAnsi="Arial"/>
        </w:rPr>
        <w:t xml:space="preserve">When internal dataset evidence and external research point in the same direction, the analysis appropriately notes this as consistent. However, there is a risk of confirmation bias: evidence that reinforces the prevailing narrative (premiumization is winning, unisex is structural) may receive more attention than evidence that complicates it. The contradictions identified in Section D of this assessment are a deliberate attempt to surface and document cases where the evidence is more ambiguous.</w:t>
      </w:r>
    </w:p>
    <w:p>
      <w:pPr>
        <w:pStyle w:val="Heading2"/>
      </w:pPr>
      <w:r>
        <w:rPr>
          <w:rFonts w:ascii="Arial" w:cs="Arial" w:eastAsia="Arial" w:hAnsi="Arial"/>
        </w:rPr>
        <w:t xml:space="preserve">D. Conflicting Signals</w:t>
      </w:r>
    </w:p>
    <w:p>
      <w:pPr>
        <w:pStyle w:val="BodyText"/>
      </w:pPr>
      <w:r>
        <w:rPr>
          <w:rFonts w:ascii="Arial" w:cs="Arial" w:eastAsia="Arial" w:hAnsi="Arial"/>
        </w:rPr>
        <w:t xml:space="preserve">The following cases represent genuine tensions or conflicts within the evidence base where different sources or different interpretations of the same source point in different directions. These are not resolved by selecting the more convenient signal — they are documented as genuine ambiguities.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1920"/>
      </w:tblGrid>
      <w:tr>
        <w:trPr>
          <w:tblHeader/>
        </w:trPr>
        <w:tc>
          <w:tcPr>
            <w:tcW w:type="dxa" w:w="24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Conflict Area</w:t>
            </w:r>
          </w:p>
        </w:tc>
        <w:tc>
          <w:tcPr>
            <w:tcW w:type="dxa" w:w="22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Signal A</w:t>
            </w:r>
          </w:p>
        </w:tc>
        <w:tc>
          <w:tcPr>
            <w:tcW w:type="dxa" w:w="22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Signal B</w:t>
            </w:r>
          </w:p>
        </w:tc>
        <w:tc>
          <w:tcPr>
            <w:tcW w:type="dxa" w:w="192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Resolution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Is unisex growth demand-driven or supply-driven?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Dataset shows 54.9% unisex launches in 2022 — brands are positioning products as unisex at record rates.</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consumer survey data confirms that consumers are purchasing unisex fragrances at the same rate or that they prefer unisex positioning.</w:t>
            </w:r>
          </w:p>
        </w:tc>
        <w:tc>
          <w:tcPr>
            <w:tcW w:type="dxa" w:w="1920"/>
            <w:tcBorders>
              <w:top w:val="single" w:color="CBD5E0" w:sz="1"/>
              <w:left w:val="single" w:color="CBD5E0" w:sz="1"/>
              <w:bottom w:val="single" w:color="CBD5E0" w:sz="1"/>
              <w:right w:val="single" w:color="CBD5E0" w:sz="1"/>
            </w:tcBorders>
            <w:shd w:fill="FFF7E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UNRESOLVABLE from available data. Both signals may be true simultaneously.</w:t>
            </w:r>
          </w:p>
        </w:tc>
      </w:tr>
      <w:tr>
        <w:tc>
          <w:tcPr>
            <w:tcW w:type="dxa" w:w="24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bCs/>
                <w:sz w:val="20"/>
                <w:szCs w:val="20"/>
              </w:rPr>
              <w:t xml:space="preserve">Does high Fragrantica engagement predict commercial success?</w:t>
            </w:r>
          </w:p>
        </w:tc>
        <w:tc>
          <w:tcPr>
            <w:tcW w:type="dxa" w:w="22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Established luxury brands (Guerlain, YSL) dominate high-engagement products, consistent with their presumed commercial prominence.</w:t>
            </w:r>
          </w:p>
        </w:tc>
        <w:tc>
          <w:tcPr>
            <w:tcW w:type="dxa" w:w="22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High-rated niche brands (Roja Dove, Aaron Terence Hughes) have very low engagement despite high quality scores — inconsistent with the engagement-as-proxy-for-success hypothesis.</w:t>
            </w:r>
          </w:p>
        </w:tc>
        <w:tc>
          <w:tcPr>
            <w:tcW w:type="dxa" w:w="192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PARTIAL CONFLICT. Engagement reflects brand heritage and distribution, not quality alone.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Is sweet accord growth sustainable or cyclical?</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Sweet accord has risen consistently from 32.9% (2018) to 41.6% (2024) — a steady multi-year trend.</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Fragrance fashion is historically cyclical (heavy orientals → clean aquatics → gourmand). A multi-year rising trend does not preclude a reversal.</w:t>
            </w:r>
          </w:p>
        </w:tc>
        <w:tc>
          <w:tcPr>
            <w:tcW w:type="dxa" w:w="1920"/>
            <w:tcBorders>
              <w:top w:val="single" w:color="CBD5E0" w:sz="1"/>
              <w:left w:val="single" w:color="CBD5E0" w:sz="1"/>
              <w:bottom w:val="single" w:color="CBD5E0" w:sz="1"/>
              <w:right w:val="single" w:color="CBD5E0" w:sz="1"/>
            </w:tcBorders>
            <w:shd w:fill="FFF7E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UNRESOLVABLE from current data. Trend appears structural but historical precedent supports cyclicality.</w:t>
            </w:r>
          </w:p>
        </w:tc>
      </w:tr>
      <w:tr>
        <w:tc>
          <w:tcPr>
            <w:tcW w:type="dxa" w:w="24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bCs/>
                <w:sz w:val="20"/>
                <w:szCs w:val="20"/>
              </w:rPr>
              <w:t xml:space="preserve">Cause-marketing edition performance</w:t>
            </w:r>
          </w:p>
        </w:tc>
        <w:tc>
          <w:tcPr>
            <w:tcW w:type="dxa" w:w="22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Internal dataset: Jean Paul Gaultier Pride editions average 1.73 rating — lowest in dataset. Suggests consumer skepticism about quality.</w:t>
            </w:r>
          </w:p>
        </w:tc>
        <w:tc>
          <w:tcPr>
            <w:tcW w:type="dxa" w:w="22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External research: No data on commercial sales of pride editions. Low ratings may not prevent commercial success through gift/novelty purchasing.</w:t>
            </w:r>
          </w:p>
        </w:tc>
        <w:tc>
          <w:tcPr>
            <w:tcW w:type="dxa" w:w="1920"/>
            <w:tcBorders>
              <w:top w:val="single" w:color="CBD5E0" w:sz="1"/>
              <w:left w:val="single" w:color="CBD5E0" w:sz="1"/>
              <w:bottom w:val="single" w:color="CBD5E0" w:sz="1"/>
              <w:right w:val="single" w:color="CBD5E0" w:sz="1"/>
            </w:tcBorders>
            <w:shd w:fill="FFF7ED"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UNRESOLVABLE — low quality perception ≠ low commercial performance without sales data.</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Market size range: $50B vs. $70B</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Grand View Research: ~$52–54B. Mordor Intelligence: ~$50–53B. Allied Market Research: ~$52–56B.</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Statista: ~$56–62B. Euromonitor: ~$60–70B. Range spans $20B.</w:t>
            </w:r>
          </w:p>
        </w:tc>
        <w:tc>
          <w:tcPr>
            <w:tcW w:type="dxa" w:w="192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EXPLAINED CONFLICT — scope definition differences (fine fragrance vs. all personal care fragrances). Not a factual disagreement.</w:t>
            </w:r>
          </w:p>
        </w:tc>
      </w:tr>
    </w:tbl>
    <w:p>
      <w:pPr>
        <w:pStyle w:val="Heading2"/>
      </w:pPr>
      <w:r>
        <w:rPr>
          <w:rFonts w:ascii="Arial" w:cs="Arial" w:eastAsia="Arial" w:hAnsi="Arial"/>
        </w:rPr>
        <w:t xml:space="preserve">E. What the Dataset (fra_cleaned.csv) Cannot Establish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1B1B" w:sz="3"/>
              <w:left w:val="single" w:color="991B1B" w:sz="12"/>
              <w:bottom w:val="single" w:color="CBD5E0" w:sz="1"/>
              <w:right w:val="single" w:color="CBD5E0" w:sz="1"/>
            </w:tcBorders>
            <w:shd w:fill="FEF2F2" w:val="clear"/>
            <w:tcMar>
              <w:top w:type="dxa" w:w="100"/>
              <w:left w:type="dxa" w:w="200"/>
              <w:bottom w:type="dxa" w:w="100"/>
              <w:right w:type="dxa" w:w="200"/>
            </w:tcMar>
          </w:tcPr>
          <w:p>
            <w:r>
              <w:rPr>
                <w:rFonts w:ascii="Arial" w:cs="Arial" w:eastAsia="Arial" w:hAnsi="Arial"/>
                <w:b/>
                <w:bCs/>
                <w:color w:val="991B1B"/>
                <w:sz w:val="20"/>
                <w:szCs w:val="20"/>
              </w:rPr>
              <w:t xml:space="preserve">Explicit Limitations — fra_cleaned.csv</w:t>
            </w:r>
          </w:p>
          <w:p>
            <w:r>
              <w:rPr>
                <w:rFonts w:ascii="Arial" w:cs="Arial" w:eastAsia="Arial" w:hAnsi="Arial"/>
                <w:color w:val="374151"/>
                <w:sz w:val="20"/>
                <w:szCs w:val="20"/>
              </w:rPr>
              <w:t xml:space="preserve">The following conclusions cannot be drawn from the fra_cleaned.csv dataset regardless of how the data is analyzed. These are structural absences, not analytical failures.</w:t>
            </w:r>
          </w:p>
        </w:tc>
      </w:tr>
    </w:tbl>
    <w:p>
      <w:pPr>
        <w:pStyle w:val="ListParagraph"/>
        <w:numPr>
          <w:ilvl w:val="0"/>
          <w:numId w:val="2"/>
        </w:numPr>
      </w:pPr>
      <w:r>
        <w:rPr>
          <w:rFonts w:ascii="Arial" w:cs="Arial" w:eastAsia="Arial" w:hAnsi="Arial"/>
          <w:b w:val="false"/>
          <w:bCs w:val="false"/>
          <w:sz w:val="22"/>
          <w:szCs w:val="22"/>
        </w:rPr>
        <w:t xml:space="preserve">Market share by brand, segment, or country — no revenue or volume data is present in any form.</w:t>
      </w:r>
    </w:p>
    <w:p>
      <w:pPr>
        <w:pStyle w:val="ListParagraph"/>
        <w:numPr>
          <w:ilvl w:val="0"/>
          <w:numId w:val="2"/>
        </w:numPr>
      </w:pPr>
      <w:r>
        <w:rPr>
          <w:rFonts w:ascii="Arial" w:cs="Arial" w:eastAsia="Arial" w:hAnsi="Arial"/>
          <w:b w:val="false"/>
          <w:bCs w:val="false"/>
          <w:sz w:val="22"/>
          <w:szCs w:val="22"/>
        </w:rPr>
        <w:t xml:space="preserve">Commercial success of any specific fragrance — Fragrantica rating count is a community engagement metric, not a sales measure. A fragrance with 55 ratings may outsell a fragrance with 5,000 ratings in commercial markets.</w:t>
      </w:r>
    </w:p>
    <w:p>
      <w:pPr>
        <w:pStyle w:val="ListParagraph"/>
        <w:numPr>
          <w:ilvl w:val="0"/>
          <w:numId w:val="2"/>
        </w:numPr>
      </w:pPr>
      <w:r>
        <w:rPr>
          <w:rFonts w:ascii="Arial" w:cs="Arial" w:eastAsia="Arial" w:hAnsi="Arial"/>
          <w:b w:val="false"/>
          <w:bCs w:val="false"/>
          <w:sz w:val="22"/>
          <w:szCs w:val="22"/>
        </w:rPr>
        <w:t xml:space="preserve">Price-quality relationships or premiumization magnitude — no retail pricing data exists in the dataset.</w:t>
      </w:r>
    </w:p>
    <w:p>
      <w:pPr>
        <w:pStyle w:val="ListParagraph"/>
        <w:numPr>
          <w:ilvl w:val="0"/>
          <w:numId w:val="2"/>
        </w:numPr>
      </w:pPr>
      <w:r>
        <w:rPr>
          <w:rFonts w:ascii="Arial" w:cs="Arial" w:eastAsia="Arial" w:hAnsi="Arial"/>
          <w:b w:val="false"/>
          <w:bCs w:val="false"/>
          <w:sz w:val="22"/>
          <w:szCs w:val="22"/>
        </w:rPr>
        <w:t xml:space="preserve">Channel strategy effectiveness — the dataset cannot distinguish whether a fragrance was sold online, in department stores, through DTC, or via specialty retail.</w:t>
      </w:r>
    </w:p>
    <w:p>
      <w:pPr>
        <w:pStyle w:val="ListParagraph"/>
        <w:numPr>
          <w:ilvl w:val="0"/>
          <w:numId w:val="2"/>
        </w:numPr>
      </w:pPr>
      <w:r>
        <w:rPr>
          <w:rFonts w:ascii="Arial" w:cs="Arial" w:eastAsia="Arial" w:hAnsi="Arial"/>
          <w:b w:val="false"/>
          <w:bCs w:val="false"/>
          <w:sz w:val="22"/>
          <w:szCs w:val="22"/>
        </w:rPr>
        <w:t xml:space="preserve">Whether consumer demand caused the trends observed — the dataset records what brands have done (launched products with certain attributes), not what consumers preferred or purchased.</w:t>
      </w:r>
    </w:p>
    <w:p>
      <w:pPr>
        <w:pStyle w:val="ListParagraph"/>
        <w:numPr>
          <w:ilvl w:val="0"/>
          <w:numId w:val="2"/>
        </w:numPr>
      </w:pPr>
      <w:r>
        <w:rPr>
          <w:rFonts w:ascii="Arial" w:cs="Arial" w:eastAsia="Arial" w:hAnsi="Arial"/>
          <w:b w:val="false"/>
          <w:bCs w:val="false"/>
          <w:sz w:val="22"/>
          <w:szCs w:val="22"/>
        </w:rPr>
        <w:t xml:space="preserve">Regional market performance — the country field identifies brand headquarters, not sales geography. A French brand's revenue may be primarily generated in the Middle East or Asia.</w:t>
      </w:r>
    </w:p>
    <w:p>
      <w:pPr>
        <w:pStyle w:val="ListParagraph"/>
        <w:numPr>
          <w:ilvl w:val="0"/>
          <w:numId w:val="2"/>
        </w:numPr>
      </w:pPr>
      <w:r>
        <w:rPr>
          <w:rFonts w:ascii="Arial" w:cs="Arial" w:eastAsia="Arial" w:hAnsi="Arial"/>
          <w:b w:val="false"/>
          <w:bCs w:val="false"/>
          <w:sz w:val="22"/>
          <w:szCs w:val="22"/>
        </w:rPr>
        <w:t xml:space="preserve">Demographic consumer profile — no age, income, gender identity, or geographic location data per consumer is present in the dataset.</w:t>
      </w:r>
    </w:p>
    <w:p>
      <w:pPr>
        <w:pStyle w:val="ListParagraph"/>
        <w:numPr>
          <w:ilvl w:val="0"/>
          <w:numId w:val="2"/>
        </w:numPr>
      </w:pPr>
      <w:r>
        <w:rPr>
          <w:rFonts w:ascii="Arial" w:cs="Arial" w:eastAsia="Arial" w:hAnsi="Arial"/>
          <w:b w:val="false"/>
          <w:bCs w:val="false"/>
          <w:sz w:val="22"/>
          <w:szCs w:val="22"/>
        </w:rPr>
        <w:t xml:space="preserve">Reformulation history or product evolution — the dataset captures current product attributes at the time of data collection, not historical changes to formula or positioning.</w:t>
      </w:r>
    </w:p>
    <w:p>
      <w:pPr>
        <w:pStyle w:val="ListParagraph"/>
        <w:numPr>
          <w:ilvl w:val="0"/>
          <w:numId w:val="2"/>
        </w:numPr>
      </w:pPr>
      <w:r>
        <w:rPr>
          <w:rFonts w:ascii="Arial" w:cs="Arial" w:eastAsia="Arial" w:hAnsi="Arial"/>
          <w:b w:val="false"/>
          <w:bCs w:val="false"/>
          <w:sz w:val="22"/>
          <w:szCs w:val="22"/>
        </w:rPr>
        <w:t xml:space="preserve">Counterfeit and gray-market dynamics — the dataset has no coverage of informal market activity.</w:t>
      </w:r>
    </w:p>
    <w:p>
      <w:pPr>
        <w:pStyle w:val="ListParagraph"/>
        <w:numPr>
          <w:ilvl w:val="0"/>
          <w:numId w:val="2"/>
        </w:numPr>
      </w:pPr>
      <w:r>
        <w:rPr>
          <w:rFonts w:ascii="Arial" w:cs="Arial" w:eastAsia="Arial" w:hAnsi="Arial"/>
          <w:b w:val="false"/>
          <w:bCs w:val="false"/>
          <w:sz w:val="22"/>
          <w:szCs w:val="22"/>
        </w:rPr>
        <w:t xml:space="preserve">Whether insights apply to markets outside the Fragrantica enthusiast community — the sample is not representative of mass-market consumers globally.</w:t>
      </w:r>
    </w:p>
    <w:p>
      <w:pPr>
        <w:pStyle w:val="Heading2"/>
      </w:pPr>
      <w:r>
        <w:rPr>
          <w:rFonts w:ascii="Arial" w:cs="Arial" w:eastAsia="Arial" w:hAnsi="Arial"/>
        </w:rPr>
        <w:t xml:space="preserve">F. What External Research (QR-01 through QR-04) Cannot Establish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1B1B" w:sz="3"/>
              <w:left w:val="single" w:color="991B1B" w:sz="12"/>
              <w:bottom w:val="single" w:color="CBD5E0" w:sz="1"/>
              <w:right w:val="single" w:color="CBD5E0" w:sz="1"/>
            </w:tcBorders>
            <w:shd w:fill="FEF2F2" w:val="clear"/>
            <w:tcMar>
              <w:top w:type="dxa" w:w="100"/>
              <w:left w:type="dxa" w:w="200"/>
              <w:bottom w:type="dxa" w:w="100"/>
              <w:right w:type="dxa" w:w="200"/>
            </w:tcMar>
          </w:tcPr>
          <w:p>
            <w:r>
              <w:rPr>
                <w:rFonts w:ascii="Arial" w:cs="Arial" w:eastAsia="Arial" w:hAnsi="Arial"/>
                <w:b/>
                <w:bCs/>
                <w:color w:val="991B1B"/>
                <w:sz w:val="20"/>
                <w:szCs w:val="20"/>
              </w:rPr>
              <w:t xml:space="preserve">Explicit Limitations — QR-01 through QR-04</w:t>
            </w:r>
          </w:p>
          <w:p>
            <w:r>
              <w:rPr>
                <w:rFonts w:ascii="Arial" w:cs="Arial" w:eastAsia="Arial" w:hAnsi="Arial"/>
                <w:color w:val="374151"/>
                <w:sz w:val="20"/>
                <w:szCs w:val="20"/>
              </w:rPr>
              <w:t xml:space="preserve">The following conclusions cannot be drawn from the Quick Research outputs regardless of the analytical framework applied. These limitations reflect the nature of synthesized secondary research.</w:t>
            </w:r>
          </w:p>
        </w:tc>
      </w:tr>
    </w:tbl>
    <w:p>
      <w:pPr>
        <w:pStyle w:val="ListParagraph"/>
        <w:numPr>
          <w:ilvl w:val="0"/>
          <w:numId w:val="2"/>
        </w:numPr>
      </w:pPr>
      <w:r>
        <w:rPr>
          <w:rFonts w:ascii="Arial" w:cs="Arial" w:eastAsia="Arial" w:hAnsi="Arial"/>
          <w:b w:val="false"/>
          <w:bCs w:val="false"/>
          <w:sz w:val="22"/>
          <w:szCs w:val="22"/>
        </w:rPr>
        <w:t xml:space="preserve">Precise market size or CAGR — the $50–70B range and 4.5–6.5% consensus CAGR reflect different scope definitions and proprietary methodologies that are not independently verifiable. These are estimates, not measurements.</w:t>
      </w:r>
    </w:p>
    <w:p>
      <w:pPr>
        <w:pStyle w:val="ListParagraph"/>
        <w:numPr>
          <w:ilvl w:val="0"/>
          <w:numId w:val="2"/>
        </w:numPr>
      </w:pPr>
      <w:r>
        <w:rPr>
          <w:rFonts w:ascii="Arial" w:cs="Arial" w:eastAsia="Arial" w:hAnsi="Arial"/>
          <w:b w:val="false"/>
          <w:bCs w:val="false"/>
          <w:sz w:val="22"/>
          <w:szCs w:val="22"/>
        </w:rPr>
        <w:t xml:space="preserve">Private company segment revenues — LVMH does not separately report fragrance revenue; Puig fragrance revenue within its total company revenue is estimated, not audited as a standalone figure.</w:t>
      </w:r>
    </w:p>
    <w:p>
      <w:pPr>
        <w:pStyle w:val="ListParagraph"/>
        <w:numPr>
          <w:ilvl w:val="0"/>
          <w:numId w:val="2"/>
        </w:numPr>
      </w:pPr>
      <w:r>
        <w:rPr>
          <w:rFonts w:ascii="Arial" w:cs="Arial" w:eastAsia="Arial" w:hAnsi="Arial"/>
          <w:b w:val="false"/>
          <w:bCs w:val="false"/>
          <w:sz w:val="22"/>
          <w:szCs w:val="22"/>
        </w:rPr>
        <w:t xml:space="preserve">Whether TikTok engagement (10 billion #PerfumeTok views) translates to purchase conversion — view counts are not equivalent to sales signals. No source establishes the conversion rate from TikTok discovery to fragrance purchase.</w:t>
      </w:r>
    </w:p>
    <w:p>
      <w:pPr>
        <w:pStyle w:val="ListParagraph"/>
        <w:numPr>
          <w:ilvl w:val="0"/>
          <w:numId w:val="2"/>
        </w:numPr>
      </w:pPr>
      <w:r>
        <w:rPr>
          <w:rFonts w:ascii="Arial" w:cs="Arial" w:eastAsia="Arial" w:hAnsi="Arial"/>
          <w:b w:val="false"/>
          <w:bCs w:val="false"/>
          <w:sz w:val="22"/>
          <w:szCs w:val="22"/>
        </w:rPr>
        <w:t xml:space="preserve">Long-term sustainability of premiumization — company earnings confirm FY2024 strength but do not establish whether premium fragrance growth will persist through 2025–2026 under different macroeconomic conditions.</w:t>
      </w:r>
    </w:p>
    <w:p>
      <w:pPr>
        <w:pStyle w:val="ListParagraph"/>
        <w:numPr>
          <w:ilvl w:val="0"/>
          <w:numId w:val="2"/>
        </w:numPr>
      </w:pPr>
      <w:r>
        <w:rPr>
          <w:rFonts w:ascii="Arial" w:cs="Arial" w:eastAsia="Arial" w:hAnsi="Arial"/>
          <w:b w:val="false"/>
          <w:bCs w:val="false"/>
          <w:sz w:val="22"/>
          <w:szCs w:val="22"/>
        </w:rPr>
        <w:t xml:space="preserve">Causal mechanisms — external research identifies correlations (premium brands are growing, niche brands are growing) but does not establish why consumers are trading up or what would reverse the trend.</w:t>
      </w:r>
    </w:p>
    <w:p>
      <w:pPr>
        <w:pStyle w:val="ListParagraph"/>
        <w:numPr>
          <w:ilvl w:val="0"/>
          <w:numId w:val="2"/>
        </w:numPr>
      </w:pPr>
      <w:r>
        <w:rPr>
          <w:rFonts w:ascii="Arial" w:cs="Arial" w:eastAsia="Arial" w:hAnsi="Arial"/>
          <w:b w:val="false"/>
          <w:bCs w:val="false"/>
          <w:sz w:val="22"/>
          <w:szCs w:val="22"/>
        </w:rPr>
        <w:t xml:space="preserve">Counterfeit market size — no source provides a verified estimate of counterfeit fragrance market scale. Industry anecdotes suggest it is significant but it is not quantified in any QR output.</w:t>
      </w:r>
    </w:p>
    <w:p>
      <w:pPr>
        <w:pStyle w:val="ListParagraph"/>
        <w:numPr>
          <w:ilvl w:val="0"/>
          <w:numId w:val="2"/>
        </w:numPr>
      </w:pPr>
      <w:r>
        <w:rPr>
          <w:rFonts w:ascii="Arial" w:cs="Arial" w:eastAsia="Arial" w:hAnsi="Arial"/>
          <w:b w:val="false"/>
          <w:bCs w:val="false"/>
          <w:sz w:val="22"/>
          <w:szCs w:val="22"/>
        </w:rPr>
        <w:t xml:space="preserve">Regional strategy requirements with specificity — while external research identifies that India requires a different strategy from China, the specific product, pricing, channel, and marketing requirements are described only at a directional level.</w:t>
      </w:r>
    </w:p>
    <w:p>
      <w:pPr>
        <w:pStyle w:val="ListParagraph"/>
        <w:numPr>
          <w:ilvl w:val="0"/>
          <w:numId w:val="2"/>
        </w:numPr>
      </w:pPr>
      <w:r>
        <w:rPr>
          <w:rFonts w:ascii="Arial" w:cs="Arial" w:eastAsia="Arial" w:hAnsi="Arial"/>
          <w:b w:val="false"/>
          <w:bCs w:val="false"/>
          <w:sz w:val="22"/>
          <w:szCs w:val="22"/>
        </w:rPr>
        <w:t xml:space="preserve">Future regulatory impact — the EU IFRA restrictions and REACH requirements are documented as real and ongoing, but the cost of compliance, the timeline of enforcement, and the reformulation burden for specific brands are not established.</w:t>
      </w:r>
    </w:p>
    <w:p>
      <w:pPr>
        <w:pStyle w:val="ListParagraph"/>
        <w:numPr>
          <w:ilvl w:val="0"/>
          <w:numId w:val="2"/>
        </w:numPr>
      </w:pPr>
      <w:r>
        <w:rPr>
          <w:rFonts w:ascii="Arial" w:cs="Arial" w:eastAsia="Arial" w:hAnsi="Arial"/>
          <w:b w:val="false"/>
          <w:bCs w:val="false"/>
          <w:sz w:val="22"/>
          <w:szCs w:val="22"/>
        </w:rPr>
        <w:t xml:space="preserve">DTC and subscription model profitability — the existence of Dossier, Scentbird, and Snif as companies is documented, but their profitability, unit economics, and long-term viability are not established from available sources.</w:t>
      </w:r>
    </w:p>
    <w:p>
      <w:pPr>
        <w:pStyle w:val="ListParagraph"/>
        <w:numPr>
          <w:ilvl w:val="0"/>
          <w:numId w:val="2"/>
        </w:numPr>
      </w:pPr>
      <w:r>
        <w:rPr>
          <w:rFonts w:ascii="Arial" w:cs="Arial" w:eastAsia="Arial" w:hAnsi="Arial"/>
          <w:b w:val="false"/>
          <w:bCs w:val="false"/>
          <w:sz w:val="22"/>
          <w:szCs w:val="22"/>
        </w:rPr>
        <w:t xml:space="preserve">Whether global trends (unisex adoption, gourmand preference, social media discovery) apply to India, Southeast Asia, or other emerging markets at comparable rates — these are assumed to apply in some QR outputs without regional evidence.</w:t>
      </w:r>
    </w:p>
    <w:p>
      <w:pPr>
        <w:pStyle w:val="Heading2"/>
      </w:pPr>
      <w:r>
        <w:rPr>
          <w:rFonts w:ascii="Arial" w:cs="Arial" w:eastAsia="Arial" w:hAnsi="Arial"/>
        </w:rPr>
        <w:t xml:space="preserve">G. Overall Confidence in the Complete Market Analysis</w:t>
      </w:r>
    </w:p>
    <w:p>
      <w:pPr>
        <w:pStyle w:val="BodyText"/>
      </w:pPr>
      <w:r>
        <w:rPr>
          <w:rFonts w:ascii="Arial" w:cs="Arial" w:eastAsia="Arial" w:hAnsi="Arial"/>
        </w:rPr>
        <w:t xml:space="preserve">The following assessment synthesizes confidence levels across all five insights and the full evidence base into a consolidated view of the reliability of the Global Fragrance Market Intelligence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2200"/>
        <w:gridCol w:w="2000"/>
        <w:gridCol w:w="1200"/>
      </w:tblGrid>
      <w:tr>
        <w:trPr>
          <w:tblHeader/>
        </w:trPr>
        <w:tc>
          <w:tcPr>
            <w:tcW w:type="dxa" w:w="4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w:t>
            </w:r>
          </w:p>
        </w:tc>
        <w:tc>
          <w:tcPr>
            <w:tcW w:type="dxa" w:w="356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Insight</w:t>
            </w:r>
          </w:p>
        </w:tc>
        <w:tc>
          <w:tcPr>
            <w:tcW w:type="dxa" w:w="22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Primary Evidence Type</w:t>
            </w:r>
          </w:p>
        </w:tc>
        <w:tc>
          <w:tcPr>
            <w:tcW w:type="dxa" w:w="20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Key Limitation</w:t>
            </w:r>
          </w:p>
        </w:tc>
        <w:tc>
          <w:tcPr>
            <w:tcW w:type="dxa" w:w="12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Confidence</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Premiumization is the dominant value-creation lever</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Verified company earnings (Puig, Coty, EL, L'Oréal)</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estimates for $200+ tier; no price data in dataset</w:t>
            </w:r>
          </w:p>
        </w:tc>
        <w:tc>
          <w:tcPr>
            <w:tcW w:type="dxa" w:w="20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vAlign w:val="center"/>
          </w:tcPr>
          <w:p>
            <w:pPr>
              <w:jc w:val="center"/>
            </w:pPr>
            <w:r>
              <w:rPr>
                <w:rFonts w:ascii="Arial" w:cs="Arial" w:eastAsia="Arial" w:hAnsi="Arial"/>
                <w:b/>
                <w:bCs/>
                <w:color w:val="14532D"/>
                <w:sz w:val="22"/>
                <w:szCs w:val="22"/>
              </w:rPr>
              <w:t xml:space="preserve">●  HIGH</w:t>
            </w:r>
          </w:p>
        </w:tc>
      </w:tr>
      <w:tr>
        <w:tc>
          <w:tcPr>
            <w:tcW w:type="dxa" w:w="4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56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Unisex positioning is structural, not niche</w:t>
            </w:r>
          </w:p>
        </w:tc>
        <w:tc>
          <w:tcPr>
            <w:tcW w:type="dxa" w:w="22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Direct 24,063-record dataset observation (2000–2024)</w:t>
            </w:r>
          </w:p>
        </w:tc>
        <w:tc>
          <w:tcPr>
            <w:tcW w:type="dxa" w:w="20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Demand causation unproven; no sales volume data</w:t>
            </w:r>
          </w:p>
        </w:tc>
        <w:tc>
          <w:tcPr>
            <w:tcW w:type="dxa" w:w="20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vAlign w:val="center"/>
          </w:tcPr>
          <w:p>
            <w:pPr>
              <w:jc w:val="center"/>
            </w:pPr>
            <w:r>
              <w:rPr>
                <w:rFonts w:ascii="Arial" w:cs="Arial" w:eastAsia="Arial" w:hAnsi="Arial"/>
                <w:b/>
                <w:bCs/>
                <w:color w:val="14532D"/>
                <w:sz w:val="22"/>
                <w:szCs w:val="22"/>
              </w:rPr>
              <w:t xml:space="preserve">●  HIGH</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Middle Eastern brands gaining global reach via Amazon</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Dataset engagement + reported marketplace prominence</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Commercial scale not verifiable; no Amazon sales data</w:t>
            </w:r>
          </w:p>
        </w:tc>
        <w:tc>
          <w:tcPr>
            <w:tcW w:type="dxa" w:w="2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2"/>
                <w:szCs w:val="22"/>
              </w:rPr>
              <w:t xml:space="preserve">●  MEDIUM</w:t>
            </w:r>
          </w:p>
        </w:tc>
      </w:tr>
      <w:tr>
        <w:tc>
          <w:tcPr>
            <w:tcW w:type="dxa" w:w="4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56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Asia-Pacific &amp; India are highest-growth but require localized strategies</w:t>
            </w:r>
          </w:p>
        </w:tc>
        <w:tc>
          <w:tcPr>
            <w:tcW w:type="dxa" w:w="22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Analyst estimates from multiple research firms</w:t>
            </w:r>
          </w:p>
        </w:tc>
        <w:tc>
          <w:tcPr>
            <w:tcW w:type="dxa" w:w="20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Zero internal dataset evidence; all figures are estimates</w:t>
            </w:r>
          </w:p>
        </w:tc>
        <w:tc>
          <w:tcPr>
            <w:tcW w:type="dxa" w:w="2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2"/>
                <w:szCs w:val="22"/>
              </w:rPr>
              <w:t xml:space="preserve">●  MEDIUM</w:t>
            </w:r>
          </w:p>
        </w:tc>
      </w:tr>
      <w:tr>
        <w:tc>
          <w:tcPr>
            <w:tcW w:type="dxa" w:w="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Gourmand and sweet accords are fastest-growing scent family</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Direct 24,063-record accord frequency analysis (2018–2024)</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Causation unproven; cyclicality risk; no sales volume data</w:t>
            </w:r>
          </w:p>
        </w:tc>
        <w:tc>
          <w:tcPr>
            <w:tcW w:type="dxa" w:w="2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2"/>
                <w:szCs w:val="22"/>
              </w:rPr>
              <w:t xml:space="preserve">●  MEDIUM</w:t>
            </w:r>
          </w:p>
        </w:tc>
      </w:tr>
    </w:tbl>
    <w:p>
      <w:pPr>
        <w:spacing w:after="160"/>
      </w:pPr>
      <w:r>
        <w:t xml:space="preserve"/>
      </w:r>
    </w:p>
    <w:p>
      <w:pPr>
        <w:pStyle w:val="Heading3"/>
      </w:pPr>
      <w:r>
        <w:rPr>
          <w:rFonts w:ascii="Arial" w:cs="Arial" w:eastAsia="Arial" w:hAnsi="Arial"/>
        </w:rPr>
        <w:t xml:space="preserve">Overall Confidence Assessment by Dimension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2000"/>
        <w:gridCol w:w="1000"/>
      </w:tblGrid>
      <w:tr>
        <w:trPr>
          <w:tblHeader/>
        </w:trPr>
        <w:tc>
          <w:tcPr>
            <w:tcW w:type="dxa" w:w="2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Dimension</w:t>
            </w:r>
          </w:p>
        </w:tc>
        <w:tc>
          <w:tcPr>
            <w:tcW w:type="dxa" w:w="356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Assessment</w:t>
            </w:r>
          </w:p>
        </w:tc>
        <w:tc>
          <w:tcPr>
            <w:tcW w:type="dxa" w:w="20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Limiting Factor</w:t>
            </w:r>
          </w:p>
        </w:tc>
        <w:tc>
          <w:tcPr>
            <w:tcW w:type="dxa" w:w="10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Rating</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Directional signals (which way the market is moving)</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Multiple independent sources consistently agree on direction across all five insights. Company earnings, dataset trends, and analyst research point in the same direction.</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None material</w:t>
            </w:r>
          </w:p>
        </w:tc>
        <w:tc>
          <w:tcPr>
            <w:tcW w:type="dxa" w:w="10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center"/>
            </w:pPr>
            <w:r>
              <w:rPr>
                <w:rFonts w:ascii="Arial" w:cs="Arial" w:eastAsia="Arial" w:hAnsi="Arial"/>
                <w:b/>
                <w:bCs/>
                <w:sz w:val="20"/>
                <w:szCs w:val="20"/>
              </w:rPr>
              <w:t xml:space="preserve">HIGH</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bCs/>
                <w:sz w:val="20"/>
                <w:szCs w:val="20"/>
              </w:rPr>
              <w:t xml:space="preserve">Specific quantitative figures (CAGR, market size, price points)</w:t>
            </w:r>
          </w:p>
        </w:tc>
        <w:tc>
          <w:tcPr>
            <w:tcW w:type="dxa" w:w="356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Wide ranges across research firms ($50–70B market size; 4.5–6.5% CAGR). Specific figures for niche, regional, and subscription segments carry the widest uncertainty.</w:t>
            </w:r>
          </w:p>
        </w:tc>
        <w:tc>
          <w:tcPr>
            <w:tcW w:type="dxa" w:w="20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Scope definition variance; opaque research methodologies</w:t>
            </w:r>
          </w:p>
        </w:tc>
        <w:tc>
          <w:tcPr>
            <w:tcW w:type="dxa" w:w="1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Commercial implications (revenue potential, unit economics)</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internal data on sales, pricing, or profitability. External data on DTC and subscription unit economics is unavailable. Commercial validation is the most significant analytical gap.</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Missing sales and pricing data across all sources</w:t>
            </w:r>
          </w:p>
        </w:tc>
        <w:tc>
          <w:tcPr>
            <w:tcW w:type="dxa" w:w="100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tcPr>
          <w:p>
            <w:pPr>
              <w:jc w:val="center"/>
            </w:pPr>
            <w:r>
              <w:rPr>
                <w:rFonts w:ascii="Arial" w:cs="Arial" w:eastAsia="Arial" w:hAnsi="Arial"/>
                <w:b/>
                <w:bCs/>
                <w:sz w:val="20"/>
                <w:szCs w:val="20"/>
              </w:rPr>
              <w:t xml:space="preserve">LOW–MEDIUM</w:t>
            </w:r>
          </w:p>
        </w:tc>
      </w:tr>
      <w:tr>
        <w:tc>
          <w:tcPr>
            <w:tcW w:type="dxa" w:w="28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bCs/>
                <w:sz w:val="20"/>
                <w:szCs w:val="20"/>
              </w:rPr>
              <w:t xml:space="preserve">Regional specificity (India, Asia-Pacific strategies)</w:t>
            </w:r>
          </w:p>
        </w:tc>
        <w:tc>
          <w:tcPr>
            <w:tcW w:type="dxa" w:w="356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Directional signal is clear (faster growth). Specific strategy requirements (channels, price points, product preferences) are described qualitatively without primary regional evidence.</w:t>
            </w:r>
          </w:p>
        </w:tc>
        <w:tc>
          <w:tcPr>
            <w:tcW w:type="dxa" w:w="2000"/>
            <w:tcBorders>
              <w:top w:val="single" w:color="CBD5E0" w:sz="1"/>
              <w:left w:val="single" w:color="CBD5E0" w:sz="1"/>
              <w:bottom w:val="single" w:color="CBD5E0" w:sz="1"/>
              <w:right w:val="single" w:color="CBD5E0" w:sz="1"/>
            </w:tcBorders>
            <w:shd w:fill="F9FAFB"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 dataset coverage; analyst estimates only</w:t>
            </w:r>
          </w:p>
        </w:tc>
        <w:tc>
          <w:tcPr>
            <w:tcW w:type="dxa" w:w="1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r>
        <w:tc>
          <w:tcPr>
            <w:tcW w:type="dxa" w:w="28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bCs/>
                <w:sz w:val="20"/>
                <w:szCs w:val="20"/>
              </w:rPr>
              <w:t xml:space="preserve">Structural vs. cyclical distinction</w:t>
            </w:r>
          </w:p>
        </w:tc>
        <w:tc>
          <w:tcPr>
            <w:tcW w:type="dxa" w:w="35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Unisex trend shows 20-year dataset continuity — structurally robust. Gourmand trend shows 6-year continuity but fragrance fashion is historically cyclical. Premiumization aligns with a decade of luxury growth but has no tested recession stress test.</w:t>
            </w:r>
          </w:p>
        </w:tc>
        <w:tc>
          <w:tcPr>
            <w:tcW w:type="dxa" w:w="2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Limited historical stress-test data</w:t>
            </w:r>
          </w:p>
        </w:tc>
        <w:tc>
          <w:tcPr>
            <w:tcW w:type="dxa" w:w="1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center"/>
            </w:pPr>
            <w:r>
              <w:rPr>
                <w:rFonts w:ascii="Arial" w:cs="Arial" w:eastAsia="Arial" w:hAnsi="Arial"/>
                <w:b/>
                <w:bCs/>
                <w:sz w:val="20"/>
                <w:szCs w:val="20"/>
              </w:rPr>
              <w:t xml:space="preserve">MEDIUM</w:t>
            </w:r>
          </w:p>
        </w:tc>
      </w:tr>
    </w:tbl>
    <w:p>
      <w:pPr>
        <w:spacing w:after="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12"/>
              <w:left w:val="single" w:color="CBD5E0" w:sz="1"/>
              <w:bottom w:val="single" w:color="1B2A4A" w:sz="6"/>
              <w:right w:val="single" w:color="CBD5E0" w:sz="1"/>
            </w:tcBorders>
            <w:shd w:fill="EFF6FF" w:val="clear"/>
            <w:tcMar>
              <w:top w:type="dxa" w:w="180"/>
              <w:left w:type="dxa" w:w="280"/>
              <w:bottom w:type="dxa" w:w="180"/>
              <w:right w:type="dxa" w:w="280"/>
            </w:tcMar>
          </w:tcPr>
          <w:p>
            <w:r>
              <w:rPr>
                <w:rFonts w:ascii="Arial" w:cs="Arial" w:eastAsia="Arial" w:hAnsi="Arial"/>
                <w:b/>
                <w:bCs/>
                <w:color w:val="1B2A4A"/>
                <w:sz w:val="24"/>
                <w:szCs w:val="24"/>
              </w:rPr>
              <w:t xml:space="preserve">Overall Confidence Narrative</w:t>
            </w:r>
          </w:p>
          <w:p>
            <w:pPr>
              <w:spacing w:after="120" w:before="120"/>
            </w:pPr>
            <w:r>
              <w:rPr>
                <w:rFonts w:ascii="Arial" w:cs="Arial" w:eastAsia="Arial" w:hAnsi="Arial"/>
                <w:color w:val="1F2937"/>
                <w:sz w:val="22"/>
                <w:szCs w:val="22"/>
              </w:rPr>
              <w:t xml:space="preserve">The Global Fragrance Market Intelligence analysis provides a well-evidenced, directionally reliable foundation for strategic thinking about the global fragrance market in 2024–2026. The two highest-confidence insights — premiumization as the dominant value lever (supported by multiple verified company earnings) and unisex positioning as a structural feature (supported by a 24,000-record, 24-year dataset time series) — are the most robust claims in the analysis and can be relied upon with appropriate confidence in their direction. Three insights (Middle Eastern brand global reach, Asia-Pacific and India growth opportunities, and gourmand accord trend) carry MEDIUM confidence because critical commercial variables are missing and causation cannot be established.</w:t>
            </w:r>
          </w:p>
          <w:p>
            <w:pPr>
              <w:spacing w:after="120" w:before="0"/>
            </w:pPr>
            <w:r>
              <w:rPr>
                <w:rFonts w:ascii="Arial" w:cs="Arial" w:eastAsia="Arial" w:hAnsi="Arial"/>
                <w:color w:val="1F2937"/>
                <w:sz w:val="22"/>
                <w:szCs w:val="22"/>
              </w:rPr>
              <w:t xml:space="preserve">The analysis should NOT be used to: determine market share of any competitor; establish exact CAGR forecasts as planning assumptions; extrapolate Western trends to India or Asia-Pacific without regional validation; or draw causal conclusions about why consumers are making specific fragrance choices. It SHOULD be used to: establish the direction of market evolution; identify the segments (premium, niche) and geographies (Asia-Pacific, India) most worthy of further investigation; frame the competitive landscape; and prioritize which strategic questions require additional primary research before a market-entry decision can be made.</w:t>
            </w:r>
          </w:p>
          <w:p>
            <w:pPr>
              <w:spacing w:after="0" w:before="0"/>
            </w:pPr>
            <w:r>
              <w:rPr>
                <w:rFonts w:ascii="Arial" w:cs="Arial" w:eastAsia="Arial" w:hAnsi="Arial"/>
                <w:i/>
                <w:iCs/>
                <w:color w:val="1F2937"/>
                <w:sz w:val="22"/>
                <w:szCs w:val="22"/>
              </w:rPr>
              <w:t xml:space="preserve">This research provides a structured, evidence-graded starting point for strategic planning. It does not eliminate uncertainty and does not substitute for the primary market research, consumer panel data, pricing analysis, channel due diligence, and regional competitive intelligence that a serious market-entry decision would require.</w:t>
            </w:r>
          </w:p>
        </w:tc>
      </w:tr>
    </w:tbl>
    <w:p>
      <w:pPr>
        <w:spacing w:after="200"/>
      </w:pPr>
      <w:r>
        <w:t xml:space="preserve"/>
      </w:r>
    </w:p>
    <w:p>
      <w:pPr>
        <w:pStyle w:val="Heading1"/>
      </w:pPr>
      <w:r>
        <w:rPr>
          <w:rFonts w:ascii="Arial" w:cs="Arial" w:eastAsia="Arial" w:hAnsi="Arial"/>
        </w:rPr>
        <w:t xml:space="preserve">APPENDIX — Evidence Classification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2000"/>
      </w:tblGrid>
      <w:tr>
        <w:trPr>
          <w:tblHeader/>
        </w:trPr>
        <w:tc>
          <w:tcPr>
            <w:tcW w:type="dxa" w:w="18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Classification</w:t>
            </w:r>
          </w:p>
        </w:tc>
        <w:tc>
          <w:tcPr>
            <w:tcW w:type="dxa" w:w="24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Definition</w:t>
            </w:r>
          </w:p>
        </w:tc>
        <w:tc>
          <w:tcPr>
            <w:tcW w:type="dxa" w:w="316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Examples from This Analysis</w:t>
            </w:r>
          </w:p>
        </w:tc>
        <w:tc>
          <w:tcPr>
            <w:tcW w:type="dxa" w:w="2000"/>
            <w:tcBorders>
              <w:top w:val="single" w:color="CBD5E0" w:sz="1"/>
              <w:left w:val="single" w:color="CBD5E0" w:sz="1"/>
              <w:bottom w:val="single" w:color="CBD5E0" w:sz="1"/>
              <w:right w:val="single" w:color="CBD5E0" w:sz="1"/>
            </w:tcBorders>
            <w:shd w:fill="EBF0FA" w:val="clear"/>
            <w:tcMar>
              <w:top w:type="dxa" w:w="80"/>
              <w:left w:type="dxa" w:w="120"/>
              <w:bottom w:type="dxa" w:w="80"/>
              <w:right w:type="dxa" w:w="120"/>
            </w:tcMar>
            <w:vAlign w:val="center"/>
          </w:tcPr>
          <w:p>
            <w:pPr>
              <w:jc w:val="left"/>
            </w:pPr>
            <w:r>
              <w:rPr>
                <w:rFonts w:ascii="Arial" w:cs="Arial" w:eastAsia="Arial" w:hAnsi="Arial"/>
                <w:b/>
                <w:bCs/>
                <w:color w:val="1B2A4A"/>
                <w:sz w:val="20"/>
                <w:szCs w:val="20"/>
              </w:rPr>
              <w:t xml:space="preserve">Confidence Level</w:t>
            </w:r>
          </w:p>
        </w:tc>
      </w:tr>
      <w:tr>
        <w:tc>
          <w:tcPr>
            <w:tcW w:type="dxa" w:w="18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bCs/>
                <w:sz w:val="20"/>
                <w:szCs w:val="20"/>
              </w:rPr>
              <w:t xml:space="preserve">VERIFIED FACT</w:t>
            </w:r>
          </w:p>
        </w:tc>
        <w:tc>
          <w:tcPr>
            <w:tcW w:type="dxa" w:w="24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Sourced from company announcements, audited financials, officially published surveys, or regulatory documents. No material inference required.</w:t>
            </w:r>
          </w:p>
        </w:tc>
        <w:tc>
          <w:tcPr>
            <w:tcW w:type="dxa" w:w="316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Puig €14B IPO (May 2024); Coty 10% organic growth (FY2024 earnings); Unisex share 54.9% in 2022 (direct dataset count); Sweet accord 41.6% in 2024 (direct dataset calculation)</w:t>
            </w:r>
          </w:p>
        </w:tc>
        <w:tc>
          <w:tcPr>
            <w:tcW w:type="dxa" w:w="2000"/>
            <w:tcBorders>
              <w:top w:val="single" w:color="CBD5E0" w:sz="1"/>
              <w:left w:val="single" w:color="CBD5E0" w:sz="1"/>
              <w:bottom w:val="single" w:color="CBD5E0" w:sz="1"/>
              <w:right w:val="single" w:color="CBD5E0" w:sz="1"/>
            </w:tcBorders>
            <w:shd w:fill="D1FAE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Highest — can be relied upon without qualification</w:t>
            </w:r>
          </w:p>
        </w:tc>
      </w:tr>
      <w:tr>
        <w:tc>
          <w:tcPr>
            <w:tcW w:type="dxa" w:w="18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bCs/>
                <w:sz w:val="20"/>
                <w:szCs w:val="20"/>
              </w:rPr>
              <w:t xml:space="preserve">INFERENCE</w:t>
            </w:r>
          </w:p>
        </w:tc>
        <w:tc>
          <w:tcPr>
            <w:tcW w:type="dxa" w:w="24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logical conclusion drawn from observed data requiring one or more additional assumptions. The underlying observation is real; the interpretation involves analyst judgment.</w:t>
            </w:r>
          </w:p>
        </w:tc>
        <w:tc>
          <w:tcPr>
            <w:tcW w:type="dxa" w:w="316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High community engagement in premium brands reflects consumer preference for premium fragrances; Unisex positioning reflects consumer demand (not just brand strategy); Distribution matters more than quality for market reach</w:t>
            </w:r>
          </w:p>
        </w:tc>
        <w:tc>
          <w:tcPr>
            <w:tcW w:type="dxa" w:w="2000"/>
            <w:tcBorders>
              <w:top w:val="single" w:color="CBD5E0" w:sz="1"/>
              <w:left w:val="single" w:color="CBD5E0" w:sz="1"/>
              <w:bottom w:val="single" w:color="CBD5E0" w:sz="1"/>
              <w:right w:val="single" w:color="CBD5E0" w:sz="1"/>
            </w:tcBorders>
            <w:shd w:fill="FEF3C7"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Moderate — should be presented with explicit caveats</w:t>
            </w:r>
          </w:p>
        </w:tc>
      </w:tr>
      <w:tr>
        <w:tc>
          <w:tcPr>
            <w:tcW w:type="dxa" w:w="180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tcPr>
          <w:p>
            <w:pPr>
              <w:jc w:val="left"/>
            </w:pPr>
            <w:r>
              <w:rPr>
                <w:rFonts w:ascii="Arial" w:cs="Arial" w:eastAsia="Arial" w:hAnsi="Arial"/>
                <w:b/>
                <w:bCs/>
                <w:sz w:val="20"/>
                <w:szCs w:val="20"/>
              </w:rPr>
              <w:t xml:space="preserve">ANALYST INTERPRETATION</w:t>
            </w:r>
          </w:p>
        </w:tc>
        <w:tc>
          <w:tcPr>
            <w:tcW w:type="dxa" w:w="240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Market sizing projections, CAGR forecasts, and strategic recommendations from external research firms or analyst commentary. Methodologies are often opaque.</w:t>
            </w:r>
          </w:p>
        </w:tc>
        <w:tc>
          <w:tcPr>
            <w:tcW w:type="dxa" w:w="316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India 12–15% CAGR; Global market $50–70B; Ultra-premium $200+ fragrances growing faster than prestige; Gen Z driving unisex and gourmand demand</w:t>
            </w:r>
          </w:p>
        </w:tc>
        <w:tc>
          <w:tcPr>
            <w:tcW w:type="dxa" w:w="2000"/>
            <w:tcBorders>
              <w:top w:val="single" w:color="CBD5E0" w:sz="1"/>
              <w:left w:val="single" w:color="CBD5E0" w:sz="1"/>
              <w:bottom w:val="single" w:color="CBD5E0" w:sz="1"/>
              <w:right w:val="single" w:color="CBD5E0" w:sz="1"/>
            </w:tcBorders>
            <w:shd w:fill="FEE2E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Lower — should not be presented as fact; wide variance between firms is common</w:t>
            </w:r>
          </w:p>
        </w:tc>
      </w:tr>
      <w:tr>
        <w:tc>
          <w:tcPr>
            <w:tcW w:type="dxa" w:w="1800"/>
            <w:tcBorders>
              <w:top w:val="single" w:color="CBD5E0" w:sz="1"/>
              <w:left w:val="single" w:color="CBD5E0" w:sz="1"/>
              <w:bottom w:val="single" w:color="CBD5E0" w:sz="1"/>
              <w:right w:val="single" w:color="CBD5E0" w:sz="1"/>
            </w:tcBorders>
            <w:shd w:fill="F3F4F6" w:val="clear"/>
            <w:tcMar>
              <w:top w:type="dxa" w:w="80"/>
              <w:left w:type="dxa" w:w="120"/>
              <w:bottom w:type="dxa" w:w="80"/>
              <w:right w:type="dxa" w:w="120"/>
            </w:tcMar>
          </w:tcPr>
          <w:p>
            <w:pPr>
              <w:jc w:val="left"/>
            </w:pPr>
            <w:r>
              <w:rPr>
                <w:rFonts w:ascii="Arial" w:cs="Arial" w:eastAsia="Arial" w:hAnsi="Arial"/>
                <w:b/>
                <w:bCs/>
                <w:sz w:val="20"/>
                <w:szCs w:val="20"/>
              </w:rPr>
              <w:t xml:space="preserve">NO DATASET EVIDENCE</w:t>
            </w:r>
          </w:p>
        </w:tc>
        <w:tc>
          <w:tcPr>
            <w:tcW w:type="dxa" w:w="2400"/>
            <w:tcBorders>
              <w:top w:val="single" w:color="CBD5E0" w:sz="1"/>
              <w:left w:val="single" w:color="CBD5E0" w:sz="1"/>
              <w:bottom w:val="single" w:color="CBD5E0" w:sz="1"/>
              <w:right w:val="single" w:color="CBD5E0" w:sz="1"/>
            </w:tcBorders>
            <w:shd w:fill="F3F4F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 claim supported only by external research and not corroborated by any observation in fra_cleaned.csv. Internal dataset provides no direct evidence.</w:t>
            </w:r>
          </w:p>
        </w:tc>
        <w:tc>
          <w:tcPr>
            <w:tcW w:type="dxa" w:w="3160"/>
            <w:tcBorders>
              <w:top w:val="single" w:color="CBD5E0" w:sz="1"/>
              <w:left w:val="single" w:color="CBD5E0" w:sz="1"/>
              <w:bottom w:val="single" w:color="CBD5E0" w:sz="1"/>
              <w:right w:val="single" w:color="CBD5E0" w:sz="1"/>
            </w:tcBorders>
            <w:shd w:fill="F3F4F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#PerfumeTok 10B+ views; India market growth; Amazon marketplace sales for Lattafa/Armaf; DTC brand revenue and funding; Subscription model profitability</w:t>
            </w:r>
          </w:p>
        </w:tc>
        <w:tc>
          <w:tcPr>
            <w:tcW w:type="dxa" w:w="2000"/>
            <w:tcBorders>
              <w:top w:val="single" w:color="CBD5E0" w:sz="1"/>
              <w:left w:val="single" w:color="CBD5E0" w:sz="1"/>
              <w:bottom w:val="single" w:color="CBD5E0" w:sz="1"/>
              <w:right w:val="single" w:color="CBD5E0" w:sz="1"/>
            </w:tcBorders>
            <w:shd w:fill="F3F4F6"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Variable — depends entirely on quality of external source</w:t>
            </w:r>
          </w:p>
        </w:tc>
      </w:tr>
    </w:tbl>
    <w:p>
      <w:pPr>
        <w:spacing w:after="2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6"/>
              <w:left w:val="none" w:color="FFFFFF" w:sz="0"/>
              <w:bottom w:val="none" w:color="FFFFFF" w:sz="0"/>
              <w:right w:val="none" w:color="FFFFFF" w:sz="0"/>
            </w:tcBorders>
            <w:shd w:fill="FFFFFF" w:val="clear"/>
            <w:tcMar>
              <w:top w:type="dxa" w:w="120"/>
              <w:left w:type="dxa" w:w="0"/>
              <w:bottom w:type="dxa" w:w="0"/>
              <w:right w:type="dxa" w:w="0"/>
            </w:tcMar>
          </w:tcPr>
          <w:p>
            <w:pPr>
              <w:jc w:val="left"/>
            </w:pPr>
            <w:r>
              <w:rPr>
                <w:rFonts w:ascii="Arial" w:cs="Arial" w:eastAsia="Arial" w:hAnsi="Arial"/>
                <w:b/>
                <w:bCs/>
                <w:color w:val="6B7280"/>
                <w:sz w:val="18"/>
                <w:szCs w:val="18"/>
              </w:rPr>
              <w:t xml:space="preserve">Internal Dataset: </w:t>
            </w:r>
            <w:r>
              <w:rPr>
                <w:rFonts w:ascii="Arial" w:cs="Arial" w:eastAsia="Arial" w:hAnsi="Arial"/>
                <w:color w:val="6B7280"/>
                <w:sz w:val="18"/>
                <w:szCs w:val="18"/>
              </w:rPr>
              <w:t xml:space="preserve">fra_cleaned.csv — 24,063 records, Fragrantica, 1990–2024, 33+ brands, 9 countries.   </w:t>
            </w:r>
            <w:r>
              <w:rPr>
                <w:rFonts w:ascii="Arial" w:cs="Arial" w:eastAsia="Arial" w:hAnsi="Arial"/>
                <w:b/>
                <w:bCs/>
                <w:color w:val="6B7280"/>
                <w:sz w:val="18"/>
                <w:szCs w:val="18"/>
              </w:rPr>
              <w:t xml:space="preserve">External Research: </w:t>
            </w:r>
            <w:r>
              <w:rPr>
                <w:rFonts w:ascii="Arial" w:cs="Arial" w:eastAsia="Arial" w:hAnsi="Arial"/>
                <w:color w:val="6B7280"/>
                <w:sz w:val="18"/>
                <w:szCs w:val="18"/>
              </w:rPr>
              <w:t xml:space="preserve">QR-01 through QR-04 (Quick Research outputs synthesizing company earnings, market research firms, and industry reports).   </w:t>
            </w:r>
            <w:r>
              <w:rPr>
                <w:rFonts w:ascii="Arial" w:cs="Arial" w:eastAsia="Arial" w:hAnsi="Arial"/>
                <w:b/>
                <w:bCs/>
                <w:color w:val="6B7280"/>
                <w:sz w:val="18"/>
                <w:szCs w:val="18"/>
              </w:rPr>
              <w:t xml:space="preserve">Assessment Scope: </w:t>
            </w:r>
            <w:r>
              <w:rPr>
                <w:rFonts w:ascii="Arial" w:cs="Arial" w:eastAsia="Arial" w:hAnsi="Arial"/>
                <w:color w:val="6B7280"/>
                <w:sz w:val="18"/>
                <w:szCs w:val="18"/>
              </w:rPr>
              <w:t xml:space="preserve">2024–2026 market conditions.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r>
      <w:rPr>
        <w:rFonts w:ascii="Arial" w:cs="Arial" w:eastAsia="Arial" w:hAnsi="Arial"/>
        <w:color w:val="9CA3AF"/>
        <w:sz w:val="16"/>
        <w:szCs w:val="16"/>
      </w:rPr>
      <w:t xml:space="preserve">   |   CONFIDENTIAL — FOR STRATEGIC PLANNING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none" w:color="FFFFFF" w:sz="0"/>
            <w:left w:val="none" w:color="FFFFFF" w:sz="0"/>
            <w:bottom w:val="single" w:color="1B2A4A" w:sz="4"/>
            <w:right w:val="none" w:color="FFFFFF" w:sz="0"/>
          </w:tcBorders>
        </w:tcPr>
        <w:p>
          <w:r>
            <w:rPr>
              <w:rFonts w:ascii="Arial" w:cs="Arial" w:eastAsia="Arial" w:hAnsi="Arial"/>
              <w:color w:val="6B7280"/>
              <w:sz w:val="16"/>
              <w:szCs w:val="16"/>
            </w:rPr>
            <w:t xml:space="preserve">Global Fragrance Market Intelligence — Reliability, Confidence &amp; Limitations Assessment</w:t>
          </w:r>
        </w:p>
      </w:tc>
      <w:tc>
        <w:tcPr>
          <w:tcW w:type="dxa" w:w="2160"/>
          <w:tcBorders>
            <w:top w:val="none" w:color="FFFFFF" w:sz="0"/>
            <w:left w:val="none" w:color="FFFFFF" w:sz="0"/>
            <w:bottom w:val="single" w:color="1B2A4A" w:sz="4"/>
            <w:right w:val="none" w:color="FFFFFF" w:sz="0"/>
          </w:tcBorders>
        </w:tcPr>
        <w:p>
          <w:pPr>
            <w:jc w:val="right"/>
          </w:pPr>
          <w:r>
            <w:rPr>
              <w:rFonts w:ascii="Arial" w:cs="Arial" w:eastAsia="Arial" w:hAnsi="Arial"/>
              <w:color w:val="6B7280"/>
              <w:sz w:val="16"/>
              <w:szCs w:val="16"/>
            </w:rPr>
            <w:t xml:space="preserve">2024–2026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rPr>
    </w:lvl>
  </w:abstractNum>
  <w:abstractNum w:abstractNumId="3" w15:restartNumberingAfterBreak="0">
    <w:multiLevelType w:val="hybridMultilevel"/>
    <w:lvl w:ilvl="0" w15:tentative="1">
      <w:start w:val="1"/>
      <w:numFmt w:val="bullet"/>
      <w:lvlText w:val="–"/>
      <w:lvlJc w:val="left"/>
      <w:pPr>
        <w:ind w:left="900" w:hanging="2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80" w:before="0"/>
      <w:jc w:val="left"/>
    </w:pPr>
    <w:rPr>
      <w:rFonts w:ascii="Arial" w:cs="Arial" w:eastAsia="Arial" w:hAnsi="Arial"/>
      <w:b/>
      <w:bCs/>
      <w:color w:val="1B2A4A"/>
      <w:sz w:val="52"/>
      <w:szCs w:val="52"/>
    </w:rPr>
  </w:style>
  <w:style w:type="paragraph" w:styleId="DocSubtitle">
    <w:name w:val="DocSubtitle"/>
    <w:basedOn w:val="Normal"/>
    <w:qFormat/>
    <w:pPr>
      <w:spacing w:after="400" w:before="80"/>
      <w:jc w:val="left"/>
    </w:pPr>
    <w:rPr>
      <w:rFonts w:ascii="Arial" w:cs="Arial" w:eastAsia="Arial" w:hAnsi="Arial"/>
      <w:i/>
      <w:iCs/>
      <w:color w:val="4A5568"/>
      <w:sz w:val="24"/>
      <w:szCs w:val="24"/>
    </w:rPr>
  </w:style>
  <w:style w:type="paragraph" w:styleId="Heading1">
    <w:name w:val="Heading 1"/>
    <w:basedOn w:val="Normal"/>
    <w:next w:val="Normal"/>
    <w:qFormat/>
    <w:pPr>
      <w:spacing w:after="160" w:before="48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D4A7A"/>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374151"/>
      <w:sz w:val="22"/>
      <w:szCs w:val="22"/>
    </w:rPr>
  </w:style>
  <w:style w:type="paragraph" w:styleId="BodyText">
    <w:name w:val="BodyText"/>
    <w:basedOn w:val="Normal"/>
    <w:qFormat/>
    <w:pPr>
      <w:spacing w:after="160" w:line="264"/>
    </w:pPr>
    <w:rPr>
      <w:rFonts w:ascii="Arial" w:cs="Arial" w:eastAsia="Arial" w:hAnsi="Arial"/>
      <w:color w:val="1F2937"/>
      <w:sz w:val="22"/>
      <w:szCs w:val="22"/>
    </w:rPr>
  </w:style>
  <w:style w:type="paragraph" w:styleId="CalloutBox">
    <w:name w:val="CalloutBox"/>
    <w:basedOn w:val="Normal"/>
    <w:pPr>
      <w:spacing w:after="100" w:line="264"/>
      <w:ind w:left="360" w:right="360"/>
    </w:pPr>
    <w:rPr>
      <w:rFonts w:ascii="Arial" w:cs="Arial" w:eastAsia="Arial" w:hAnsi="Arial"/>
      <w:i w:val="false"/>
      <w:iCs w:val="false"/>
      <w:color w:val="1F293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F5BD1D-8DB8-4D98-A56C-ECCF621BDA88}">
  <we:reference id="WA200010615" version="1.0.10036.0" store="en-us" storeType="OMEX"/>
  <we:alternateReferences/>
  <we:properties>
    <we:property name="Office.AutoShowTaskpaneWithDocument" value="true"/>
    <we:property name="conversationId" value="&quot;91aa2a13-14db-4b0e-9325-85469fe3b1b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2026-09-16T12:55:02.491Z</dcterms:created>
  <dcterms:modified xsi:type="dcterms:W3CDTF">2026-09-16T12:55:02.491Z</dcterms:modified>
</cp:coreProperties>
</file>

<file path=docProps/custom.xml><?xml version="1.0" encoding="utf-8"?>
<Properties xmlns="http://schemas.openxmlformats.org/officeDocument/2006/custom-properties" xmlns:vt="http://schemas.openxmlformats.org/officeDocument/2006/docPropsVTypes"/>
</file>