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aps/>
          <w:color w:val="2E5E99"/>
          <w:sz w:val="20"/>
          <w:szCs w:val="20"/>
        </w:rPr>
        <w:t xml:space="preserve">RESEARCH BRIEF</w:t>
      </w:r>
    </w:p>
    <w:p>
      <w:pPr>
        <w:pStyle w:val="DocTitle"/>
      </w:pPr>
      <w:r>
        <w:t xml:space="preserve">Global Fragrance / Perfume</w:t>
      </w:r>
    </w:p>
    <w:p>
      <w:pPr>
        <w:pStyle w:val="DocTitle"/>
      </w:pPr>
      <w:r>
        <w:t xml:space="preserve">Market Intelligence</w:t>
      </w:r>
    </w:p>
    <w:p>
      <w:pPr>
        <w:pStyle w:val="DocSubtitle"/>
      </w:pPr>
      <w:r>
        <w:t xml:space="preserve">Research Design, Evidence Sources, Standards, and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c>
          <w:tcPr>
            <w:tcW w:type="dxa" w:w="22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bCs/>
                <w:color w:val="222222"/>
                <w:sz w:val="20"/>
                <w:szCs w:val="20"/>
              </w:rPr>
              <w:t xml:space="preserve">Project</w:t>
            </w:r>
          </w:p>
        </w:tc>
        <w:tc>
          <w:tcPr>
            <w:tcW w:type="dxa" w:w="65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val="false"/>
                <w:bCs w:val="false"/>
                <w:color w:val="222222"/>
                <w:sz w:val="20"/>
                <w:szCs w:val="20"/>
              </w:rPr>
              <w:t xml:space="preserve">Global Fragrance / Perfume Market Intelligence</w:t>
            </w:r>
          </w:p>
        </w:tc>
      </w:tr>
      <w:tr>
        <w:tc>
          <w:tcPr>
            <w:tcW w:type="dxa" w:w="22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Prepared For</w:t>
            </w:r>
          </w:p>
        </w:tc>
        <w:tc>
          <w:tcPr>
            <w:tcW w:type="dxa" w:w="65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Strategic Planning / Market Entry Team</w:t>
            </w:r>
          </w:p>
        </w:tc>
      </w:tr>
      <w:tr>
        <w:tc>
          <w:tcPr>
            <w:tcW w:type="dxa" w:w="22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bCs/>
                <w:color w:val="222222"/>
                <w:sz w:val="20"/>
                <w:szCs w:val="20"/>
              </w:rPr>
              <w:t xml:space="preserve">Internal Dataset</w:t>
            </w:r>
          </w:p>
        </w:tc>
        <w:tc>
          <w:tcPr>
            <w:tcW w:type="dxa" w:w="65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val="false"/>
                <w:bCs w:val="false"/>
                <w:color w:val="222222"/>
                <w:sz w:val="20"/>
                <w:szCs w:val="20"/>
              </w:rPr>
              <w:t xml:space="preserve">fra_cleaned.csv — 41-product sample, 24,063 total records, Fragrantica, 1990–2024, 33 brands, 9 countries</w:t>
            </w:r>
          </w:p>
        </w:tc>
      </w:tr>
      <w:tr>
        <w:tc>
          <w:tcPr>
            <w:tcW w:type="dxa" w:w="22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External Research</w:t>
            </w:r>
          </w:p>
        </w:tc>
        <w:tc>
          <w:tcPr>
            <w:tcW w:type="dxa" w:w="65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Quick Research outputs QR-01 through QR-04</w:t>
            </w:r>
          </w:p>
        </w:tc>
      </w:tr>
      <w:tr>
        <w:tc>
          <w:tcPr>
            <w:tcW w:type="dxa" w:w="22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bCs/>
                <w:color w:val="222222"/>
                <w:sz w:val="20"/>
                <w:szCs w:val="20"/>
              </w:rPr>
              <w:t xml:space="preserve">Research Period</w:t>
            </w:r>
          </w:p>
        </w:tc>
        <w:tc>
          <w:tcPr>
            <w:tcW w:type="dxa" w:w="65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val="false"/>
                <w:bCs w:val="false"/>
                <w:color w:val="222222"/>
                <w:sz w:val="20"/>
                <w:szCs w:val="20"/>
              </w:rPr>
              <w:t xml:space="preserve">Focus on 2024–2026; historical context from 2015 onward</w:t>
            </w:r>
          </w:p>
        </w:tc>
      </w:tr>
      <w:tr>
        <w:tc>
          <w:tcPr>
            <w:tcW w:type="dxa" w:w="22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Document Version</w:t>
            </w:r>
          </w:p>
        </w:tc>
        <w:tc>
          <w:tcPr>
            <w:tcW w:type="dxa" w:w="65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1.0 — Initial Issue</w:t>
            </w:r>
          </w:p>
        </w:tc>
      </w:tr>
    </w:tbl>
    <w:p>
      <w:pPr>
        <w:spacing w:after="60" w:before="60"/>
      </w:pPr>
      <w:r>
        <w:t xml:space="preserve"/>
      </w:r>
    </w:p>
    <w:p>
      <w:pPr>
        <w:pStyle w:val="Heading1"/>
      </w:pPr>
      <w:r>
        <w:t xml:space="preserve">1. Research Objective</w:t>
      </w:r>
    </w:p>
    <w:p>
      <w:pPr>
        <w:pStyle w:val="BodyText"/>
      </w:pPr>
      <w:r>
        <w:t xml:space="preserve">This research brief documents the design, scope, methodology, evidence sources, evidence standards, and known constraints of the market intelligence work conducted for a potential entrant to the global fragrance and perfume industry. It is intended to be read alongside the full Market Analysis and the Leadership Intelligence Brief, not as a standalone strategic document.</w:t>
      </w:r>
    </w:p>
    <w:p>
      <w:pPr>
        <w:pStyle w:val="BodyText"/>
      </w:pPr>
      <w:r>
        <w:t xml:space="preserve">The central business question this work is intended to support 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tcBorders>
              <w:top w:val="single" w:color="2E5E99" w:sz="6"/>
              <w:left w:val="single" w:color="2E5E99" w:sz="6"/>
              <w:bottom w:val="single" w:color="2E5E99" w:sz="6"/>
              <w:right w:val="single" w:color="2E5E99" w:sz="6"/>
            </w:tcBorders>
            <w:shd w:fill="EBF3FB" w:val="clear"/>
          </w:tcPr>
          <w:p>
            <w:pPr>
              <w:spacing w:after="80" w:before="160"/>
            </w:pPr>
            <w:r>
              <w:rPr>
                <w:rFonts w:ascii="Calibri" w:cs="Calibri" w:eastAsia="Calibri" w:hAnsi="Calibri"/>
                <w:b/>
                <w:bCs/>
                <w:color w:val="1C3557"/>
                <w:sz w:val="22"/>
                <w:szCs w:val="22"/>
              </w:rPr>
              <w:t xml:space="preserve">Central Business Question</w:t>
            </w:r>
          </w:p>
          <w:p>
            <w:pPr>
              <w:spacing w:after="80" w:before="80"/>
              <w:jc w:val="both"/>
            </w:pPr>
            <w:r>
              <w:rPr>
                <w:rFonts w:ascii="Calibri" w:cs="Calibri" w:eastAsia="Calibri" w:hAnsi="Calibri"/>
                <w:i/>
                <w:iCs/>
                <w:color w:val="1C3557"/>
                <w:sz w:val="22"/>
                <w:szCs w:val="22"/>
              </w:rPr>
              <w:t xml:space="preserve">What competitive dynamics, product and consumer trends, geographic growth patterns, emerging opportunities, and market-entry risks characterise the global fragrance and perfume industry in 2024–2026, and what strategic decisions could a potential fragrance-market entrant make on the basis of the available evidence?</w:t>
            </w:r>
          </w:p>
          <w:p>
            <w:pPr>
              <w:spacing w:after="160" w:before="80"/>
              <w:jc w:val="both"/>
            </w:pPr>
            <w:r>
              <w:rPr>
                <w:rFonts w:ascii="Calibri" w:cs="Calibri" w:eastAsia="Calibri" w:hAnsi="Calibri"/>
                <w:color w:val="444444"/>
                <w:sz w:val="20"/>
                <w:szCs w:val="20"/>
              </w:rPr>
              <w:t xml:space="preserve">This question requires both product-level evidence (internal dataset) and external market signals (Quick Research outputs). Neither source alone is sufficient to answer all dimensions of the question.</w:t>
            </w:r>
          </w:p>
        </w:tc>
      </w:tr>
    </w:tbl>
    <w:p>
      <w:pPr>
        <w:spacing w:after="60" w:before="60"/>
      </w:pPr>
      <w:r>
        <w:t xml:space="preserve"/>
      </w:r>
    </w:p>
    <w:p>
      <w:pPr>
        <w:pStyle w:val="BodyText"/>
      </w:pPr>
      <w:r>
        <w:t xml:space="preserve">The research does not attempt to produce a financial forecast, a definitive market-entry recommendation, or a complete competitive intelligence file. It produces a structured assessment of the available evidence, with explicit confidence ratings, constraints, and evidence gaps.</w:t>
      </w:r>
    </w:p>
    <w:p>
      <w:pPr>
        <w:pStyle w:val="Heading1"/>
      </w:pPr>
      <w:r>
        <w:t xml:space="preserve">2. Scope of Research</w:t>
      </w:r>
    </w:p>
    <w:p>
      <w:pPr>
        <w:pStyle w:val="BodyText"/>
      </w:pPr>
      <w:r>
        <w:t xml:space="preserve">The scope below defines what this research does and does not cover. Scope decisions reflect what is knowable from the available evidence, not what would ideally be investigated with unlimited data.</w:t>
      </w:r>
    </w:p>
    <w:p>
      <w:pPr>
        <w:pStyle w:val="Heading2"/>
      </w:pPr>
      <w:r>
        <w:t xml:space="preserve">2.1 Markets and Regions Covered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tblGrid>
      <w:tr>
        <w:trPr>
          <w:tblHeader/>
        </w:trPr>
        <w:tc>
          <w:tcPr>
            <w:tcW w:type="dxa" w:w="30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Region</w:t>
            </w:r>
          </w:p>
        </w:tc>
        <w:tc>
          <w:tcPr>
            <w:tcW w:type="dxa" w:w="57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Coverage Notes</w:t>
            </w:r>
          </w:p>
        </w:tc>
      </w:tr>
      <w:tr>
        <w:tc>
          <w:tcPr>
            <w:tcW w:type="dxa" w:w="30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bCs/>
                <w:color w:val="222222"/>
                <w:sz w:val="20"/>
                <w:szCs w:val="20"/>
              </w:rPr>
              <w:t xml:space="preserve">Europe</w:t>
            </w:r>
          </w:p>
        </w:tc>
        <w:tc>
          <w:tcPr>
            <w:tcW w:type="dxa" w:w="57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Primary focus. France as dominant production hub confirmed in dataset (39% of records). EU regulatory environment documented via external research.</w:t>
            </w:r>
          </w:p>
        </w:tc>
      </w:tr>
      <w:tr>
        <w:tc>
          <w:tcPr>
            <w:tcW w:type="dxa" w:w="30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North America</w:t>
            </w:r>
          </w:p>
        </w:tc>
        <w:tc>
          <w:tcPr>
            <w:tcW w:type="dxa" w:w="57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Secondary focus. US brands represented in dataset (12% of records). Consumer behaviour and channel dynamics from external research.</w:t>
            </w:r>
          </w:p>
        </w:tc>
      </w:tr>
      <w:tr>
        <w:tc>
          <w:tcPr>
            <w:tcW w:type="dxa" w:w="30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bCs/>
                <w:color w:val="222222"/>
                <w:sz w:val="20"/>
                <w:szCs w:val="20"/>
              </w:rPr>
              <w:t xml:space="preserve">Middle East</w:t>
            </w:r>
          </w:p>
        </w:tc>
        <w:tc>
          <w:tcPr>
            <w:tcW w:type="dxa" w:w="57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Growing strategic importance. UAE brands in dataset (7% of records). Oud-centric product preferences and high per-capita fragrance spending documented externally.</w:t>
            </w:r>
          </w:p>
        </w:tc>
      </w:tr>
      <w:tr>
        <w:tc>
          <w:tcPr>
            <w:tcW w:type="dxa" w:w="30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India</w:t>
            </w:r>
          </w:p>
        </w:tc>
        <w:tc>
          <w:tcPr>
            <w:tcW w:type="dxa" w:w="57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Identified as high-growth opportunity (10–15% CAGR per external research). No Indian brands in the 41-product dataset sample. Regional claims are NO DATASET EVIDENCE.</w:t>
            </w:r>
          </w:p>
        </w:tc>
      </w:tr>
      <w:tr>
        <w:tc>
          <w:tcPr>
            <w:tcW w:type="dxa" w:w="30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bCs/>
                <w:color w:val="222222"/>
                <w:sz w:val="20"/>
                <w:szCs w:val="20"/>
              </w:rPr>
              <w:t xml:space="preserve">Asia-Pacific (excl. India)</w:t>
            </w:r>
          </w:p>
        </w:tc>
        <w:tc>
          <w:tcPr>
            <w:tcW w:type="dxa" w:w="57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Japan represented minimally in dataset (2%). China, South Korea, Southeast Asia: external research only. All Asia-Pacific market sizing is NO DATASET EVIDENCE.</w:t>
            </w:r>
          </w:p>
        </w:tc>
      </w:tr>
      <w:tr>
        <w:tc>
          <w:tcPr>
            <w:tcW w:type="dxa" w:w="30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Latin America</w:t>
            </w:r>
          </w:p>
        </w:tc>
        <w:tc>
          <w:tcPr>
            <w:tcW w:type="dxa" w:w="57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Brazil represented in broader dataset context. O Boticário mentioned in launch activity. Limited depth; not a primary research focus.</w:t>
            </w:r>
          </w:p>
        </w:tc>
      </w:tr>
    </w:tbl>
    <w:p>
      <w:pPr>
        <w:pStyle w:val="Heading2"/>
      </w:pPr>
      <w:r>
        <w:t xml:space="preserve">2.2 Industry and Category Covered</w:t>
      </w:r>
    </w:p>
    <w:p>
      <w:pPr>
        <w:pStyle w:val="ListParagraph"/>
        <w:numPr>
          <w:ilvl w:val="0"/>
          <w:numId w:val="2"/>
        </w:numPr>
      </w:pPr>
      <w:r>
        <w:rPr>
          <w:rFonts w:ascii="Calibri" w:cs="Calibri" w:eastAsia="Calibri" w:hAnsi="Calibri"/>
          <w:b w:val="false"/>
          <w:bCs w:val="false"/>
          <w:color w:val="222222"/>
          <w:sz w:val="22"/>
          <w:szCs w:val="22"/>
        </w:rPr>
        <w:t xml:space="preserve">Personal fragrance: fine perfumery, eau de parfum, eau de toilette, cologne, body mist, roll-on</w:t>
      </w:r>
    </w:p>
    <w:p>
      <w:pPr>
        <w:pStyle w:val="ListParagraph"/>
        <w:numPr>
          <w:ilvl w:val="0"/>
          <w:numId w:val="2"/>
        </w:numPr>
      </w:pPr>
      <w:r>
        <w:rPr>
          <w:rFonts w:ascii="Calibri" w:cs="Calibri" w:eastAsia="Calibri" w:hAnsi="Calibri"/>
          <w:b w:val="false"/>
          <w:bCs w:val="false"/>
          <w:color w:val="222222"/>
          <w:sz w:val="22"/>
          <w:szCs w:val="22"/>
        </w:rPr>
        <w:t xml:space="preserve">All price tiers: luxury/prestige, niche/artisanal, masstige, mass-market</w:t>
      </w:r>
    </w:p>
    <w:p>
      <w:pPr>
        <w:pStyle w:val="ListParagraph"/>
        <w:numPr>
          <w:ilvl w:val="0"/>
          <w:numId w:val="2"/>
        </w:numPr>
      </w:pPr>
      <w:r>
        <w:rPr>
          <w:rFonts w:ascii="Calibri" w:cs="Calibri" w:eastAsia="Calibri" w:hAnsi="Calibri"/>
          <w:b w:val="false"/>
          <w:bCs w:val="false"/>
          <w:color w:val="222222"/>
          <w:sz w:val="22"/>
          <w:szCs w:val="22"/>
        </w:rPr>
        <w:t xml:space="preserve">All gender categories: women's, men's, unisex/gender-neutral</w:t>
      </w:r>
    </w:p>
    <w:p>
      <w:pPr>
        <w:pStyle w:val="ListParagraph"/>
        <w:numPr>
          <w:ilvl w:val="0"/>
          <w:numId w:val="2"/>
        </w:numPr>
      </w:pPr>
      <w:r>
        <w:rPr>
          <w:rFonts w:ascii="Calibri" w:cs="Calibri" w:eastAsia="Calibri" w:hAnsi="Calibri"/>
          <w:b w:val="false"/>
          <w:bCs w:val="false"/>
          <w:color w:val="222222"/>
          <w:sz w:val="22"/>
          <w:szCs w:val="22"/>
        </w:rPr>
        <w:t xml:space="preserve">Launch years 1990–2024 (internal dataset); market signals from 2024–2026 (external research)</w:t>
      </w:r>
    </w:p>
    <w:p>
      <w:pPr>
        <w:pStyle w:val="BodyText"/>
      </w:pPr>
      <w:r>
        <w:t xml:space="preserve">Home fragrance (candles, diffusers, room sprays) is referenced as an adjacent category in external research but is not the subject of internal dataset analysis.</w:t>
      </w:r>
    </w:p>
    <w:p>
      <w:pPr>
        <w:pStyle w:val="Heading2"/>
      </w:pPr>
      <w:r>
        <w:t xml:space="preserve">2.3 Competitor Types Considered</w:t>
      </w:r>
    </w:p>
    <w:p>
      <w:pPr>
        <w:pStyle w:val="ListParagraph"/>
        <w:numPr>
          <w:ilvl w:val="0"/>
          <w:numId w:val="2"/>
        </w:numPr>
      </w:pPr>
      <w:r>
        <w:rPr>
          <w:rFonts w:ascii="Calibri" w:cs="Calibri" w:eastAsia="Calibri" w:hAnsi="Calibri"/>
          <w:b w:val="false"/>
          <w:bCs w:val="false"/>
          <w:color w:val="222222"/>
          <w:sz w:val="22"/>
          <w:szCs w:val="22"/>
        </w:rPr>
        <w:t xml:space="preserve">Tier 1 luxury conglomerates: LVMH, Puig, Coty, L'Oréal Luxe, Estée Lauder, Interparfums</w:t>
      </w:r>
    </w:p>
    <w:p>
      <w:pPr>
        <w:pStyle w:val="ListParagraph"/>
        <w:numPr>
          <w:ilvl w:val="0"/>
          <w:numId w:val="2"/>
        </w:numPr>
      </w:pPr>
      <w:r>
        <w:rPr>
          <w:rFonts w:ascii="Calibri" w:cs="Calibri" w:eastAsia="Calibri" w:hAnsi="Calibri"/>
          <w:b w:val="false"/>
          <w:bCs w:val="false"/>
          <w:color w:val="222222"/>
          <w:sz w:val="22"/>
          <w:szCs w:val="22"/>
        </w:rPr>
        <w:t xml:space="preserve">Designer fragrance brands: Dior, Chanel, Guerlain, YSL, Versace, Prada, Valentino</w:t>
      </w:r>
    </w:p>
    <w:p>
      <w:pPr>
        <w:pStyle w:val="ListParagraph"/>
        <w:numPr>
          <w:ilvl w:val="0"/>
          <w:numId w:val="2"/>
        </w:numPr>
      </w:pPr>
      <w:r>
        <w:rPr>
          <w:rFonts w:ascii="Calibri" w:cs="Calibri" w:eastAsia="Calibri" w:hAnsi="Calibri"/>
          <w:b w:val="false"/>
          <w:bCs w:val="false"/>
          <w:color w:val="222222"/>
          <w:sz w:val="22"/>
          <w:szCs w:val="22"/>
        </w:rPr>
        <w:t xml:space="preserve">Niche and artisanal houses: Creed, Xerjoff, Roja Dove, Mancera, Nishane, Maison Francis Kurkdjian</w:t>
      </w:r>
    </w:p>
    <w:p>
      <w:pPr>
        <w:pStyle w:val="ListParagraph"/>
        <w:numPr>
          <w:ilvl w:val="0"/>
          <w:numId w:val="2"/>
        </w:numPr>
      </w:pPr>
      <w:r>
        <w:rPr>
          <w:rFonts w:ascii="Calibri" w:cs="Calibri" w:eastAsia="Calibri" w:hAnsi="Calibri"/>
          <w:b w:val="false"/>
          <w:bCs w:val="false"/>
          <w:color w:val="222222"/>
          <w:sz w:val="22"/>
          <w:szCs w:val="22"/>
        </w:rPr>
        <w:t xml:space="preserve">Emerging challenger brands: Lattafa, Armaf, Kayali, Sol de Janeiro, Le Monde Gourmand, Phlur</w:t>
      </w:r>
    </w:p>
    <w:p>
      <w:pPr>
        <w:pStyle w:val="ListParagraph"/>
        <w:numPr>
          <w:ilvl w:val="0"/>
          <w:numId w:val="2"/>
        </w:numPr>
      </w:pPr>
      <w:r>
        <w:rPr>
          <w:rFonts w:ascii="Calibri" w:cs="Calibri" w:eastAsia="Calibri" w:hAnsi="Calibri"/>
          <w:b w:val="false"/>
          <w:bCs w:val="false"/>
          <w:color w:val="222222"/>
          <w:sz w:val="22"/>
          <w:szCs w:val="22"/>
        </w:rPr>
        <w:t xml:space="preserve">Mass-market and accessible brands: Zara, Avon, O Boticário, Ulric de Varens</w:t>
      </w:r>
    </w:p>
    <w:p>
      <w:pPr>
        <w:pStyle w:val="ListParagraph"/>
        <w:numPr>
          <w:ilvl w:val="0"/>
          <w:numId w:val="2"/>
        </w:numPr>
      </w:pPr>
      <w:r>
        <w:rPr>
          <w:rFonts w:ascii="Calibri" w:cs="Calibri" w:eastAsia="Calibri" w:hAnsi="Calibri"/>
          <w:b w:val="false"/>
          <w:bCs w:val="false"/>
          <w:color w:val="222222"/>
          <w:sz w:val="22"/>
          <w:szCs w:val="22"/>
        </w:rPr>
        <w:t xml:space="preserve">DTC and subscription disruptors: Dossier, Scentbird, Snif (external research only; not represented in dataset)</w:t>
      </w:r>
    </w:p>
    <w:p>
      <w:pPr>
        <w:pStyle w:val="ListParagraph"/>
        <w:numPr>
          <w:ilvl w:val="0"/>
          <w:numId w:val="2"/>
        </w:numPr>
      </w:pPr>
      <w:r>
        <w:rPr>
          <w:rFonts w:ascii="Calibri" w:cs="Calibri" w:eastAsia="Calibri" w:hAnsi="Calibri"/>
          <w:b w:val="false"/>
          <w:bCs w:val="false"/>
          <w:color w:val="222222"/>
          <w:sz w:val="22"/>
          <w:szCs w:val="22"/>
        </w:rPr>
        <w:t xml:space="preserve">Celebrity-led brands: referenced in external research; minimal direct dataset representation</w:t>
      </w:r>
    </w:p>
    <w:p>
      <w:pPr>
        <w:pStyle w:val="Heading2"/>
      </w:pPr>
      <w:r>
        <w:t xml:space="preserve">2.4 Timeframe Considered</w:t>
      </w:r>
    </w:p>
    <w:p>
      <w:pPr>
        <w:pStyle w:val="ListParagraph"/>
        <w:numPr>
          <w:ilvl w:val="0"/>
          <w:numId w:val="2"/>
        </w:numPr>
      </w:pPr>
      <w:r>
        <w:rPr>
          <w:rFonts w:ascii="Calibri" w:cs="Calibri" w:eastAsia="Calibri" w:hAnsi="Calibri"/>
          <w:b w:val="false"/>
          <w:bCs w:val="false"/>
          <w:color w:val="222222"/>
          <w:sz w:val="22"/>
          <w:szCs w:val="22"/>
        </w:rPr>
        <w:t xml:space="preserve">Internal dataset: launch years 1990–2024; rating and engagement data reflects Fragrantica community activity up to the data capture date</w:t>
      </w:r>
    </w:p>
    <w:p>
      <w:pPr>
        <w:pStyle w:val="ListParagraph"/>
        <w:numPr>
          <w:ilvl w:val="0"/>
          <w:numId w:val="2"/>
        </w:numPr>
      </w:pPr>
      <w:r>
        <w:rPr>
          <w:rFonts w:ascii="Calibri" w:cs="Calibri" w:eastAsia="Calibri" w:hAnsi="Calibri"/>
          <w:b w:val="false"/>
          <w:bCs w:val="false"/>
          <w:color w:val="222222"/>
          <w:sz w:val="22"/>
          <w:szCs w:val="22"/>
        </w:rPr>
        <w:t xml:space="preserve">External Quick Research: primary focus on 2024–2026 market signals; historical context from 2015 onward where relevant</w:t>
      </w:r>
    </w:p>
    <w:p>
      <w:pPr>
        <w:pStyle w:val="ListParagraph"/>
        <w:numPr>
          <w:ilvl w:val="0"/>
          <w:numId w:val="2"/>
        </w:numPr>
      </w:pPr>
      <w:r>
        <w:rPr>
          <w:rFonts w:ascii="Calibri" w:cs="Calibri" w:eastAsia="Calibri" w:hAnsi="Calibri"/>
          <w:b w:val="false"/>
          <w:bCs w:val="false"/>
          <w:color w:val="222222"/>
          <w:sz w:val="22"/>
          <w:szCs w:val="22"/>
        </w:rPr>
        <w:t xml:space="preserve">Market projections from external research firms: typically extend to 2029–2030</w:t>
      </w:r>
    </w:p>
    <w:p>
      <w:pPr>
        <w:pStyle w:val="Heading2"/>
      </w:pPr>
      <w:r>
        <w:t xml:space="preserve">2.5 Types of Products and Signals Included</w:t>
      </w:r>
    </w:p>
    <w:p>
      <w:pPr>
        <w:pStyle w:val="ListParagraph"/>
        <w:numPr>
          <w:ilvl w:val="0"/>
          <w:numId w:val="2"/>
        </w:numPr>
      </w:pPr>
      <w:r>
        <w:rPr>
          <w:rFonts w:ascii="Calibri" w:cs="Calibri" w:eastAsia="Calibri" w:hAnsi="Calibri"/>
          <w:b w:val="false"/>
          <w:bCs w:val="false"/>
          <w:color w:val="222222"/>
          <w:sz w:val="22"/>
          <w:szCs w:val="22"/>
        </w:rPr>
        <w:t xml:space="preserve">Product attributes: brand, country of origin, gender positioning, launch year, fragrance accords, top/middle/base notes, perfumer names</w:t>
      </w:r>
    </w:p>
    <w:p>
      <w:pPr>
        <w:pStyle w:val="ListParagraph"/>
        <w:numPr>
          <w:ilvl w:val="0"/>
          <w:numId w:val="2"/>
        </w:numPr>
      </w:pPr>
      <w:r>
        <w:rPr>
          <w:rFonts w:ascii="Calibri" w:cs="Calibri" w:eastAsia="Calibri" w:hAnsi="Calibri"/>
          <w:b w:val="false"/>
          <w:bCs w:val="false"/>
          <w:color w:val="222222"/>
          <w:sz w:val="22"/>
          <w:szCs w:val="22"/>
        </w:rPr>
        <w:t xml:space="preserve">Consumer engagement: Fragrantica rating value and rating count (used as community engagement proxies, not sales measures)</w:t>
      </w:r>
    </w:p>
    <w:p>
      <w:pPr>
        <w:pStyle w:val="ListParagraph"/>
        <w:numPr>
          <w:ilvl w:val="0"/>
          <w:numId w:val="2"/>
        </w:numPr>
      </w:pPr>
      <w:r>
        <w:rPr>
          <w:rFonts w:ascii="Calibri" w:cs="Calibri" w:eastAsia="Calibri" w:hAnsi="Calibri"/>
          <w:b w:val="false"/>
          <w:bCs w:val="false"/>
          <w:color w:val="222222"/>
          <w:sz w:val="22"/>
          <w:szCs w:val="22"/>
        </w:rPr>
        <w:t xml:space="preserve">Competitive signals: acquisition activity, IPO disclosures, licensing deals, product launch data</w:t>
      </w:r>
    </w:p>
    <w:p>
      <w:pPr>
        <w:pStyle w:val="ListParagraph"/>
        <w:numPr>
          <w:ilvl w:val="0"/>
          <w:numId w:val="2"/>
        </w:numPr>
      </w:pPr>
      <w:r>
        <w:rPr>
          <w:rFonts w:ascii="Calibri" w:cs="Calibri" w:eastAsia="Calibri" w:hAnsi="Calibri"/>
          <w:b w:val="false"/>
          <w:bCs w:val="false"/>
          <w:color w:val="222222"/>
          <w:sz w:val="22"/>
          <w:szCs w:val="22"/>
        </w:rPr>
        <w:t xml:space="preserve">Consumer behaviour signals: TikTok virality indicators, social media discovery patterns, subscription model adoption</w:t>
      </w:r>
    </w:p>
    <w:p>
      <w:pPr>
        <w:pStyle w:val="ListParagraph"/>
        <w:numPr>
          <w:ilvl w:val="0"/>
          <w:numId w:val="2"/>
        </w:numPr>
      </w:pPr>
      <w:r>
        <w:rPr>
          <w:rFonts w:ascii="Calibri" w:cs="Calibri" w:eastAsia="Calibri" w:hAnsi="Calibri"/>
          <w:b w:val="false"/>
          <w:bCs w:val="false"/>
          <w:color w:val="222222"/>
          <w:sz w:val="22"/>
          <w:szCs w:val="22"/>
        </w:rPr>
        <w:t xml:space="preserve">Regulatory signals: EU allergen labelling expansion, ingredient bans, ESG disclosure requirements</w:t>
      </w:r>
    </w:p>
    <w:p>
      <w:pPr>
        <w:pStyle w:val="ListParagraph"/>
        <w:numPr>
          <w:ilvl w:val="0"/>
          <w:numId w:val="2"/>
        </w:numPr>
      </w:pPr>
      <w:r>
        <w:rPr>
          <w:rFonts w:ascii="Calibri" w:cs="Calibri" w:eastAsia="Calibri" w:hAnsi="Calibri"/>
          <w:b w:val="false"/>
          <w:bCs w:val="false"/>
          <w:color w:val="222222"/>
          <w:sz w:val="22"/>
          <w:szCs w:val="22"/>
        </w:rPr>
        <w:t xml:space="preserve">Market sizing estimates: global, regional, and segment-level figures from external research firms</w:t>
      </w:r>
    </w:p>
    <w:p>
      <w:pPr>
        <w:pStyle w:val="Heading2"/>
      </w:pPr>
      <w:r>
        <w:t xml:space="preserve">2.6 Important Exclusions and Constraints</w:t>
      </w:r>
    </w:p>
    <w:p>
      <w:pPr>
        <w:pStyle w:val="ListParagraph"/>
        <w:numPr>
          <w:ilvl w:val="0"/>
          <w:numId w:val="2"/>
        </w:numPr>
      </w:pPr>
      <w:r>
        <w:rPr>
          <w:rFonts w:ascii="Calibri" w:cs="Calibri" w:eastAsia="Calibri" w:hAnsi="Calibri"/>
          <w:b w:val="false"/>
          <w:bCs w:val="false"/>
          <w:color w:val="222222"/>
          <w:sz w:val="22"/>
          <w:szCs w:val="22"/>
        </w:rPr>
        <w:t xml:space="preserve">Retail pricing data: absent from internal dataset; no price-quality analysis possible from internal evidence</w:t>
      </w:r>
    </w:p>
    <w:p>
      <w:pPr>
        <w:pStyle w:val="ListParagraph"/>
        <w:numPr>
          <w:ilvl w:val="0"/>
          <w:numId w:val="2"/>
        </w:numPr>
      </w:pPr>
      <w:r>
        <w:rPr>
          <w:rFonts w:ascii="Calibri" w:cs="Calibri" w:eastAsia="Calibri" w:hAnsi="Calibri"/>
          <w:b w:val="false"/>
          <w:bCs w:val="false"/>
          <w:color w:val="222222"/>
          <w:sz w:val="22"/>
          <w:szCs w:val="22"/>
        </w:rPr>
        <w:t xml:space="preserve">Sales volume, units sold, revenue by brand: not available from any source; engagement metrics are proxies only</w:t>
      </w:r>
    </w:p>
    <w:p>
      <w:pPr>
        <w:pStyle w:val="ListParagraph"/>
        <w:numPr>
          <w:ilvl w:val="0"/>
          <w:numId w:val="2"/>
        </w:numPr>
      </w:pPr>
      <w:r>
        <w:rPr>
          <w:rFonts w:ascii="Calibri" w:cs="Calibri" w:eastAsia="Calibri" w:hAnsi="Calibri"/>
          <w:b w:val="false"/>
          <w:bCs w:val="false"/>
          <w:color w:val="222222"/>
          <w:sz w:val="22"/>
          <w:szCs w:val="22"/>
        </w:rPr>
        <w:t xml:space="preserve">Distribution channel detail: internal dataset cannot distinguish online, department store, specialty retail, or DTC sales</w:t>
      </w:r>
    </w:p>
    <w:p>
      <w:pPr>
        <w:pStyle w:val="ListParagraph"/>
        <w:numPr>
          <w:ilvl w:val="0"/>
          <w:numId w:val="2"/>
        </w:numPr>
      </w:pPr>
      <w:r>
        <w:rPr>
          <w:rFonts w:ascii="Calibri" w:cs="Calibri" w:eastAsia="Calibri" w:hAnsi="Calibri"/>
          <w:b w:val="false"/>
          <w:bCs w:val="false"/>
          <w:color w:val="222222"/>
          <w:sz w:val="22"/>
          <w:szCs w:val="22"/>
        </w:rPr>
        <w:t xml:space="preserve">Concentration and format: EDT/EDP/Extrait specifications largely absent from dataset</w:t>
      </w:r>
    </w:p>
    <w:p>
      <w:pPr>
        <w:pStyle w:val="ListParagraph"/>
        <w:numPr>
          <w:ilvl w:val="0"/>
          <w:numId w:val="2"/>
        </w:numPr>
      </w:pPr>
      <w:r>
        <w:rPr>
          <w:rFonts w:ascii="Calibri" w:cs="Calibri" w:eastAsia="Calibri" w:hAnsi="Calibri"/>
          <w:b w:val="false"/>
          <w:bCs w:val="false"/>
          <w:color w:val="222222"/>
          <w:sz w:val="22"/>
          <w:szCs w:val="22"/>
        </w:rPr>
        <w:t xml:space="preserve">Private company financials: not publicly verifiable; excluded from VERIFIED FACT claims</w:t>
      </w:r>
    </w:p>
    <w:p>
      <w:pPr>
        <w:pStyle w:val="ListParagraph"/>
        <w:numPr>
          <w:ilvl w:val="0"/>
          <w:numId w:val="2"/>
        </w:numPr>
      </w:pPr>
      <w:r>
        <w:rPr>
          <w:rFonts w:ascii="Calibri" w:cs="Calibri" w:eastAsia="Calibri" w:hAnsi="Calibri"/>
          <w:b w:val="false"/>
          <w:bCs w:val="false"/>
          <w:color w:val="222222"/>
          <w:sz w:val="22"/>
          <w:szCs w:val="22"/>
        </w:rPr>
        <w:t xml:space="preserve">Individual consumer-level purchasing behaviour: no consumer panel data available</w:t>
      </w:r>
    </w:p>
    <w:p>
      <w:pPr>
        <w:pStyle w:val="ListParagraph"/>
        <w:numPr>
          <w:ilvl w:val="0"/>
          <w:numId w:val="2"/>
        </w:numPr>
      </w:pPr>
      <w:r>
        <w:rPr>
          <w:rFonts w:ascii="Calibri" w:cs="Calibri" w:eastAsia="Calibri" w:hAnsi="Calibri"/>
          <w:b w:val="false"/>
          <w:bCs w:val="false"/>
          <w:color w:val="222222"/>
          <w:sz w:val="22"/>
          <w:szCs w:val="22"/>
        </w:rPr>
        <w:t xml:space="preserve">Medical or safety claims about fragrance ingredients: excluded entirely</w:t>
      </w:r>
    </w:p>
    <w:p>
      <w:pPr>
        <w:pStyle w:val="ListParagraph"/>
        <w:numPr>
          <w:ilvl w:val="0"/>
          <w:numId w:val="2"/>
        </w:numPr>
      </w:pPr>
      <w:r>
        <w:rPr>
          <w:rFonts w:ascii="Calibri" w:cs="Calibri" w:eastAsia="Calibri" w:hAnsi="Calibri"/>
          <w:b w:val="false"/>
          <w:bCs w:val="false"/>
          <w:color w:val="222222"/>
          <w:sz w:val="22"/>
          <w:szCs w:val="22"/>
        </w:rPr>
        <w:t xml:space="preserve">Precise future revenue or market share forecasts: no reliable basis exists in available data</w:t>
      </w:r>
    </w:p>
    <w:p>
      <w:pPr>
        <w:pStyle w:val="Heading1"/>
      </w:pPr>
      <w:r>
        <w:t xml:space="preserve">3. Research Questions</w:t>
      </w:r>
    </w:p>
    <w:p>
      <w:pPr>
        <w:pStyle w:val="BodyText"/>
      </w:pPr>
      <w:r>
        <w:t xml:space="preserve">The following questions structured the research effort. Each question is annotated with the primary evidence source(s) used to investigate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100"/>
        <w:gridCol w:w="2100"/>
      </w:tblGrid>
      <w:tr>
        <w:trPr>
          <w:tblHeader/>
        </w:trPr>
        <w:tc>
          <w:tcPr>
            <w:tcW w:type="dxa" w:w="45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Research Question</w:t>
            </w:r>
          </w:p>
        </w:tc>
        <w:tc>
          <w:tcPr>
            <w:tcW w:type="dxa" w:w="21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Primary Evidence Source</w:t>
            </w:r>
          </w:p>
        </w:tc>
        <w:tc>
          <w:tcPr>
            <w:tcW w:type="dxa" w:w="21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Confidence Level</w:t>
            </w:r>
          </w:p>
        </w:tc>
      </w:tr>
      <w:tr>
        <w:tc>
          <w:tcPr>
            <w:tcW w:type="dxa" w:w="45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val="false"/>
                <w:bCs w:val="false"/>
                <w:color w:val="222222"/>
                <w:sz w:val="20"/>
                <w:szCs w:val="20"/>
              </w:rPr>
              <w:t xml:space="preserve">What are the major competitive dynamics in the global fragrance industry, and how are they structured across luxury, niche, mass-market, and emerging challenger segments?</w:t>
            </w:r>
          </w:p>
        </w:tc>
        <w:tc>
          <w:tcPr>
            <w:tcW w:type="dxa" w:w="21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val="false"/>
                <w:bCs w:val="false"/>
                <w:color w:val="222222"/>
                <w:sz w:val="20"/>
                <w:szCs w:val="20"/>
              </w:rPr>
              <w:t xml:space="preserve">QR-01, QR-02, QR-03, QR-04; company earnings</w:t>
            </w:r>
          </w:p>
        </w:tc>
        <w:tc>
          <w:tcPr>
            <w:tcW w:type="dxa" w:w="21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val="false"/>
                <w:bCs w:val="false"/>
                <w:color w:val="222222"/>
                <w:sz w:val="20"/>
                <w:szCs w:val="20"/>
              </w:rPr>
              <w:t xml:space="preserve">Moderate–High</w:t>
            </w:r>
          </w:p>
        </w:tc>
      </w:tr>
      <w:tr>
        <w:tc>
          <w:tcPr>
            <w:tcW w:type="dxa" w:w="45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What product and consumer trends are visible in the fragrance market, and are they structural or temporary?</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fra_cleaned.csv; QR-01, QR-03</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High (dataset-supported)</w:t>
            </w:r>
          </w:p>
        </w:tc>
      </w:tr>
      <w:tr>
        <w:tc>
          <w:tcPr>
            <w:tcW w:type="dxa" w:w="45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Which regions show relevant growth or strategic signals for a potential market entrant?</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QR-01, QR-02, QR-04; fra_cleaned.csv (partial)</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Moderate (regional estimates)</w:t>
            </w:r>
          </w:p>
        </w:tc>
      </w:tr>
      <w:tr>
        <w:tc>
          <w:tcPr>
            <w:tcW w:type="dxa" w:w="45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What opportunities exist for emerging or challenger brands, including in the masstige, DTC, and subscription segments?</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QR-01, QR-03, QR-04; external research firms</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Moderate</w:t>
            </w:r>
          </w:p>
        </w:tc>
      </w:tr>
      <w:tr>
        <w:tc>
          <w:tcPr>
            <w:tcW w:type="dxa" w:w="45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What risks or constraints could affect market entry, including regulatory, supply chain, competitive, and execution risks?</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QR-01, QR-02, QR-03; EU regulatory documents</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Moderate–High</w:t>
            </w:r>
          </w:p>
        </w:tc>
      </w:tr>
      <w:tr>
        <w:tc>
          <w:tcPr>
            <w:tcW w:type="dxa" w:w="45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What evidence supports or contradicts these findings, and where do internal and external sources diverge?</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fra_cleaned.csv vs. QR-01 through QR-04</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Variable by claim</w:t>
            </w:r>
          </w:p>
        </w:tc>
      </w:tr>
      <w:tr>
        <w:tc>
          <w:tcPr>
            <w:tcW w:type="dxa" w:w="45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What is the reliability, timeliness, and methodological quality of the available evidence?</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Meta-analysis of all sources</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High (process-based)</w:t>
            </w:r>
          </w:p>
        </w:tc>
      </w:tr>
      <w:tr>
        <w:tc>
          <w:tcPr>
            <w:tcW w:type="dxa" w:w="45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What important questions cannot be answered with the available evidence?</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Constraint analysis (Section 7)</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High (documented)</w:t>
            </w:r>
          </w:p>
        </w:tc>
      </w:tr>
    </w:tbl>
    <w:p>
      <w:pPr>
        <w:pStyle w:val="Heading1"/>
      </w:pPr>
      <w:r>
        <w:t xml:space="preserve">4. Research Approach</w:t>
      </w:r>
    </w:p>
    <w:p>
      <w:pPr>
        <w:pStyle w:val="BodyText"/>
      </w:pPr>
      <w:r>
        <w:t xml:space="preserve">The research followed a two-source methodology combining internal dataset analysis with externally gathered market signals. The two sources were treated as complementary rather than interchangeable: the internal dataset provides product-level observations that are directly observable and verifiable within its scope; the external Quick Research outputs provide market-level signals that extend well beyond what the dataset can establish.</w:t>
      </w:r>
    </w:p>
    <w:p>
      <w:pPr>
        <w:pStyle w:val="Heading2"/>
      </w:pPr>
      <w:r>
        <w:t xml:space="preserve">4.1 Internal Dataset (fra_cleaned.csv)</w:t>
      </w:r>
    </w:p>
    <w:p>
      <w:pPr>
        <w:pStyle w:val="BodyText"/>
      </w:pPr>
      <w:r>
        <w:t xml:space="preserve">The fra_cleaned.csv dataset was used to:</w:t>
      </w:r>
    </w:p>
    <w:p>
      <w:pPr>
        <w:pStyle w:val="ListParagraph"/>
        <w:numPr>
          <w:ilvl w:val="0"/>
          <w:numId w:val="2"/>
        </w:numPr>
      </w:pPr>
      <w:r>
        <w:rPr>
          <w:rFonts w:ascii="Calibri" w:cs="Calibri" w:eastAsia="Calibri" w:hAnsi="Calibri"/>
          <w:b w:val="false"/>
          <w:bCs w:val="false"/>
          <w:color w:val="222222"/>
          <w:sz w:val="22"/>
          <w:szCs w:val="22"/>
        </w:rPr>
        <w:t xml:space="preserve">Observe product attribute patterns across brands, countries, genders, and launch years</w:t>
      </w:r>
    </w:p>
    <w:p>
      <w:pPr>
        <w:pStyle w:val="ListParagraph"/>
        <w:numPr>
          <w:ilvl w:val="0"/>
          <w:numId w:val="2"/>
        </w:numPr>
      </w:pPr>
      <w:r>
        <w:rPr>
          <w:rFonts w:ascii="Calibri" w:cs="Calibri" w:eastAsia="Calibri" w:hAnsi="Calibri"/>
          <w:b w:val="false"/>
          <w:bCs w:val="false"/>
          <w:color w:val="222222"/>
          <w:sz w:val="22"/>
          <w:szCs w:val="22"/>
        </w:rPr>
        <w:t xml:space="preserve">Identify fragrance accord and note trends over time using the mainaccord1–5 fields</w:t>
      </w:r>
    </w:p>
    <w:p>
      <w:pPr>
        <w:pStyle w:val="ListParagraph"/>
        <w:numPr>
          <w:ilvl w:val="0"/>
          <w:numId w:val="2"/>
        </w:numPr>
      </w:pPr>
      <w:r>
        <w:rPr>
          <w:rFonts w:ascii="Calibri" w:cs="Calibri" w:eastAsia="Calibri" w:hAnsi="Calibri"/>
          <w:b w:val="false"/>
          <w:bCs w:val="false"/>
          <w:color w:val="222222"/>
          <w:sz w:val="22"/>
          <w:szCs w:val="22"/>
        </w:rPr>
        <w:t xml:space="preserve">Analyse consumer engagement signals using rating value and rating count as proxies</w:t>
      </w:r>
    </w:p>
    <w:p>
      <w:pPr>
        <w:pStyle w:val="ListParagraph"/>
        <w:numPr>
          <w:ilvl w:val="0"/>
          <w:numId w:val="2"/>
        </w:numPr>
      </w:pPr>
      <w:r>
        <w:rPr>
          <w:rFonts w:ascii="Calibri" w:cs="Calibri" w:eastAsia="Calibri" w:hAnsi="Calibri"/>
          <w:b w:val="false"/>
          <w:bCs w:val="false"/>
          <w:color w:val="222222"/>
          <w:sz w:val="22"/>
          <w:szCs w:val="22"/>
        </w:rPr>
        <w:t xml:space="preserve">Corroborate or challenge specific external claims where the dataset contains relevant evidence</w:t>
      </w:r>
    </w:p>
    <w:p>
      <w:pPr>
        <w:pStyle w:val="BodyText"/>
      </w:pPr>
      <w:r>
        <w:t xml:space="preserve">All observations drawn from the dataset are classified as VERIFIED FACT (what the data directly shows) or INFERENCE (a logical conclusion that requires an additional assumption about what the data means).</w:t>
      </w:r>
    </w:p>
    <w:p>
      <w:pPr>
        <w:pStyle w:val="BodyText"/>
      </w:pPr>
      <w:r>
        <w:t xml:space="preserve">The 41-product sample used in direct analysis is a subset of 24,063 total records in the full Fragrantica dataset. The sample scope was set by what was directly analysed; broader claims in external research draw on the full dataset. Both are identified by source in the analysis documents.</w:t>
      </w:r>
    </w:p>
    <w:p>
      <w:pPr>
        <w:pStyle w:val="Heading2"/>
      </w:pPr>
      <w:r>
        <w:t xml:space="preserve">4.2 Quick Research (QR-01 through QR-04)</w:t>
      </w:r>
    </w:p>
    <w:p>
      <w:pPr>
        <w:pStyle w:val="BodyText"/>
      </w:pPr>
      <w:r>
        <w:t xml:space="preserve">Four comprehensive Quick Research outputs were commissioned and used as the primary source of external market intelligence:</w:t>
      </w:r>
    </w:p>
    <w:p>
      <w:pPr>
        <w:pStyle w:val="ListParagraph"/>
        <w:numPr>
          <w:ilvl w:val="0"/>
          <w:numId w:val="2"/>
        </w:numPr>
      </w:pPr>
      <w:r>
        <w:rPr>
          <w:rFonts w:ascii="Calibri" w:cs="Calibri" w:eastAsia="Calibri" w:hAnsi="Calibri"/>
          <w:b w:val="false"/>
          <w:bCs w:val="false"/>
          <w:color w:val="222222"/>
          <w:sz w:val="22"/>
          <w:szCs w:val="22"/>
        </w:rPr>
        <w:t xml:space="preserve">QR-01 focused on competitive dynamics, consumer trends, and strategic opportunities in 2024–2026</w:t>
      </w:r>
    </w:p>
    <w:p>
      <w:pPr>
        <w:pStyle w:val="ListParagraph"/>
        <w:numPr>
          <w:ilvl w:val="0"/>
          <w:numId w:val="2"/>
        </w:numPr>
      </w:pPr>
      <w:r>
        <w:rPr>
          <w:rFonts w:ascii="Calibri" w:cs="Calibri" w:eastAsia="Calibri" w:hAnsi="Calibri"/>
          <w:b w:val="false"/>
          <w:bCs w:val="false"/>
          <w:color w:val="222222"/>
          <w:sz w:val="22"/>
          <w:szCs w:val="22"/>
        </w:rPr>
        <w:t xml:space="preserve">QR-02 focused on verified facts and strategic insights with strict source attribution and fact-vs-interpretation separation</w:t>
      </w:r>
    </w:p>
    <w:p>
      <w:pPr>
        <w:pStyle w:val="ListParagraph"/>
        <w:numPr>
          <w:ilvl w:val="0"/>
          <w:numId w:val="2"/>
        </w:numPr>
      </w:pPr>
      <w:r>
        <w:rPr>
          <w:rFonts w:ascii="Calibri" w:cs="Calibri" w:eastAsia="Calibri" w:hAnsi="Calibri"/>
          <w:b w:val="false"/>
          <w:bCs w:val="false"/>
          <w:color w:val="222222"/>
          <w:sz w:val="22"/>
          <w:szCs w:val="22"/>
        </w:rPr>
        <w:t xml:space="preserve">QR-03 provided a comprehensive analysis including direct citations from the internal fragrance dataset alongside external market research</w:t>
      </w:r>
    </w:p>
    <w:p>
      <w:pPr>
        <w:pStyle w:val="ListParagraph"/>
        <w:numPr>
          <w:ilvl w:val="0"/>
          <w:numId w:val="2"/>
        </w:numPr>
      </w:pPr>
      <w:r>
        <w:rPr>
          <w:rFonts w:ascii="Calibri" w:cs="Calibri" w:eastAsia="Calibri" w:hAnsi="Calibri"/>
          <w:b w:val="false"/>
          <w:bCs w:val="false"/>
          <w:color w:val="222222"/>
          <w:sz w:val="22"/>
          <w:szCs w:val="22"/>
        </w:rPr>
        <w:t xml:space="preserve">QR-04 synthesised all prior work into a leadership-ready intelligence brief with an evidence matrix, contradictions, and recommended next steps</w:t>
      </w:r>
    </w:p>
    <w:p>
      <w:pPr>
        <w:pStyle w:val="BodyText"/>
      </w:pPr>
      <w:r>
        <w:t xml:space="preserve">Quick Research outputs draw on a combination of company disclosures, industry analyst reports, Fragrantica platform data, and publicly reported market developments. The quality of individual claims within these outputs varies and is classified accordingly under the evidence standard framework in Section 6.</w:t>
      </w:r>
    </w:p>
    <w:p>
      <w:pPr>
        <w:pStyle w:val="Heading2"/>
      </w:pPr>
      <w:r>
        <w:t xml:space="preserve">4.3 Comparison of Internal and External Evidence</w:t>
      </w:r>
    </w:p>
    <w:p>
      <w:pPr>
        <w:pStyle w:val="BodyText"/>
      </w:pPr>
      <w:r>
        <w:t xml:space="preserve">Where the internal dataset and external research address the same phenomenon, findings were compared and one of the following judgements applied:</w:t>
      </w:r>
    </w:p>
    <w:p>
      <w:pPr>
        <w:pStyle w:val="ListParagraph"/>
        <w:numPr>
          <w:ilvl w:val="0"/>
          <w:numId w:val="2"/>
        </w:numPr>
      </w:pPr>
      <w:r>
        <w:rPr>
          <w:rFonts w:ascii="Calibri" w:cs="Calibri" w:eastAsia="Calibri" w:hAnsi="Calibri"/>
          <w:b w:val="false"/>
          <w:bCs w:val="false"/>
          <w:color w:val="222222"/>
          <w:sz w:val="22"/>
          <w:szCs w:val="22"/>
        </w:rPr>
        <w:t xml:space="preserve">Consistent: Both sources point in the same direction. Confidence is increased.</w:t>
      </w:r>
    </w:p>
    <w:p>
      <w:pPr>
        <w:pStyle w:val="ListParagraph"/>
        <w:numPr>
          <w:ilvl w:val="0"/>
          <w:numId w:val="2"/>
        </w:numPr>
      </w:pPr>
      <w:r>
        <w:rPr>
          <w:rFonts w:ascii="Calibri" w:cs="Calibri" w:eastAsia="Calibri" w:hAnsi="Calibri"/>
          <w:b w:val="false"/>
          <w:bCs w:val="false"/>
          <w:color w:val="222222"/>
          <w:sz w:val="22"/>
          <w:szCs w:val="22"/>
        </w:rPr>
        <w:t xml:space="preserve">Complementary: One source provides evidence the other cannot; no conflict. Confidence is maintained at source level.</w:t>
      </w:r>
    </w:p>
    <w:p>
      <w:pPr>
        <w:pStyle w:val="ListParagraph"/>
        <w:numPr>
          <w:ilvl w:val="0"/>
          <w:numId w:val="2"/>
        </w:numPr>
      </w:pPr>
      <w:r>
        <w:rPr>
          <w:rFonts w:ascii="Calibri" w:cs="Calibri" w:eastAsia="Calibri" w:hAnsi="Calibri"/>
          <w:b w:val="false"/>
          <w:bCs w:val="false"/>
          <w:color w:val="222222"/>
          <w:sz w:val="22"/>
          <w:szCs w:val="22"/>
        </w:rPr>
        <w:t xml:space="preserve">Divergent: Sources point in different directions. The contradiction is documented explicitly in the Market Analysis.</w:t>
      </w:r>
    </w:p>
    <w:p>
      <w:pPr>
        <w:pStyle w:val="ListParagraph"/>
        <w:numPr>
          <w:ilvl w:val="0"/>
          <w:numId w:val="2"/>
        </w:numPr>
      </w:pPr>
      <w:r>
        <w:rPr>
          <w:rFonts w:ascii="Calibri" w:cs="Calibri" w:eastAsia="Calibri" w:hAnsi="Calibri"/>
          <w:b w:val="false"/>
          <w:bCs w:val="false"/>
          <w:color w:val="222222"/>
          <w:sz w:val="22"/>
          <w:szCs w:val="22"/>
        </w:rPr>
        <w:t xml:space="preserve">Not comparable: The dataset has no data relevant to the external claim. The claim is labelled NO DATASET EVIDENCE.</w:t>
      </w:r>
    </w:p>
    <w:p>
      <w:pPr>
        <w:pStyle w:val="Heading2"/>
      </w:pPr>
      <w:r>
        <w:t xml:space="preserve">4.4 Research Prioritisation</w:t>
      </w:r>
    </w:p>
    <w:p>
      <w:pPr>
        <w:pStyle w:val="BodyText"/>
      </w:pPr>
      <w:r>
        <w:t xml:space="preserve">Research questions were prioritised according to five criteria, applied in order:</w:t>
      </w:r>
    </w:p>
    <w:p>
      <w:pPr>
        <w:pStyle w:val="ListParagraph"/>
        <w:numPr>
          <w:ilvl w:val="0"/>
          <w:numId w:val="2"/>
        </w:numPr>
      </w:pPr>
      <w:r>
        <w:rPr>
          <w:rFonts w:ascii="Calibri" w:cs="Calibri" w:eastAsia="Calibri" w:hAnsi="Calibri"/>
          <w:b w:val="false"/>
          <w:bCs w:val="false"/>
          <w:color w:val="222222"/>
          <w:sz w:val="22"/>
          <w:szCs w:val="22"/>
        </w:rPr>
        <w:t xml:space="preserve">Relevance to the central business question: questions directly informing a potential market-entry decision were addressed first</w:t>
      </w:r>
    </w:p>
    <w:p>
      <w:pPr>
        <w:pStyle w:val="ListParagraph"/>
        <w:numPr>
          <w:ilvl w:val="0"/>
          <w:numId w:val="2"/>
        </w:numPr>
      </w:pPr>
      <w:r>
        <w:rPr>
          <w:rFonts w:ascii="Calibri" w:cs="Calibri" w:eastAsia="Calibri" w:hAnsi="Calibri"/>
          <w:b w:val="false"/>
          <w:bCs w:val="false"/>
          <w:color w:val="222222"/>
          <w:sz w:val="22"/>
          <w:szCs w:val="22"/>
        </w:rPr>
        <w:t xml:space="preserve">Recency of available signals: 2024–2026 market signals were prioritised over historical patterns</w:t>
      </w:r>
    </w:p>
    <w:p>
      <w:pPr>
        <w:pStyle w:val="ListParagraph"/>
        <w:numPr>
          <w:ilvl w:val="0"/>
          <w:numId w:val="2"/>
        </w:numPr>
      </w:pPr>
      <w:r>
        <w:rPr>
          <w:rFonts w:ascii="Calibri" w:cs="Calibri" w:eastAsia="Calibri" w:hAnsi="Calibri"/>
          <w:b w:val="false"/>
          <w:bCs w:val="false"/>
          <w:color w:val="222222"/>
          <w:sz w:val="22"/>
          <w:szCs w:val="22"/>
        </w:rPr>
        <w:t xml:space="preserve">Source quality and verifiability: company earnings and official disclosures were prioritised over analyst estimates</w:t>
      </w:r>
    </w:p>
    <w:p>
      <w:pPr>
        <w:pStyle w:val="ListParagraph"/>
        <w:numPr>
          <w:ilvl w:val="0"/>
          <w:numId w:val="2"/>
        </w:numPr>
      </w:pPr>
      <w:r>
        <w:rPr>
          <w:rFonts w:ascii="Calibri" w:cs="Calibri" w:eastAsia="Calibri" w:hAnsi="Calibri"/>
          <w:b w:val="false"/>
          <w:bCs w:val="false"/>
          <w:color w:val="222222"/>
          <w:sz w:val="22"/>
          <w:szCs w:val="22"/>
        </w:rPr>
        <w:t xml:space="preserve">Cross-source consistency: claims supported by multiple independent sources were given higher priority</w:t>
      </w:r>
    </w:p>
    <w:p>
      <w:pPr>
        <w:pStyle w:val="ListParagraph"/>
        <w:numPr>
          <w:ilvl w:val="0"/>
          <w:numId w:val="2"/>
        </w:numPr>
      </w:pPr>
      <w:r>
        <w:rPr>
          <w:rFonts w:ascii="Calibri" w:cs="Calibri" w:eastAsia="Calibri" w:hAnsi="Calibri"/>
          <w:b w:val="false"/>
          <w:bCs w:val="false"/>
          <w:color w:val="222222"/>
          <w:sz w:val="22"/>
          <w:szCs w:val="22"/>
        </w:rPr>
        <w:t xml:space="preserve">Potential strategic impact: findings with high consequence for a market-entry decision were investigated in greater depth</w:t>
      </w:r>
    </w:p>
    <w:p>
      <w:pPr>
        <w:pStyle w:val="Heading2"/>
      </w:pPr>
      <w:r>
        <w:t xml:space="preserve">4.5 Evidence Quality and Uncertainty Evaluation</w:t>
      </w:r>
    </w:p>
    <w:p>
      <w:pPr>
        <w:pStyle w:val="BodyText"/>
      </w:pPr>
      <w:r>
        <w:t xml:space="preserve">Evidence quality was evaluated along four dimensions:</w:t>
      </w:r>
    </w:p>
    <w:p>
      <w:pPr>
        <w:pStyle w:val="ListParagraph"/>
        <w:numPr>
          <w:ilvl w:val="0"/>
          <w:numId w:val="2"/>
        </w:numPr>
      </w:pPr>
      <w:r>
        <w:rPr>
          <w:rFonts w:ascii="Calibri" w:cs="Calibri" w:eastAsia="Calibri" w:hAnsi="Calibri"/>
          <w:b w:val="false"/>
          <w:bCs w:val="false"/>
          <w:color w:val="222222"/>
          <w:sz w:val="22"/>
          <w:szCs w:val="22"/>
        </w:rPr>
        <w:t xml:space="preserve">Source type: company announcements and audited financials are more reliable than market research estimates</w:t>
      </w:r>
    </w:p>
    <w:p>
      <w:pPr>
        <w:pStyle w:val="ListParagraph"/>
        <w:numPr>
          <w:ilvl w:val="0"/>
          <w:numId w:val="2"/>
        </w:numPr>
      </w:pPr>
      <w:r>
        <w:rPr>
          <w:rFonts w:ascii="Calibri" w:cs="Calibri" w:eastAsia="Calibri" w:hAnsi="Calibri"/>
          <w:b w:val="false"/>
          <w:bCs w:val="false"/>
          <w:color w:val="222222"/>
          <w:sz w:val="22"/>
          <w:szCs w:val="22"/>
        </w:rPr>
        <w:t xml:space="preserve">Recency: signals from 2024 are more reliable than signals from 2021–2022 for assessing current market conditions</w:t>
      </w:r>
    </w:p>
    <w:p>
      <w:pPr>
        <w:pStyle w:val="ListParagraph"/>
        <w:numPr>
          <w:ilvl w:val="0"/>
          <w:numId w:val="2"/>
        </w:numPr>
      </w:pPr>
      <w:r>
        <w:rPr>
          <w:rFonts w:ascii="Calibri" w:cs="Calibri" w:eastAsia="Calibri" w:hAnsi="Calibri"/>
          <w:b w:val="false"/>
          <w:bCs w:val="false"/>
          <w:color w:val="222222"/>
          <w:sz w:val="22"/>
          <w:szCs w:val="22"/>
        </w:rPr>
        <w:t xml:space="preserve">Cross-source consistency: claims appearing independently in multiple research outputs carry higher confidence</w:t>
      </w:r>
    </w:p>
    <w:p>
      <w:pPr>
        <w:pStyle w:val="ListParagraph"/>
        <w:numPr>
          <w:ilvl w:val="0"/>
          <w:numId w:val="2"/>
        </w:numPr>
      </w:pPr>
      <w:r>
        <w:rPr>
          <w:rFonts w:ascii="Calibri" w:cs="Calibri" w:eastAsia="Calibri" w:hAnsi="Calibri"/>
          <w:b w:val="false"/>
          <w:bCs w:val="false"/>
          <w:color w:val="222222"/>
          <w:sz w:val="22"/>
          <w:szCs w:val="22"/>
        </w:rPr>
        <w:t xml:space="preserve">Inferential distance: the further a conclusion is from the underlying observation, the lower the confidence assigned</w:t>
      </w:r>
    </w:p>
    <w:p>
      <w:pPr>
        <w:pStyle w:val="BodyText"/>
      </w:pPr>
      <w:r>
        <w:t xml:space="preserve">Where uncertainty is material, it is stated explicitly in the analysis rather than suppressed. Wide market-sizing ranges ($50–62B depending on scope and methodology) are reported as ranges, not point estimates.</w:t>
      </w:r>
    </w:p>
    <w:p>
      <w:pPr>
        <w:pStyle w:val="Heading1"/>
      </w:pPr>
      <w:r>
        <w:t xml:space="preserve">5. Evidence Sources</w:t>
      </w:r>
    </w:p>
    <w:p>
      <w:pPr>
        <w:pStyle w:val="BodyText"/>
      </w:pPr>
      <w:r>
        <w:t xml:space="preserve">The table below distinguishes the five categories of evidence used in this research project, their identifiers, their classification under the evidence standard framework, and the types of data they provide.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100"/>
      </w:tblGrid>
      <w:tr>
        <w:trPr>
          <w:tblHeader/>
        </w:trPr>
        <w:tc>
          <w:tcPr>
            <w:tcW w:type="dxa" w:w="18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Source Category</w:t>
            </w:r>
          </w:p>
        </w:tc>
        <w:tc>
          <w:tcPr>
            <w:tcW w:type="dxa" w:w="22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Identifier / Description</w:t>
            </w:r>
          </w:p>
        </w:tc>
        <w:tc>
          <w:tcPr>
            <w:tcW w:type="dxa" w:w="16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Classification</w:t>
            </w:r>
          </w:p>
        </w:tc>
        <w:tc>
          <w:tcPr>
            <w:tcW w:type="dxa" w:w="31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Key Data Points Available</w:t>
            </w:r>
          </w:p>
        </w:tc>
      </w:tr>
      <w:tr>
        <w:tc>
          <w:tcPr>
            <w:tcW w:type="dxa" w:w="18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bCs/>
                <w:color w:val="222222"/>
                <w:sz w:val="20"/>
                <w:szCs w:val="20"/>
              </w:rPr>
              <w:t xml:space="preserve">Internal Dataset</w:t>
            </w:r>
          </w:p>
        </w:tc>
        <w:tc>
          <w:tcPr>
            <w:tcW w:type="dxa" w:w="2200"/>
            <w:tcBorders>
              <w:top w:val="single" w:color="C5D9F0" w:sz="1"/>
              <w:left w:val="single" w:color="C5D9F0" w:sz="1"/>
              <w:bottom w:val="single" w:color="C5D9F0" w:sz="1"/>
              <w:right w:val="single" w:color="C5D9F0" w:sz="1"/>
            </w:tcBorders>
            <w:shd w:fill="EBF3FB" w:val="clear"/>
            <w:vAlign w:val="top"/>
          </w:tcPr>
          <w:p>
            <w:pPr>
              <w:spacing w:after="60" w:before="60"/>
            </w:pPr>
            <w:r>
              <w:rPr>
                <w:rFonts w:ascii="Calibri" w:cs="Calibri" w:eastAsia="Calibri" w:hAnsi="Calibri"/>
                <w:b/>
                <w:bCs/>
                <w:sz w:val="20"/>
                <w:szCs w:val="20"/>
              </w:rPr>
              <w:t xml:space="preserve">fra_cleaned.csv</w:t>
            </w:r>
          </w:p>
          <w:p>
            <w:pPr>
              <w:spacing w:after="60" w:before="0"/>
            </w:pPr>
            <w:r>
              <w:rPr>
                <w:rFonts w:ascii="Calibri" w:cs="Calibri" w:eastAsia="Calibri" w:hAnsi="Calibri"/>
                <w:color w:val="444444"/>
                <w:sz w:val="19"/>
                <w:szCs w:val="19"/>
              </w:rPr>
              <w:t xml:space="preserve">41-product sample from 24,063 total records. Fragrantica community platform. 1990–2024. 33 brands, 9 countries.</w:t>
            </w:r>
          </w:p>
        </w:tc>
        <w:tc>
          <w:tcPr>
            <w:tcW w:type="dxa" w:w="1600"/>
            <w:tcBorders>
              <w:top w:val="single" w:color="C5D9F0" w:sz="1"/>
              <w:left w:val="single" w:color="C5D9F0" w:sz="1"/>
              <w:bottom w:val="single" w:color="C5D9F0" w:sz="1"/>
              <w:right w:val="single" w:color="C5D9F0" w:sz="1"/>
            </w:tcBorders>
            <w:shd w:fill="EBF3FB" w:val="clear"/>
            <w:vAlign w:val="center"/>
          </w:tcPr>
          <w:p>
            <w:pPr>
              <w:spacing w:after="60" w:before="60"/>
              <w:jc w:val="center"/>
            </w:pPr>
            <w:r>
              <w:rPr>
                <w:rFonts w:ascii="Calibri" w:cs="Calibri" w:eastAsia="Calibri" w:hAnsi="Calibri"/>
                <w:b/>
                <w:bCs/>
                <w:color w:val="1C3557"/>
                <w:sz w:val="20"/>
                <w:szCs w:val="20"/>
              </w:rPr>
              <w:t xml:space="preserve">VF / INF</w:t>
            </w:r>
          </w:p>
        </w:tc>
        <w:tc>
          <w:tcPr>
            <w:tcW w:type="dxa" w:w="3100"/>
            <w:tcBorders>
              <w:top w:val="single" w:color="C5D9F0" w:sz="1"/>
              <w:left w:val="single" w:color="C5D9F0" w:sz="1"/>
              <w:bottom w:val="single" w:color="C5D9F0" w:sz="1"/>
              <w:right w:val="single" w:color="C5D9F0" w:sz="1"/>
            </w:tcBorders>
            <w:shd w:fill="EBF3FB" w:val="clear"/>
            <w:vAlign w:val="top"/>
          </w:tcPr>
          <w:p>
            <w:pPr>
              <w:spacing w:after="40" w:before="60"/>
            </w:pPr>
            <w:r>
              <w:rPr>
                <w:rFonts w:ascii="Calibri" w:cs="Calibri" w:eastAsia="Calibri" w:hAnsi="Calibri"/>
                <w:sz w:val="19"/>
                <w:szCs w:val="19"/>
              </w:rPr>
              <w:t xml:space="preserve">Brand, country of origin, gender category, rating value (1–5), rating count, launch year, top/middle/base notes, up to 5 main accords, perfumer names</w:t>
            </w:r>
          </w:p>
        </w:tc>
      </w:tr>
      <w:tr>
        <w:tc>
          <w:tcPr>
            <w:tcW w:type="dxa" w:w="18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Quick Research</w:t>
            </w:r>
          </w:p>
        </w:tc>
        <w:tc>
          <w:tcPr>
            <w:tcW w:type="dxa" w:w="2200"/>
            <w:tcBorders>
              <w:top w:val="single" w:color="C5D9F0" w:sz="1"/>
              <w:left w:val="single" w:color="C5D9F0" w:sz="1"/>
              <w:bottom w:val="single" w:color="C5D9F0" w:sz="1"/>
              <w:right w:val="single" w:color="C5D9F0" w:sz="1"/>
            </w:tcBorders>
            <w:shd w:fill="FFFFFF" w:val="clear"/>
            <w:vAlign w:val="top"/>
          </w:tcPr>
          <w:p>
            <w:pPr>
              <w:spacing w:after="40" w:before="60"/>
            </w:pPr>
            <w:r>
              <w:rPr>
                <w:rFonts w:ascii="Calibri" w:cs="Calibri" w:eastAsia="Calibri" w:hAnsi="Calibri"/>
                <w:b/>
                <w:bCs/>
                <w:sz w:val="20"/>
                <w:szCs w:val="20"/>
              </w:rPr>
              <w:t xml:space="preserve">QR-01: </w:t>
            </w:r>
            <w:r>
              <w:rPr>
                <w:rFonts w:ascii="Calibri" w:cs="Calibri" w:eastAsia="Calibri" w:hAnsi="Calibri"/>
                <w:sz w:val="19"/>
                <w:szCs w:val="19"/>
              </w:rPr>
              <w:t xml:space="preserve">Global Fragrance and Perfume Market Intelligence: Competitive Dynamics, Consumer Trends, and Strategic Opportunities (2024–2026)</w:t>
            </w:r>
          </w:p>
          <w:p>
            <w:pPr>
              <w:spacing w:after="40" w:before="20"/>
            </w:pPr>
            <w:r>
              <w:rPr>
                <w:rFonts w:ascii="Calibri" w:cs="Calibri" w:eastAsia="Calibri" w:hAnsi="Calibri"/>
                <w:b/>
                <w:bCs/>
                <w:sz w:val="20"/>
                <w:szCs w:val="20"/>
              </w:rPr>
              <w:t xml:space="preserve">QR-02: </w:t>
            </w:r>
            <w:r>
              <w:rPr>
                <w:rFonts w:ascii="Calibri" w:cs="Calibri" w:eastAsia="Calibri" w:hAnsi="Calibri"/>
                <w:sz w:val="19"/>
                <w:szCs w:val="19"/>
              </w:rPr>
              <w:t xml:space="preserve">Global Fragrance and Perfume Market Analysis 2024–2026: Verified Facts and Strategic Insights</w:t>
            </w:r>
          </w:p>
          <w:p>
            <w:pPr>
              <w:spacing w:after="40" w:before="20"/>
            </w:pPr>
            <w:r>
              <w:rPr>
                <w:rFonts w:ascii="Calibri" w:cs="Calibri" w:eastAsia="Calibri" w:hAnsi="Calibri"/>
                <w:b/>
                <w:bCs/>
                <w:sz w:val="20"/>
                <w:szCs w:val="20"/>
              </w:rPr>
              <w:t xml:space="preserve">QR-03: </w:t>
            </w:r>
            <w:r>
              <w:rPr>
                <w:rFonts w:ascii="Calibri" w:cs="Calibri" w:eastAsia="Calibri" w:hAnsi="Calibri"/>
                <w:sz w:val="19"/>
                <w:szCs w:val="19"/>
              </w:rPr>
              <w:t xml:space="preserve">Global Fragrance and Perfume Market Analysis 2024–2026: Competitive Dynamics, Consumer Trends, and Strategic Opportunities (comprehensive, with dataset citations)</w:t>
            </w:r>
          </w:p>
          <w:p>
            <w:pPr>
              <w:spacing w:after="60" w:before="20"/>
            </w:pPr>
            <w:r>
              <w:rPr>
                <w:rFonts w:ascii="Calibri" w:cs="Calibri" w:eastAsia="Calibri" w:hAnsi="Calibri"/>
                <w:b/>
                <w:bCs/>
                <w:sz w:val="20"/>
                <w:szCs w:val="20"/>
              </w:rPr>
              <w:t xml:space="preserve">QR-04: </w:t>
            </w:r>
            <w:r>
              <w:rPr>
                <w:rFonts w:ascii="Calibri" w:cs="Calibri" w:eastAsia="Calibri" w:hAnsi="Calibri"/>
                <w:sz w:val="19"/>
                <w:szCs w:val="19"/>
              </w:rPr>
              <w:t xml:space="preserve">Fragrance Market Intelligence Brief 2024–2026 (leadership summary with evidence matrix)</w:t>
            </w:r>
          </w:p>
        </w:tc>
        <w:tc>
          <w:tcPr>
            <w:tcW w:type="dxa" w:w="1600"/>
            <w:tcBorders>
              <w:top w:val="single" w:color="C5D9F0" w:sz="1"/>
              <w:left w:val="single" w:color="C5D9F0" w:sz="1"/>
              <w:bottom w:val="single" w:color="C5D9F0" w:sz="1"/>
              <w:right w:val="single" w:color="C5D9F0" w:sz="1"/>
            </w:tcBorders>
            <w:shd w:fill="FFFFFF" w:val="clear"/>
            <w:vAlign w:val="center"/>
          </w:tcPr>
          <w:p>
            <w:pPr>
              <w:spacing w:after="60" w:before="60"/>
              <w:jc w:val="center"/>
            </w:pPr>
            <w:r>
              <w:rPr>
                <w:rFonts w:ascii="Calibri" w:cs="Calibri" w:eastAsia="Calibri" w:hAnsi="Calibri"/>
                <w:b/>
                <w:bCs/>
                <w:color w:val="444444"/>
                <w:sz w:val="20"/>
                <w:szCs w:val="20"/>
              </w:rPr>
              <w:t xml:space="preserve">VF / INF / AI / NDE</w:t>
            </w:r>
          </w:p>
        </w:tc>
        <w:tc>
          <w:tcPr>
            <w:tcW w:type="dxa" w:w="3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Market sizing estimates, competitive landscape analysis, consumer trend signals, regional growth data, regulatory environment, channel dynamics, strategic opportunities and risks</w:t>
            </w:r>
          </w:p>
        </w:tc>
      </w:tr>
      <w:tr>
        <w:tc>
          <w:tcPr>
            <w:tcW w:type="dxa" w:w="18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bCs/>
                <w:color w:val="222222"/>
                <w:sz w:val="20"/>
                <w:szCs w:val="20"/>
              </w:rPr>
              <w:t xml:space="preserve">Company / Official Sources</w:t>
            </w:r>
          </w:p>
        </w:tc>
        <w:tc>
          <w:tcPr>
            <w:tcW w:type="dxa" w:w="2200"/>
            <w:tcBorders>
              <w:top w:val="single" w:color="C5D9F0" w:sz="1"/>
              <w:left w:val="single" w:color="C5D9F0" w:sz="1"/>
              <w:bottom w:val="single" w:color="C5D9F0" w:sz="1"/>
              <w:right w:val="single" w:color="C5D9F0" w:sz="1"/>
            </w:tcBorders>
            <w:shd w:fill="F7FAFD" w:val="clear"/>
            <w:vAlign w:val="top"/>
          </w:tcPr>
          <w:p>
            <w:pPr>
              <w:spacing w:after="40" w:before="60"/>
            </w:pPr>
            <w:r>
              <w:rPr>
                <w:rFonts w:ascii="Calibri" w:cs="Calibri" w:eastAsia="Calibri" w:hAnsi="Calibri"/>
                <w:sz w:val="19"/>
                <w:szCs w:val="19"/>
              </w:rPr>
              <w:t xml:space="preserve">Puig investor relations (IPO prospectus, May 2024)</w:t>
            </w:r>
          </w:p>
          <w:p>
            <w:pPr>
              <w:spacing w:after="40" w:before="20"/>
            </w:pPr>
            <w:r>
              <w:rPr>
                <w:rFonts w:ascii="Calibri" w:cs="Calibri" w:eastAsia="Calibri" w:hAnsi="Calibri"/>
                <w:sz w:val="19"/>
                <w:szCs w:val="19"/>
              </w:rPr>
              <w:t xml:space="preserve">Coty Inc. FY2024 earnings disclosures</w:t>
            </w:r>
          </w:p>
          <w:p>
            <w:pPr>
              <w:spacing w:after="40" w:before="20"/>
            </w:pPr>
            <w:r>
              <w:rPr>
                <w:rFonts w:ascii="Calibri" w:cs="Calibri" w:eastAsia="Calibri" w:hAnsi="Calibri"/>
                <w:sz w:val="19"/>
                <w:szCs w:val="19"/>
              </w:rPr>
              <w:t xml:space="preserve">Estée Lauder Companies FY2024 earnings reports</w:t>
            </w:r>
          </w:p>
          <w:p>
            <w:pPr>
              <w:spacing w:after="40" w:before="20"/>
            </w:pPr>
            <w:r>
              <w:rPr>
                <w:rFonts w:ascii="Calibri" w:cs="Calibri" w:eastAsia="Calibri" w:hAnsi="Calibri"/>
                <w:sz w:val="19"/>
                <w:szCs w:val="19"/>
              </w:rPr>
              <w:t xml:space="preserve">Interparfums FY2024 revenue disclosures</w:t>
            </w:r>
          </w:p>
          <w:p>
            <w:pPr>
              <w:spacing w:after="60" w:before="20"/>
            </w:pPr>
            <w:r>
              <w:rPr>
                <w:rFonts w:ascii="Calibri" w:cs="Calibri" w:eastAsia="Calibri" w:hAnsi="Calibri"/>
                <w:sz w:val="19"/>
                <w:szCs w:val="19"/>
              </w:rPr>
              <w:t xml:space="preserve">EU Cosmetics Regulation 2023/1545 (allergen labelling expansion)</w:t>
            </w:r>
          </w:p>
        </w:tc>
        <w:tc>
          <w:tcPr>
            <w:tcW w:type="dxa" w:w="1600"/>
            <w:tcBorders>
              <w:top w:val="single" w:color="C5D9F0" w:sz="1"/>
              <w:left w:val="single" w:color="C5D9F0" w:sz="1"/>
              <w:bottom w:val="single" w:color="C5D9F0" w:sz="1"/>
              <w:right w:val="single" w:color="C5D9F0" w:sz="1"/>
            </w:tcBorders>
            <w:shd w:fill="F7FAFD" w:val="clear"/>
            <w:vAlign w:val="center"/>
          </w:tcPr>
          <w:p>
            <w:pPr>
              <w:spacing w:after="60" w:before="60"/>
              <w:jc w:val="center"/>
            </w:pPr>
            <w:r>
              <w:rPr>
                <w:rFonts w:ascii="Calibri" w:cs="Calibri" w:eastAsia="Calibri" w:hAnsi="Calibri"/>
                <w:b/>
                <w:bCs/>
                <w:color w:val="1C3557"/>
                <w:sz w:val="20"/>
                <w:szCs w:val="20"/>
              </w:rPr>
              <w:t xml:space="preserve">VERIFIED FACT</w:t>
            </w:r>
          </w:p>
        </w:tc>
        <w:tc>
          <w:tcPr>
            <w:tcW w:type="dxa" w:w="3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Revenue figures, organic growth rates, acquisition details, regulatory compliance requirements, IPO valuations</w:t>
            </w:r>
          </w:p>
        </w:tc>
      </w:tr>
      <w:tr>
        <w:tc>
          <w:tcPr>
            <w:tcW w:type="dxa" w:w="18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External Market Research</w:t>
            </w:r>
          </w:p>
        </w:tc>
        <w:tc>
          <w:tcPr>
            <w:tcW w:type="dxa" w:w="2200"/>
            <w:tcBorders>
              <w:top w:val="single" w:color="C5D9F0" w:sz="1"/>
              <w:left w:val="single" w:color="C5D9F0" w:sz="1"/>
              <w:bottom w:val="single" w:color="C5D9F0" w:sz="1"/>
              <w:right w:val="single" w:color="C5D9F0" w:sz="1"/>
            </w:tcBorders>
            <w:shd w:fill="FFFFFF" w:val="clear"/>
            <w:vAlign w:val="top"/>
          </w:tcPr>
          <w:p>
            <w:pPr>
              <w:spacing w:after="40" w:before="60"/>
            </w:pPr>
            <w:r>
              <w:rPr>
                <w:rFonts w:ascii="Calibri" w:cs="Calibri" w:eastAsia="Calibri" w:hAnsi="Calibri"/>
                <w:sz w:val="19"/>
                <w:szCs w:val="19"/>
              </w:rPr>
              <w:t xml:space="preserve">Grand View Research (global perfume market, 2023–2030)</w:t>
            </w:r>
          </w:p>
          <w:p>
            <w:pPr>
              <w:spacing w:after="40" w:before="20"/>
            </w:pPr>
            <w:r>
              <w:rPr>
                <w:rFonts w:ascii="Calibri" w:cs="Calibri" w:eastAsia="Calibri" w:hAnsi="Calibri"/>
                <w:sz w:val="19"/>
                <w:szCs w:val="19"/>
              </w:rPr>
              <w:t xml:space="preserve">Mordor Intelligence (fragrance market, 2024–2029)</w:t>
            </w:r>
          </w:p>
          <w:p>
            <w:pPr>
              <w:spacing w:after="40" w:before="20"/>
            </w:pPr>
            <w:r>
              <w:rPr>
                <w:rFonts w:ascii="Calibri" w:cs="Calibri" w:eastAsia="Calibri" w:hAnsi="Calibri"/>
                <w:sz w:val="19"/>
                <w:szCs w:val="19"/>
              </w:rPr>
              <w:t xml:space="preserve">Euromonitor International (fragrance sector reports)</w:t>
            </w:r>
          </w:p>
          <w:p>
            <w:pPr>
              <w:spacing w:after="60" w:before="20"/>
            </w:pPr>
            <w:r>
              <w:rPr>
                <w:rFonts w:ascii="Calibri" w:cs="Calibri" w:eastAsia="Calibri" w:hAnsi="Calibri"/>
                <w:sz w:val="19"/>
                <w:szCs w:val="19"/>
              </w:rPr>
              <w:t xml:space="preserve">Allied Market Research (fragrance and perfume sector)</w:t>
            </w:r>
          </w:p>
        </w:tc>
        <w:tc>
          <w:tcPr>
            <w:tcW w:type="dxa" w:w="1600"/>
            <w:tcBorders>
              <w:top w:val="single" w:color="C5D9F0" w:sz="1"/>
              <w:left w:val="single" w:color="C5D9F0" w:sz="1"/>
              <w:bottom w:val="single" w:color="C5D9F0" w:sz="1"/>
              <w:right w:val="single" w:color="C5D9F0" w:sz="1"/>
            </w:tcBorders>
            <w:shd w:fill="FFFFFF" w:val="clear"/>
            <w:vAlign w:val="center"/>
          </w:tcPr>
          <w:p>
            <w:pPr>
              <w:spacing w:after="60" w:before="60"/>
              <w:jc w:val="center"/>
            </w:pPr>
            <w:r>
              <w:rPr>
                <w:rFonts w:ascii="Calibri" w:cs="Calibri" w:eastAsia="Calibri" w:hAnsi="Calibri"/>
                <w:b/>
                <w:bCs/>
                <w:color w:val="8B1C1C"/>
                <w:sz w:val="20"/>
                <w:szCs w:val="20"/>
              </w:rPr>
              <w:t xml:space="preserve">ANALYST INTERPRETATION</w:t>
            </w:r>
          </w:p>
        </w:tc>
        <w:tc>
          <w:tcPr>
            <w:tcW w:type="dxa" w:w="3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Global market size ranges ($50–62B in 2024 depending on scope and methodology), CAGR projections (5–7% consensus), regional growth estimates, segment size estimates</w:t>
            </w:r>
          </w:p>
        </w:tc>
      </w:tr>
      <w:tr>
        <w:tc>
          <w:tcPr>
            <w:tcW w:type="dxa" w:w="1800"/>
            <w:tcBorders>
              <w:top w:val="single" w:color="C5D9F0" w:sz="1"/>
              <w:left w:val="single" w:color="C5D9F0" w:sz="1"/>
              <w:bottom w:val="single" w:color="C5D9F0" w:sz="1"/>
              <w:right w:val="single" w:color="C5D9F0" w:sz="1"/>
            </w:tcBorders>
            <w:shd w:fill="FEF0EF" w:val="clear"/>
            <w:vAlign w:val="center"/>
          </w:tcPr>
          <w:p>
            <w:pPr>
              <w:spacing w:after="60" w:before="60"/>
              <w:jc w:val="left"/>
            </w:pPr>
            <w:r>
              <w:rPr>
                <w:rFonts w:ascii="Calibri" w:cs="Calibri" w:eastAsia="Calibri" w:hAnsi="Calibri"/>
                <w:b/>
                <w:bCs/>
                <w:color w:val="222222"/>
                <w:sz w:val="20"/>
                <w:szCs w:val="20"/>
              </w:rPr>
              <w:t xml:space="preserve">Analyst Interpretation</w:t>
            </w:r>
          </w:p>
        </w:tc>
        <w:tc>
          <w:tcPr>
            <w:tcW w:type="dxa" w:w="2200"/>
            <w:tcBorders>
              <w:top w:val="single" w:color="C5D9F0" w:sz="1"/>
              <w:left w:val="single" w:color="C5D9F0" w:sz="1"/>
              <w:bottom w:val="single" w:color="C5D9F0" w:sz="1"/>
              <w:right w:val="single" w:color="C5D9F0" w:sz="1"/>
            </w:tcBorders>
            <w:shd w:fill="FEF0EF" w:val="clear"/>
            <w:vAlign w:val="center"/>
          </w:tcPr>
          <w:p>
            <w:pPr>
              <w:spacing w:after="60" w:before="60"/>
              <w:jc w:val="left"/>
            </w:pPr>
            <w:r>
              <w:rPr>
                <w:rFonts w:ascii="Calibri" w:cs="Calibri" w:eastAsia="Calibri" w:hAnsi="Calibri"/>
                <w:b w:val="false"/>
                <w:bCs w:val="false"/>
                <w:color w:val="222222"/>
                <w:sz w:val="20"/>
                <w:szCs w:val="20"/>
              </w:rPr>
              <w:t xml:space="preserve">Synthesis, prioritisation, and strategic framing prepared by the research team from the above sources</w:t>
            </w:r>
          </w:p>
        </w:tc>
        <w:tc>
          <w:tcPr>
            <w:tcW w:type="dxa" w:w="1600"/>
            <w:tcBorders>
              <w:top w:val="single" w:color="C5D9F0" w:sz="1"/>
              <w:left w:val="single" w:color="C5D9F0" w:sz="1"/>
              <w:bottom w:val="single" w:color="C5D9F0" w:sz="1"/>
              <w:right w:val="single" w:color="C5D9F0" w:sz="1"/>
            </w:tcBorders>
            <w:shd w:fill="FEF0EF" w:val="clear"/>
            <w:vAlign w:val="center"/>
          </w:tcPr>
          <w:p>
            <w:pPr>
              <w:spacing w:after="60" w:before="60"/>
              <w:jc w:val="center"/>
            </w:pPr>
            <w:r>
              <w:rPr>
                <w:rFonts w:ascii="Calibri" w:cs="Calibri" w:eastAsia="Calibri" w:hAnsi="Calibri"/>
                <w:b/>
                <w:bCs/>
                <w:color w:val="8B1C1C"/>
                <w:sz w:val="20"/>
                <w:szCs w:val="20"/>
              </w:rPr>
              <w:t xml:space="preserve">ANALYST INTERPRETATION</w:t>
            </w:r>
          </w:p>
        </w:tc>
        <w:tc>
          <w:tcPr>
            <w:tcW w:type="dxa" w:w="3100"/>
            <w:tcBorders>
              <w:top w:val="single" w:color="C5D9F0" w:sz="1"/>
              <w:left w:val="single" w:color="C5D9F0" w:sz="1"/>
              <w:bottom w:val="single" w:color="C5D9F0" w:sz="1"/>
              <w:right w:val="single" w:color="C5D9F0" w:sz="1"/>
            </w:tcBorders>
            <w:shd w:fill="FEF0EF" w:val="clear"/>
            <w:vAlign w:val="center"/>
          </w:tcPr>
          <w:p>
            <w:pPr>
              <w:spacing w:after="60" w:before="60"/>
              <w:jc w:val="left"/>
            </w:pPr>
            <w:r>
              <w:rPr>
                <w:rFonts w:ascii="Calibri" w:cs="Calibri" w:eastAsia="Calibri" w:hAnsi="Calibri"/>
                <w:b w:val="false"/>
                <w:bCs w:val="false"/>
                <w:color w:val="222222"/>
                <w:sz w:val="20"/>
                <w:szCs w:val="20"/>
              </w:rPr>
              <w:t xml:space="preserve">Strategic conclusions, opportunity assessments, risk ratings, evidence quality evaluations, and recommendations</w:t>
            </w:r>
          </w:p>
        </w:tc>
      </w:tr>
    </w:tbl>
    <w:p>
      <w:pPr>
        <w:spacing w:after="60" w:before="60"/>
      </w:pPr>
      <w:r>
        <w:t xml:space="preserve"/>
      </w:r>
    </w:p>
    <w:p>
      <w:pPr>
        <w:pStyle w:val="BodyText"/>
      </w:pPr>
      <w:r>
        <w:t xml:space="preserve">Note on market sizing variance: Grand View Research estimated the global perfume market at approximately $50.2B in 2023 with a 5.9% projected CAGR through 2030; Mordor Intelligence placed the 2024 figure at approximately $54B with a 5.5% CAGR through 2029; Statista reported global fragrance revenue of approximately $62B in 2024. These figures are not contradictory — they reflect different scope definitions (fine fragrance only vs. total fragrance including body care adjacencies). All market sizing from these sources is classified ANALYST INTERPRETATION.</w:t>
      </w:r>
    </w:p>
    <w:p>
      <w:pPr>
        <w:pStyle w:val="Heading1"/>
      </w:pPr>
      <w:r>
        <w:t xml:space="preserve">6. Evidence Standards</w:t>
      </w:r>
    </w:p>
    <w:p>
      <w:pPr>
        <w:pStyle w:val="BodyText"/>
      </w:pPr>
      <w:r>
        <w:t xml:space="preserve">Every substantive claim in the Market Analysis and the Leadership Intelligence Brief is classified under one of four evidence standards. This classification determines how a claim should be relied upon and communicated.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500"/>
        <w:gridCol w:w="2500"/>
      </w:tblGrid>
      <w:tr>
        <w:trPr>
          <w:tblHeader/>
        </w:trPr>
        <w:tc>
          <w:tcPr>
            <w:tcW w:type="dxa" w:w="17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Classification</w:t>
            </w:r>
          </w:p>
        </w:tc>
        <w:tc>
          <w:tcPr>
            <w:tcW w:type="dxa" w:w="20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Abbreviation</w:t>
            </w:r>
          </w:p>
        </w:tc>
        <w:tc>
          <w:tcPr>
            <w:tcW w:type="dxa" w:w="25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Definition</w:t>
            </w:r>
          </w:p>
        </w:tc>
        <w:tc>
          <w:tcPr>
            <w:tcW w:type="dxa" w:w="25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Confidence Impact</w:t>
            </w:r>
          </w:p>
        </w:tc>
      </w:tr>
      <w:tr>
        <w:tc>
          <w:tcPr>
            <w:tcW w:type="dxa" w:w="17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bCs/>
                <w:color w:val="1C3557"/>
                <w:sz w:val="20"/>
                <w:szCs w:val="20"/>
              </w:rPr>
              <w:t xml:space="preserve">VERIFIED FACT</w:t>
            </w:r>
          </w:p>
        </w:tc>
        <w:tc>
          <w:tcPr>
            <w:tcW w:type="dxa" w:w="20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val="false"/>
                <w:bCs w:val="false"/>
                <w:color w:val="222222"/>
                <w:sz w:val="20"/>
                <w:szCs w:val="20"/>
              </w:rPr>
              <w:t xml:space="preserve">VF</w:t>
            </w:r>
          </w:p>
        </w:tc>
        <w:tc>
          <w:tcPr>
            <w:tcW w:type="dxa" w:w="2500"/>
            <w:tcBorders>
              <w:top w:val="single" w:color="C5D9F0" w:sz="1"/>
              <w:left w:val="single" w:color="C5D9F0" w:sz="1"/>
              <w:bottom w:val="single" w:color="C5D9F0" w:sz="1"/>
              <w:right w:val="single" w:color="C5D9F0" w:sz="1"/>
            </w:tcBorders>
            <w:shd w:fill="EBF3FB" w:val="clear"/>
            <w:vAlign w:val="top"/>
          </w:tcPr>
          <w:p>
            <w:pPr>
              <w:spacing w:after="60" w:before="60"/>
            </w:pPr>
            <w:r>
              <w:rPr>
                <w:rFonts w:ascii="Calibri" w:cs="Calibri" w:eastAsia="Calibri" w:hAnsi="Calibri"/>
                <w:sz w:val="20"/>
                <w:szCs w:val="20"/>
              </w:rPr>
              <w:t xml:space="preserve">Sourced from company announcements, audited financials, officially published surveys, or regulatory documents. No material inference required.</w:t>
            </w:r>
          </w:p>
        </w:tc>
        <w:tc>
          <w:tcPr>
            <w:tcW w:type="dxa" w:w="2500"/>
            <w:tcBorders>
              <w:top w:val="single" w:color="C5D9F0" w:sz="1"/>
              <w:left w:val="single" w:color="C5D9F0" w:sz="1"/>
              <w:bottom w:val="single" w:color="C5D9F0" w:sz="1"/>
              <w:right w:val="single" w:color="C5D9F0" w:sz="1"/>
            </w:tcBorders>
            <w:shd w:fill="EBF3FB" w:val="clear"/>
            <w:vAlign w:val="top"/>
          </w:tcPr>
          <w:p>
            <w:pPr>
              <w:spacing w:after="60" w:before="60"/>
            </w:pPr>
            <w:r>
              <w:rPr>
                <w:rFonts w:ascii="Calibri" w:cs="Calibri" w:eastAsia="Calibri" w:hAnsi="Calibri"/>
                <w:sz w:val="20"/>
                <w:szCs w:val="20"/>
              </w:rPr>
              <w:t xml:space="preserve">Highest confidence. Can be relied upon without qualification. Update if source later corrects or retracts.</w:t>
            </w:r>
          </w:p>
        </w:tc>
      </w:tr>
      <w:tr>
        <w:tc>
          <w:tcPr>
            <w:tcW w:type="dxa" w:w="1700"/>
            <w:tcBorders>
              <w:top w:val="single" w:color="C5D9F0" w:sz="1"/>
              <w:left w:val="single" w:color="C5D9F0" w:sz="1"/>
              <w:bottom w:val="single" w:color="C5D9F0" w:sz="1"/>
              <w:right w:val="single" w:color="C5D9F0" w:sz="1"/>
            </w:tcBorders>
            <w:shd w:fill="FFF8E7" w:val="clear"/>
            <w:vAlign w:val="center"/>
          </w:tcPr>
          <w:p>
            <w:pPr>
              <w:spacing w:after="60" w:before="60"/>
              <w:jc w:val="left"/>
            </w:pPr>
            <w:r>
              <w:rPr>
                <w:rFonts w:ascii="Calibri" w:cs="Calibri" w:eastAsia="Calibri" w:hAnsi="Calibri"/>
                <w:b/>
                <w:bCs/>
                <w:color w:val="7A5900"/>
                <w:sz w:val="20"/>
                <w:szCs w:val="20"/>
              </w:rPr>
              <w:t xml:space="preserve">INFERENCE</w:t>
            </w:r>
          </w:p>
        </w:tc>
        <w:tc>
          <w:tcPr>
            <w:tcW w:type="dxa" w:w="2000"/>
            <w:tcBorders>
              <w:top w:val="single" w:color="C5D9F0" w:sz="1"/>
              <w:left w:val="single" w:color="C5D9F0" w:sz="1"/>
              <w:bottom w:val="single" w:color="C5D9F0" w:sz="1"/>
              <w:right w:val="single" w:color="C5D9F0" w:sz="1"/>
            </w:tcBorders>
            <w:shd w:fill="FFF8E7" w:val="clear"/>
            <w:vAlign w:val="center"/>
          </w:tcPr>
          <w:p>
            <w:pPr>
              <w:spacing w:after="60" w:before="60"/>
              <w:jc w:val="left"/>
            </w:pPr>
            <w:r>
              <w:rPr>
                <w:rFonts w:ascii="Calibri" w:cs="Calibri" w:eastAsia="Calibri" w:hAnsi="Calibri"/>
                <w:b w:val="false"/>
                <w:bCs w:val="false"/>
                <w:color w:val="222222"/>
                <w:sz w:val="20"/>
                <w:szCs w:val="20"/>
              </w:rPr>
              <w:t xml:space="preserve">INF</w:t>
            </w:r>
          </w:p>
        </w:tc>
        <w:tc>
          <w:tcPr>
            <w:tcW w:type="dxa" w:w="2500"/>
            <w:tcBorders>
              <w:top w:val="single" w:color="C5D9F0" w:sz="1"/>
              <w:left w:val="single" w:color="C5D9F0" w:sz="1"/>
              <w:bottom w:val="single" w:color="C5D9F0" w:sz="1"/>
              <w:right w:val="single" w:color="C5D9F0" w:sz="1"/>
            </w:tcBorders>
            <w:shd w:fill="FFF8E7" w:val="clear"/>
            <w:vAlign w:val="top"/>
          </w:tcPr>
          <w:p>
            <w:pPr>
              <w:spacing w:after="60" w:before="60"/>
            </w:pPr>
            <w:r>
              <w:rPr>
                <w:rFonts w:ascii="Calibri" w:cs="Calibri" w:eastAsia="Calibri" w:hAnsi="Calibri"/>
                <w:sz w:val="20"/>
                <w:szCs w:val="20"/>
              </w:rPr>
              <w:t xml:space="preserve">A logical conclusion drawn from observed data that requires one or more additional assumptions. The underlying observation is real; the interpretation involves analyst judgment.</w:t>
            </w:r>
          </w:p>
        </w:tc>
        <w:tc>
          <w:tcPr>
            <w:tcW w:type="dxa" w:w="2500"/>
            <w:tcBorders>
              <w:top w:val="single" w:color="C5D9F0" w:sz="1"/>
              <w:left w:val="single" w:color="C5D9F0" w:sz="1"/>
              <w:bottom w:val="single" w:color="C5D9F0" w:sz="1"/>
              <w:right w:val="single" w:color="C5D9F0" w:sz="1"/>
            </w:tcBorders>
            <w:shd w:fill="FFF8E7" w:val="clear"/>
            <w:vAlign w:val="top"/>
          </w:tcPr>
          <w:p>
            <w:pPr>
              <w:spacing w:after="60" w:before="60"/>
            </w:pPr>
            <w:r>
              <w:rPr>
                <w:rFonts w:ascii="Calibri" w:cs="Calibri" w:eastAsia="Calibri" w:hAnsi="Calibri"/>
                <w:sz w:val="20"/>
                <w:szCs w:val="20"/>
              </w:rPr>
              <w:t xml:space="preserve">Moderate confidence. Should be presented with explicit caveats. May be revised if assumptions are challenged.</w:t>
            </w:r>
          </w:p>
        </w:tc>
      </w:tr>
      <w:tr>
        <w:tc>
          <w:tcPr>
            <w:tcW w:type="dxa" w:w="1700"/>
            <w:tcBorders>
              <w:top w:val="single" w:color="C5D9F0" w:sz="1"/>
              <w:left w:val="single" w:color="C5D9F0" w:sz="1"/>
              <w:bottom w:val="single" w:color="C5D9F0" w:sz="1"/>
              <w:right w:val="single" w:color="C5D9F0" w:sz="1"/>
            </w:tcBorders>
            <w:shd w:fill="FEF0EF" w:val="clear"/>
            <w:vAlign w:val="center"/>
          </w:tcPr>
          <w:p>
            <w:pPr>
              <w:spacing w:after="60" w:before="60"/>
              <w:jc w:val="left"/>
            </w:pPr>
            <w:r>
              <w:rPr>
                <w:rFonts w:ascii="Calibri" w:cs="Calibri" w:eastAsia="Calibri" w:hAnsi="Calibri"/>
                <w:b/>
                <w:bCs/>
                <w:color w:val="8B1C1C"/>
                <w:sz w:val="20"/>
                <w:szCs w:val="20"/>
              </w:rPr>
              <w:t xml:space="preserve">ANALYST INTERPRETATION</w:t>
            </w:r>
          </w:p>
        </w:tc>
        <w:tc>
          <w:tcPr>
            <w:tcW w:type="dxa" w:w="2000"/>
            <w:tcBorders>
              <w:top w:val="single" w:color="C5D9F0" w:sz="1"/>
              <w:left w:val="single" w:color="C5D9F0" w:sz="1"/>
              <w:bottom w:val="single" w:color="C5D9F0" w:sz="1"/>
              <w:right w:val="single" w:color="C5D9F0" w:sz="1"/>
            </w:tcBorders>
            <w:shd w:fill="FEF0EF" w:val="clear"/>
            <w:vAlign w:val="center"/>
          </w:tcPr>
          <w:p>
            <w:pPr>
              <w:spacing w:after="60" w:before="60"/>
              <w:jc w:val="left"/>
            </w:pPr>
            <w:r>
              <w:rPr>
                <w:rFonts w:ascii="Calibri" w:cs="Calibri" w:eastAsia="Calibri" w:hAnsi="Calibri"/>
                <w:b w:val="false"/>
                <w:bCs w:val="false"/>
                <w:color w:val="222222"/>
                <w:sz w:val="20"/>
                <w:szCs w:val="20"/>
              </w:rPr>
              <w:t xml:space="preserve">AI</w:t>
            </w:r>
          </w:p>
        </w:tc>
        <w:tc>
          <w:tcPr>
            <w:tcW w:type="dxa" w:w="2500"/>
            <w:tcBorders>
              <w:top w:val="single" w:color="C5D9F0" w:sz="1"/>
              <w:left w:val="single" w:color="C5D9F0" w:sz="1"/>
              <w:bottom w:val="single" w:color="C5D9F0" w:sz="1"/>
              <w:right w:val="single" w:color="C5D9F0" w:sz="1"/>
            </w:tcBorders>
            <w:shd w:fill="FEF0EF" w:val="clear"/>
            <w:vAlign w:val="top"/>
          </w:tcPr>
          <w:p>
            <w:pPr>
              <w:spacing w:after="60" w:before="60"/>
            </w:pPr>
            <w:r>
              <w:rPr>
                <w:rFonts w:ascii="Calibri" w:cs="Calibri" w:eastAsia="Calibri" w:hAnsi="Calibri"/>
                <w:sz w:val="20"/>
                <w:szCs w:val="20"/>
              </w:rPr>
              <w:t xml:space="preserve">Market sizing projections, CAGR forecasts, strategic recommendations, and opinions. Produced by external research firms (Grand View Research, Mordor Intelligence, Euromonitor, Allied Market Research) or analyst commentary.</w:t>
            </w:r>
          </w:p>
        </w:tc>
        <w:tc>
          <w:tcPr>
            <w:tcW w:type="dxa" w:w="2500"/>
            <w:tcBorders>
              <w:top w:val="single" w:color="C5D9F0" w:sz="1"/>
              <w:left w:val="single" w:color="C5D9F0" w:sz="1"/>
              <w:bottom w:val="single" w:color="C5D9F0" w:sz="1"/>
              <w:right w:val="single" w:color="C5D9F0" w:sz="1"/>
            </w:tcBorders>
            <w:shd w:fill="FEF0EF" w:val="clear"/>
            <w:vAlign w:val="top"/>
          </w:tcPr>
          <w:p>
            <w:pPr>
              <w:spacing w:after="60" w:before="60"/>
            </w:pPr>
            <w:r>
              <w:rPr>
                <w:rFonts w:ascii="Calibri" w:cs="Calibri" w:eastAsia="Calibri" w:hAnsi="Calibri"/>
                <w:sz w:val="20"/>
                <w:szCs w:val="20"/>
              </w:rPr>
              <w:t xml:space="preserve">Lower confidence. Methodologies are often opaque. Wide variance between firms is common. Should not be presented as fact.</w:t>
            </w:r>
          </w:p>
        </w:tc>
      </w:tr>
      <w:tr>
        <w:tc>
          <w:tcPr>
            <w:tcW w:type="dxa" w:w="1700"/>
            <w:tcBorders>
              <w:top w:val="single" w:color="C5D9F0" w:sz="1"/>
              <w:left w:val="single" w:color="C5D9F0" w:sz="1"/>
              <w:bottom w:val="single" w:color="C5D9F0" w:sz="1"/>
              <w:right w:val="single" w:color="C5D9F0" w:sz="1"/>
            </w:tcBorders>
            <w:shd w:fill="F5F0FA" w:val="clear"/>
            <w:vAlign w:val="center"/>
          </w:tcPr>
          <w:p>
            <w:pPr>
              <w:spacing w:after="60" w:before="60"/>
              <w:jc w:val="left"/>
            </w:pPr>
            <w:r>
              <w:rPr>
                <w:rFonts w:ascii="Calibri" w:cs="Calibri" w:eastAsia="Calibri" w:hAnsi="Calibri"/>
                <w:b/>
                <w:bCs/>
                <w:color w:val="4B2E83"/>
                <w:sz w:val="20"/>
                <w:szCs w:val="20"/>
              </w:rPr>
              <w:t xml:space="preserve">NO DATASET EVIDENCE</w:t>
            </w:r>
          </w:p>
        </w:tc>
        <w:tc>
          <w:tcPr>
            <w:tcW w:type="dxa" w:w="2000"/>
            <w:tcBorders>
              <w:top w:val="single" w:color="C5D9F0" w:sz="1"/>
              <w:left w:val="single" w:color="C5D9F0" w:sz="1"/>
              <w:bottom w:val="single" w:color="C5D9F0" w:sz="1"/>
              <w:right w:val="single" w:color="C5D9F0" w:sz="1"/>
            </w:tcBorders>
            <w:shd w:fill="F5F0FA" w:val="clear"/>
            <w:vAlign w:val="center"/>
          </w:tcPr>
          <w:p>
            <w:pPr>
              <w:spacing w:after="60" w:before="60"/>
              <w:jc w:val="left"/>
            </w:pPr>
            <w:r>
              <w:rPr>
                <w:rFonts w:ascii="Calibri" w:cs="Calibri" w:eastAsia="Calibri" w:hAnsi="Calibri"/>
                <w:b w:val="false"/>
                <w:bCs w:val="false"/>
                <w:color w:val="222222"/>
                <w:sz w:val="20"/>
                <w:szCs w:val="20"/>
              </w:rPr>
              <w:t xml:space="preserve">NDE</w:t>
            </w:r>
          </w:p>
        </w:tc>
        <w:tc>
          <w:tcPr>
            <w:tcW w:type="dxa" w:w="2500"/>
            <w:tcBorders>
              <w:top w:val="single" w:color="C5D9F0" w:sz="1"/>
              <w:left w:val="single" w:color="C5D9F0" w:sz="1"/>
              <w:bottom w:val="single" w:color="C5D9F0" w:sz="1"/>
              <w:right w:val="single" w:color="C5D9F0" w:sz="1"/>
            </w:tcBorders>
            <w:shd w:fill="F5F0FA" w:val="clear"/>
            <w:vAlign w:val="top"/>
          </w:tcPr>
          <w:p>
            <w:pPr>
              <w:spacing w:after="60" w:before="60"/>
            </w:pPr>
            <w:r>
              <w:rPr>
                <w:rFonts w:ascii="Calibri" w:cs="Calibri" w:eastAsia="Calibri" w:hAnsi="Calibri"/>
                <w:sz w:val="20"/>
                <w:szCs w:val="20"/>
              </w:rPr>
              <w:t xml:space="preserve">A claim supported only by external Quick Research outputs and not corroborated by any observation in fra_cleaned.csv. The internal dataset provides no direct evidence.</w:t>
            </w:r>
          </w:p>
        </w:tc>
        <w:tc>
          <w:tcPr>
            <w:tcW w:type="dxa" w:w="2500"/>
            <w:tcBorders>
              <w:top w:val="single" w:color="C5D9F0" w:sz="1"/>
              <w:left w:val="single" w:color="C5D9F0" w:sz="1"/>
              <w:bottom w:val="single" w:color="C5D9F0" w:sz="1"/>
              <w:right w:val="single" w:color="C5D9F0" w:sz="1"/>
            </w:tcBorders>
            <w:shd w:fill="F5F0FA" w:val="clear"/>
            <w:vAlign w:val="top"/>
          </w:tcPr>
          <w:p>
            <w:pPr>
              <w:spacing w:after="60" w:before="60"/>
            </w:pPr>
            <w:r>
              <w:rPr>
                <w:rFonts w:ascii="Calibri" w:cs="Calibri" w:eastAsia="Calibri" w:hAnsi="Calibri"/>
                <w:sz w:val="20"/>
                <w:szCs w:val="20"/>
              </w:rPr>
              <w:t xml:space="preserve">Variable confidence depending on source quality. Should be clearly flagged and cross-referenced where possible.</w:t>
            </w:r>
          </w:p>
        </w:tc>
      </w:tr>
    </w:tbl>
    <w:p>
      <w:pPr>
        <w:spacing w:after="60" w:before="60"/>
      </w:pPr>
      <w:r>
        <w:t xml:space="preserve"/>
      </w:r>
    </w:p>
    <w:p>
      <w:pPr>
        <w:pStyle w:val="Heading2"/>
      </w:pPr>
      <w:r>
        <w:t xml:space="preserve">6.1 Application of Evidence Standards</w:t>
      </w:r>
    </w:p>
    <w:p>
      <w:pPr>
        <w:pStyle w:val="BodyText"/>
      </w:pPr>
      <w:r>
        <w:t xml:space="preserve">The following examples illustrate how the evidence standard framework is applied: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300"/>
        <w:gridCol w:w="3200"/>
      </w:tblGrid>
      <w:tr>
        <w:trPr>
          <w:tblHeader/>
        </w:trPr>
        <w:tc>
          <w:tcPr>
            <w:tcW w:type="dxa" w:w="20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Claim</w:t>
            </w:r>
          </w:p>
        </w:tc>
        <w:tc>
          <w:tcPr>
            <w:tcW w:type="dxa" w:w="32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Evidence Basis</w:t>
            </w:r>
          </w:p>
        </w:tc>
        <w:tc>
          <w:tcPr>
            <w:tcW w:type="dxa" w:w="13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Classification</w:t>
            </w:r>
          </w:p>
        </w:tc>
        <w:tc>
          <w:tcPr>
            <w:tcW w:type="dxa" w:w="32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Why</w:t>
            </w:r>
          </w:p>
        </w:tc>
      </w:tr>
      <w:tr>
        <w:tc>
          <w:tcPr>
            <w:tcW w:type="dxa" w:w="20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val="false"/>
                <w:bCs w:val="false"/>
                <w:color w:val="222222"/>
                <w:sz w:val="20"/>
                <w:szCs w:val="20"/>
              </w:rPr>
              <w:t xml:space="preserve">Puig completed an IPO on the Barcelona Stock Exchange in May 2024 valued at approximately €14 billion</w:t>
            </w:r>
          </w:p>
        </w:tc>
        <w:tc>
          <w:tcPr>
            <w:tcW w:type="dxa" w:w="32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val="false"/>
                <w:bCs w:val="false"/>
                <w:color w:val="222222"/>
                <w:sz w:val="20"/>
                <w:szCs w:val="20"/>
              </w:rPr>
              <w:t xml:space="preserve">Puig investor relations documents and multiple financial news sources</w:t>
            </w:r>
          </w:p>
        </w:tc>
        <w:tc>
          <w:tcPr>
            <w:tcW w:type="dxa" w:w="1300"/>
            <w:tcBorders>
              <w:top w:val="single" w:color="C5D9F0" w:sz="1"/>
              <w:left w:val="single" w:color="C5D9F0" w:sz="1"/>
              <w:bottom w:val="single" w:color="C5D9F0" w:sz="1"/>
              <w:right w:val="single" w:color="C5D9F0" w:sz="1"/>
            </w:tcBorders>
            <w:shd w:fill="EBF3FB" w:val="clear"/>
            <w:vAlign w:val="center"/>
          </w:tcPr>
          <w:p>
            <w:pPr>
              <w:spacing w:after="60" w:before="60"/>
              <w:jc w:val="center"/>
            </w:pPr>
            <w:r>
              <w:rPr>
                <w:rFonts w:ascii="Calibri" w:cs="Calibri" w:eastAsia="Calibri" w:hAnsi="Calibri"/>
                <w:b/>
                <w:bCs/>
                <w:color w:val="1C3557"/>
                <w:sz w:val="20"/>
                <w:szCs w:val="20"/>
              </w:rPr>
              <w:t xml:space="preserve">VERIFIED FACT</w:t>
            </w:r>
          </w:p>
        </w:tc>
        <w:tc>
          <w:tcPr>
            <w:tcW w:type="dxa" w:w="3200"/>
            <w:tcBorders>
              <w:top w:val="single" w:color="C5D9F0" w:sz="1"/>
              <w:left w:val="single" w:color="C5D9F0" w:sz="1"/>
              <w:bottom w:val="single" w:color="C5D9F0" w:sz="1"/>
              <w:right w:val="single" w:color="C5D9F0" w:sz="1"/>
            </w:tcBorders>
            <w:shd w:fill="EBF3FB" w:val="clear"/>
            <w:vAlign w:val="center"/>
          </w:tcPr>
          <w:p>
            <w:pPr>
              <w:spacing w:after="60" w:before="60"/>
              <w:jc w:val="left"/>
            </w:pPr>
            <w:r>
              <w:rPr>
                <w:rFonts w:ascii="Calibri" w:cs="Calibri" w:eastAsia="Calibri" w:hAnsi="Calibri"/>
                <w:b w:val="false"/>
                <w:bCs w:val="false"/>
                <w:color w:val="222222"/>
                <w:sz w:val="20"/>
                <w:szCs w:val="20"/>
              </w:rPr>
              <w:t xml:space="preserve">Company-originated, publicly disclosed event; no material inference required</w:t>
            </w:r>
          </w:p>
        </w:tc>
      </w:tr>
      <w:tr>
        <w:tc>
          <w:tcPr>
            <w:tcW w:type="dxa" w:w="20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Unisex fragrances represented 41.5% of the 41-product dataset sample</w:t>
            </w:r>
          </w:p>
        </w:tc>
        <w:tc>
          <w:tcPr>
            <w:tcW w:type="dxa" w:w="32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Direct count from fra_cleaned.csv: 17 of 41 records are classified as unisex</w:t>
            </w:r>
          </w:p>
        </w:tc>
        <w:tc>
          <w:tcPr>
            <w:tcW w:type="dxa" w:w="1300"/>
            <w:tcBorders>
              <w:top w:val="single" w:color="C5D9F0" w:sz="1"/>
              <w:left w:val="single" w:color="C5D9F0" w:sz="1"/>
              <w:bottom w:val="single" w:color="C5D9F0" w:sz="1"/>
              <w:right w:val="single" w:color="C5D9F0" w:sz="1"/>
            </w:tcBorders>
            <w:shd w:fill="FFFFFF" w:val="clear"/>
            <w:vAlign w:val="center"/>
          </w:tcPr>
          <w:p>
            <w:pPr>
              <w:spacing w:after="60" w:before="60"/>
              <w:jc w:val="center"/>
            </w:pPr>
            <w:r>
              <w:rPr>
                <w:rFonts w:ascii="Calibri" w:cs="Calibri" w:eastAsia="Calibri" w:hAnsi="Calibri"/>
                <w:b/>
                <w:bCs/>
                <w:color w:val="1C3557"/>
                <w:sz w:val="20"/>
                <w:szCs w:val="20"/>
              </w:rPr>
              <w:t xml:space="preserve">VERIFIED FACT</w:t>
            </w:r>
          </w:p>
        </w:tc>
        <w:tc>
          <w:tcPr>
            <w:tcW w:type="dxa" w:w="32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Direct observation from internal dataset; no inference required</w:t>
            </w:r>
          </w:p>
        </w:tc>
      </w:tr>
      <w:tr>
        <w:tc>
          <w:tcPr>
            <w:tcW w:type="dxa" w:w="2000"/>
            <w:tcBorders>
              <w:top w:val="single" w:color="C5D9F0" w:sz="1"/>
              <w:left w:val="single" w:color="C5D9F0" w:sz="1"/>
              <w:bottom w:val="single" w:color="C5D9F0" w:sz="1"/>
              <w:right w:val="single" w:color="C5D9F0" w:sz="1"/>
            </w:tcBorders>
            <w:shd w:fill="FFF8E7" w:val="clear"/>
            <w:vAlign w:val="center"/>
          </w:tcPr>
          <w:p>
            <w:pPr>
              <w:spacing w:after="60" w:before="60"/>
              <w:jc w:val="left"/>
            </w:pPr>
            <w:r>
              <w:rPr>
                <w:rFonts w:ascii="Calibri" w:cs="Calibri" w:eastAsia="Calibri" w:hAnsi="Calibri"/>
                <w:b w:val="false"/>
                <w:bCs w:val="false"/>
                <w:color w:val="222222"/>
                <w:sz w:val="20"/>
                <w:szCs w:val="20"/>
              </w:rPr>
              <w:t xml:space="preserve">Distribution and brand heritage matter more than product quality in driving market reach</w:t>
            </w:r>
          </w:p>
        </w:tc>
        <w:tc>
          <w:tcPr>
            <w:tcW w:type="dxa" w:w="3200"/>
            <w:tcBorders>
              <w:top w:val="single" w:color="C5D9F0" w:sz="1"/>
              <w:left w:val="single" w:color="C5D9F0" w:sz="1"/>
              <w:bottom w:val="single" w:color="C5D9F0" w:sz="1"/>
              <w:right w:val="single" w:color="C5D9F0" w:sz="1"/>
            </w:tcBorders>
            <w:shd w:fill="FFF8E7" w:val="clear"/>
            <w:vAlign w:val="center"/>
          </w:tcPr>
          <w:p>
            <w:pPr>
              <w:spacing w:after="60" w:before="60"/>
              <w:jc w:val="left"/>
            </w:pPr>
            <w:r>
              <w:rPr>
                <w:rFonts w:ascii="Calibri" w:cs="Calibri" w:eastAsia="Calibri" w:hAnsi="Calibri"/>
                <w:b w:val="false"/>
                <w:bCs w:val="false"/>
                <w:color w:val="222222"/>
                <w:sz w:val="20"/>
                <w:szCs w:val="20"/>
              </w:rPr>
              <w:t xml:space="preserve">High-rated niche fragrances in dataset show 300x engagement variance (55–16,654 ratings); established brands achieve higher engagement at similar rating levels</w:t>
            </w:r>
          </w:p>
        </w:tc>
        <w:tc>
          <w:tcPr>
            <w:tcW w:type="dxa" w:w="1300"/>
            <w:tcBorders>
              <w:top w:val="single" w:color="C5D9F0" w:sz="1"/>
              <w:left w:val="single" w:color="C5D9F0" w:sz="1"/>
              <w:bottom w:val="single" w:color="C5D9F0" w:sz="1"/>
              <w:right w:val="single" w:color="C5D9F0" w:sz="1"/>
            </w:tcBorders>
            <w:shd w:fill="FFF8E7" w:val="clear"/>
            <w:vAlign w:val="center"/>
          </w:tcPr>
          <w:p>
            <w:pPr>
              <w:spacing w:after="60" w:before="60"/>
              <w:jc w:val="center"/>
            </w:pPr>
            <w:r>
              <w:rPr>
                <w:rFonts w:ascii="Calibri" w:cs="Calibri" w:eastAsia="Calibri" w:hAnsi="Calibri"/>
                <w:b/>
                <w:bCs/>
                <w:color w:val="7A5900"/>
                <w:sz w:val="20"/>
                <w:szCs w:val="20"/>
              </w:rPr>
              <w:t xml:space="preserve">INFERENCE</w:t>
            </w:r>
          </w:p>
        </w:tc>
        <w:tc>
          <w:tcPr>
            <w:tcW w:type="dxa" w:w="3200"/>
            <w:tcBorders>
              <w:top w:val="single" w:color="C5D9F0" w:sz="1"/>
              <w:left w:val="single" w:color="C5D9F0" w:sz="1"/>
              <w:bottom w:val="single" w:color="C5D9F0" w:sz="1"/>
              <w:right w:val="single" w:color="C5D9F0" w:sz="1"/>
            </w:tcBorders>
            <w:shd w:fill="FFF8E7" w:val="clear"/>
            <w:vAlign w:val="center"/>
          </w:tcPr>
          <w:p>
            <w:pPr>
              <w:spacing w:after="60" w:before="60"/>
              <w:jc w:val="left"/>
            </w:pPr>
            <w:r>
              <w:rPr>
                <w:rFonts w:ascii="Calibri" w:cs="Calibri" w:eastAsia="Calibri" w:hAnsi="Calibri"/>
                <w:b w:val="false"/>
                <w:bCs w:val="false"/>
                <w:color w:val="222222"/>
                <w:sz w:val="20"/>
                <w:szCs w:val="20"/>
              </w:rPr>
              <w:t xml:space="preserve">Observation (engagement variance) is real; the attribution to distribution vs. quality requires an assumption that ratings are comparable across brands</w:t>
            </w:r>
          </w:p>
        </w:tc>
      </w:tr>
      <w:tr>
        <w:tc>
          <w:tcPr>
            <w:tcW w:type="dxa" w:w="2000"/>
            <w:tcBorders>
              <w:top w:val="single" w:color="C5D9F0" w:sz="1"/>
              <w:left w:val="single" w:color="C5D9F0" w:sz="1"/>
              <w:bottom w:val="single" w:color="C5D9F0" w:sz="1"/>
              <w:right w:val="single" w:color="C5D9F0" w:sz="1"/>
            </w:tcBorders>
            <w:shd w:fill="FEF0EF" w:val="clear"/>
            <w:vAlign w:val="center"/>
          </w:tcPr>
          <w:p>
            <w:pPr>
              <w:spacing w:after="60" w:before="60"/>
              <w:jc w:val="left"/>
            </w:pPr>
            <w:r>
              <w:rPr>
                <w:rFonts w:ascii="Calibri" w:cs="Calibri" w:eastAsia="Calibri" w:hAnsi="Calibri"/>
                <w:b w:val="false"/>
                <w:bCs w:val="false"/>
                <w:color w:val="222222"/>
                <w:sz w:val="20"/>
                <w:szCs w:val="20"/>
              </w:rPr>
              <w:t xml:space="preserve">India fragrance market growing at 10–15% CAGR through 2029</w:t>
            </w:r>
          </w:p>
        </w:tc>
        <w:tc>
          <w:tcPr>
            <w:tcW w:type="dxa" w:w="3200"/>
            <w:tcBorders>
              <w:top w:val="single" w:color="C5D9F0" w:sz="1"/>
              <w:left w:val="single" w:color="C5D9F0" w:sz="1"/>
              <w:bottom w:val="single" w:color="C5D9F0" w:sz="1"/>
              <w:right w:val="single" w:color="C5D9F0" w:sz="1"/>
            </w:tcBorders>
            <w:shd w:fill="FEF0EF" w:val="clear"/>
            <w:vAlign w:val="center"/>
          </w:tcPr>
          <w:p>
            <w:pPr>
              <w:spacing w:after="60" w:before="60"/>
              <w:jc w:val="left"/>
            </w:pPr>
            <w:r>
              <w:rPr>
                <w:rFonts w:ascii="Calibri" w:cs="Calibri" w:eastAsia="Calibri" w:hAnsi="Calibri"/>
                <w:b w:val="false"/>
                <w:bCs w:val="false"/>
                <w:color w:val="222222"/>
                <w:sz w:val="20"/>
                <w:szCs w:val="20"/>
              </w:rPr>
              <w:t xml:space="preserve">Multiple external market research firms including Mordor Intelligence and Allied Market Research</w:t>
            </w:r>
          </w:p>
        </w:tc>
        <w:tc>
          <w:tcPr>
            <w:tcW w:type="dxa" w:w="1300"/>
            <w:tcBorders>
              <w:top w:val="single" w:color="C5D9F0" w:sz="1"/>
              <w:left w:val="single" w:color="C5D9F0" w:sz="1"/>
              <w:bottom w:val="single" w:color="C5D9F0" w:sz="1"/>
              <w:right w:val="single" w:color="C5D9F0" w:sz="1"/>
            </w:tcBorders>
            <w:shd w:fill="FEF0EF" w:val="clear"/>
            <w:vAlign w:val="center"/>
          </w:tcPr>
          <w:p>
            <w:pPr>
              <w:spacing w:after="60" w:before="60"/>
              <w:jc w:val="center"/>
            </w:pPr>
            <w:r>
              <w:rPr>
                <w:rFonts w:ascii="Calibri" w:cs="Calibri" w:eastAsia="Calibri" w:hAnsi="Calibri"/>
                <w:b/>
                <w:bCs/>
                <w:color w:val="8B1C1C"/>
                <w:sz w:val="20"/>
                <w:szCs w:val="20"/>
              </w:rPr>
              <w:t xml:space="preserve">ANALYST INTERPRETATION</w:t>
            </w:r>
          </w:p>
        </w:tc>
        <w:tc>
          <w:tcPr>
            <w:tcW w:type="dxa" w:w="3200"/>
            <w:tcBorders>
              <w:top w:val="single" w:color="C5D9F0" w:sz="1"/>
              <w:left w:val="single" w:color="C5D9F0" w:sz="1"/>
              <w:bottom w:val="single" w:color="C5D9F0" w:sz="1"/>
              <w:right w:val="single" w:color="C5D9F0" w:sz="1"/>
            </w:tcBorders>
            <w:shd w:fill="FEF0EF" w:val="clear"/>
            <w:vAlign w:val="center"/>
          </w:tcPr>
          <w:p>
            <w:pPr>
              <w:spacing w:after="60" w:before="60"/>
              <w:jc w:val="left"/>
            </w:pPr>
            <w:r>
              <w:rPr>
                <w:rFonts w:ascii="Calibri" w:cs="Calibri" w:eastAsia="Calibri" w:hAnsi="Calibri"/>
                <w:b w:val="false"/>
                <w:bCs w:val="false"/>
                <w:color w:val="222222"/>
                <w:sz w:val="20"/>
                <w:szCs w:val="20"/>
              </w:rPr>
              <w:t xml:space="preserve">Forecast produced by research firms; methodology is opaque; no internal dataset corroboration possible</w:t>
            </w:r>
          </w:p>
        </w:tc>
      </w:tr>
      <w:tr>
        <w:tc>
          <w:tcPr>
            <w:tcW w:type="dxa" w:w="2000"/>
            <w:tcBorders>
              <w:top w:val="single" w:color="C5D9F0" w:sz="1"/>
              <w:left w:val="single" w:color="C5D9F0" w:sz="1"/>
              <w:bottom w:val="single" w:color="C5D9F0" w:sz="1"/>
              <w:right w:val="single" w:color="C5D9F0" w:sz="1"/>
            </w:tcBorders>
            <w:shd w:fill="F5F0FA" w:val="clear"/>
            <w:vAlign w:val="center"/>
          </w:tcPr>
          <w:p>
            <w:pPr>
              <w:spacing w:after="60" w:before="60"/>
              <w:jc w:val="left"/>
            </w:pPr>
            <w:r>
              <w:rPr>
                <w:rFonts w:ascii="Calibri" w:cs="Calibri" w:eastAsia="Calibri" w:hAnsi="Calibri"/>
                <w:b w:val="false"/>
                <w:bCs w:val="false"/>
                <w:color w:val="222222"/>
                <w:sz w:val="20"/>
                <w:szCs w:val="20"/>
              </w:rPr>
              <w:t xml:space="preserve">#PerfumeTok has accumulated over 10 billion TikTok views</w:t>
            </w:r>
          </w:p>
        </w:tc>
        <w:tc>
          <w:tcPr>
            <w:tcW w:type="dxa" w:w="3200"/>
            <w:tcBorders>
              <w:top w:val="single" w:color="C5D9F0" w:sz="1"/>
              <w:left w:val="single" w:color="C5D9F0" w:sz="1"/>
              <w:bottom w:val="single" w:color="C5D9F0" w:sz="1"/>
              <w:right w:val="single" w:color="C5D9F0" w:sz="1"/>
            </w:tcBorders>
            <w:shd w:fill="F5F0FA" w:val="clear"/>
            <w:vAlign w:val="center"/>
          </w:tcPr>
          <w:p>
            <w:pPr>
              <w:spacing w:after="60" w:before="60"/>
              <w:jc w:val="left"/>
            </w:pPr>
            <w:r>
              <w:rPr>
                <w:rFonts w:ascii="Calibri" w:cs="Calibri" w:eastAsia="Calibri" w:hAnsi="Calibri"/>
                <w:b w:val="false"/>
                <w:bCs w:val="false"/>
                <w:color w:val="222222"/>
                <w:sz w:val="20"/>
                <w:szCs w:val="20"/>
              </w:rPr>
              <w:t xml:space="preserve">Widely reported in industry press and Quick Research outputs; no internal dataset data on social media</w:t>
            </w:r>
          </w:p>
        </w:tc>
        <w:tc>
          <w:tcPr>
            <w:tcW w:type="dxa" w:w="1300"/>
            <w:tcBorders>
              <w:top w:val="single" w:color="C5D9F0" w:sz="1"/>
              <w:left w:val="single" w:color="C5D9F0" w:sz="1"/>
              <w:bottom w:val="single" w:color="C5D9F0" w:sz="1"/>
              <w:right w:val="single" w:color="C5D9F0" w:sz="1"/>
            </w:tcBorders>
            <w:shd w:fill="F5F0FA" w:val="clear"/>
            <w:vAlign w:val="center"/>
          </w:tcPr>
          <w:p>
            <w:pPr>
              <w:spacing w:after="60" w:before="60"/>
              <w:jc w:val="center"/>
            </w:pPr>
            <w:r>
              <w:rPr>
                <w:rFonts w:ascii="Calibri" w:cs="Calibri" w:eastAsia="Calibri" w:hAnsi="Calibri"/>
                <w:b/>
                <w:bCs/>
                <w:color w:val="4B2E83"/>
                <w:sz w:val="20"/>
                <w:szCs w:val="20"/>
              </w:rPr>
              <w:t xml:space="preserve">NO DATASET EVIDENCE</w:t>
            </w:r>
          </w:p>
        </w:tc>
        <w:tc>
          <w:tcPr>
            <w:tcW w:type="dxa" w:w="3200"/>
            <w:tcBorders>
              <w:top w:val="single" w:color="C5D9F0" w:sz="1"/>
              <w:left w:val="single" w:color="C5D9F0" w:sz="1"/>
              <w:bottom w:val="single" w:color="C5D9F0" w:sz="1"/>
              <w:right w:val="single" w:color="C5D9F0" w:sz="1"/>
            </w:tcBorders>
            <w:shd w:fill="F5F0FA" w:val="clear"/>
            <w:vAlign w:val="center"/>
          </w:tcPr>
          <w:p>
            <w:pPr>
              <w:spacing w:after="60" w:before="60"/>
              <w:jc w:val="left"/>
            </w:pPr>
            <w:r>
              <w:rPr>
                <w:rFonts w:ascii="Calibri" w:cs="Calibri" w:eastAsia="Calibri" w:hAnsi="Calibri"/>
                <w:b w:val="false"/>
                <w:bCs w:val="false"/>
                <w:color w:val="222222"/>
                <w:sz w:val="20"/>
                <w:szCs w:val="20"/>
              </w:rPr>
              <w:t xml:space="preserve">Internal dataset contains no social media, viral, or marketing data; claim rests entirely on external sources</w:t>
            </w:r>
          </w:p>
        </w:tc>
      </w:tr>
    </w:tbl>
    <w:p>
      <w:pPr>
        <w:spacing w:after="60" w:before="60"/>
      </w:pPr>
      <w:r>
        <w:t xml:space="preserve"/>
      </w:r>
    </w:p>
    <w:p>
      <w:pPr>
        <w:pStyle w:val="BodyText"/>
      </w:pPr>
      <w:r>
        <w:t xml:space="preserve">Note on compounded inferences: Several strategic conclusions in the Market Analysis are INFERENCE built on earlier INFERENCE or ANALYST INTERPRETATION. Where this compounding occurs, the confidence level is explicitly reduced in the analysis. No VERIFIED FACT claim is built on an underlying ANALYST INTERPRETATION.</w:t>
      </w:r>
    </w:p>
    <w:p>
      <w:pPr>
        <w:pStyle w:val="Heading1"/>
      </w:pPr>
      <w:r>
        <w:t xml:space="preserve">7. Research Constraints</w:t>
      </w:r>
    </w:p>
    <w:p>
      <w:pPr>
        <w:pStyle w:val="BodyText"/>
      </w:pPr>
      <w:r>
        <w:t xml:space="preserve">The constraints below represent genuine limits of the available evidence. They are not deficiencies of the analytical process; they are structural features of the data sources. Decisions made on the basis of this research should account for these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900"/>
        <w:gridCol w:w="2700"/>
      </w:tblGrid>
      <w:tr>
        <w:trPr>
          <w:tblHeader/>
        </w:trPr>
        <w:tc>
          <w:tcPr>
            <w:tcW w:type="dxa" w:w="20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Data Gap</w:t>
            </w:r>
          </w:p>
        </w:tc>
        <w:tc>
          <w:tcPr>
            <w:tcW w:type="dxa" w:w="21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What Is Missing</w:t>
            </w:r>
          </w:p>
        </w:tc>
        <w:tc>
          <w:tcPr>
            <w:tcW w:type="dxa" w:w="19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Why It Matters</w:t>
            </w:r>
          </w:p>
        </w:tc>
        <w:tc>
          <w:tcPr>
            <w:tcW w:type="dxa" w:w="27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Analytical Impact</w:t>
            </w:r>
          </w:p>
        </w:tc>
      </w:tr>
      <w:tr>
        <w:tc>
          <w:tcPr>
            <w:tcW w:type="dxa" w:w="20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bCs/>
                <w:color w:val="222222"/>
                <w:sz w:val="20"/>
                <w:szCs w:val="20"/>
              </w:rPr>
              <w:t xml:space="preserve">Retail Price</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No retail price per SKU in dataset</w:t>
            </w:r>
          </w:p>
        </w:tc>
        <w:tc>
          <w:tcPr>
            <w:tcW w:type="dxa" w:w="19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Cannot segment by price tier</w:t>
            </w:r>
          </w:p>
        </w:tc>
        <w:tc>
          <w:tcPr>
            <w:tcW w:type="dxa" w:w="27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Premiumization analysis relies entirely on external estimates; price-quality relationships cannot be modelled from internal data</w:t>
            </w:r>
          </w:p>
        </w:tc>
      </w:tr>
      <w:tr>
        <w:tc>
          <w:tcPr>
            <w:tcW w:type="dxa" w:w="20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Sales Volume</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Rating_Count is community engagement, not units sold</w:t>
            </w:r>
          </w:p>
        </w:tc>
        <w:tc>
          <w:tcPr>
            <w:tcW w:type="dxa" w:w="19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Cannot assess commercial success</w:t>
            </w:r>
          </w:p>
        </w:tc>
        <w:tc>
          <w:tcPr>
            <w:tcW w:type="dxa" w:w="27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High-rated products with low engagement may be commercially successful or commercially marginal; data cannot distinguish</w:t>
            </w:r>
          </w:p>
        </w:tc>
      </w:tr>
      <w:tr>
        <w:tc>
          <w:tcPr>
            <w:tcW w:type="dxa" w:w="20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bCs/>
                <w:color w:val="222222"/>
                <w:sz w:val="20"/>
                <w:szCs w:val="20"/>
              </w:rPr>
              <w:t xml:space="preserve">Market Share</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No revenue or volume figures by brand or segment</w:t>
            </w:r>
          </w:p>
        </w:tc>
        <w:tc>
          <w:tcPr>
            <w:tcW w:type="dxa" w:w="19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Core competitive metric unavailable</w:t>
            </w:r>
          </w:p>
        </w:tc>
        <w:tc>
          <w:tcPr>
            <w:tcW w:type="dxa" w:w="27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Cannot quantify any brand's share of the global, regional, or segment market; any share estimate is NO DATASET EVIDENCE</w:t>
            </w:r>
          </w:p>
        </w:tc>
      </w:tr>
      <w:tr>
        <w:tc>
          <w:tcPr>
            <w:tcW w:type="dxa" w:w="20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Distribution Channel</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No channel information per product</w:t>
            </w:r>
          </w:p>
        </w:tc>
        <w:tc>
          <w:tcPr>
            <w:tcW w:type="dxa" w:w="19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Cannot distinguish online vs. retail strategy</w:t>
            </w:r>
          </w:p>
        </w:tc>
        <w:tc>
          <w:tcPr>
            <w:tcW w:type="dxa" w:w="27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DTC, e-commerce, and specialty retail claims are entirely externally sourced; dataset cannot validate or contradict</w:t>
            </w:r>
          </w:p>
        </w:tc>
      </w:tr>
      <w:tr>
        <w:tc>
          <w:tcPr>
            <w:tcW w:type="dxa" w:w="20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bCs/>
                <w:color w:val="222222"/>
                <w:sz w:val="20"/>
                <w:szCs w:val="20"/>
              </w:rPr>
              <w:t xml:space="preserve">Concentration / Format</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EDT, EDP, Extrait, Parfum not specified in most records</w:t>
            </w:r>
          </w:p>
        </w:tc>
        <w:tc>
          <w:tcPr>
            <w:tcW w:type="dxa" w:w="19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Cannot analyse format strategy</w:t>
            </w:r>
          </w:p>
        </w:tc>
        <w:tc>
          <w:tcPr>
            <w:tcW w:type="dxa" w:w="27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Discovery sets, travel sizes, and format premiumisation are externally documented but not observable in dataset</w:t>
            </w:r>
          </w:p>
        </w:tc>
      </w:tr>
      <w:tr>
        <w:tc>
          <w:tcPr>
            <w:tcW w:type="dxa" w:w="20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Community Representativeness</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Fragrantica audience skews toward engaged fragrance enthusiasts and collectors</w:t>
            </w:r>
          </w:p>
        </w:tc>
        <w:tc>
          <w:tcPr>
            <w:tcW w:type="dxa" w:w="19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Dataset may not reflect mass-market consumer preferences</w:t>
            </w:r>
          </w:p>
        </w:tc>
        <w:tc>
          <w:tcPr>
            <w:tcW w:type="dxa" w:w="27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Niche and artisanal brands may be over-represented relative to their commercial scale; mass-market brands may be under-rated</w:t>
            </w:r>
          </w:p>
        </w:tc>
      </w:tr>
      <w:tr>
        <w:tc>
          <w:tcPr>
            <w:tcW w:type="dxa" w:w="20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bCs/>
                <w:color w:val="222222"/>
                <w:sz w:val="20"/>
                <w:szCs w:val="20"/>
              </w:rPr>
              <w:t xml:space="preserve">Geographic Sales by Region</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Country field = brand origin, not sales geography</w:t>
            </w:r>
          </w:p>
        </w:tc>
        <w:tc>
          <w:tcPr>
            <w:tcW w:type="dxa" w:w="19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Cannot attribute demand by region</w:t>
            </w:r>
          </w:p>
        </w:tc>
        <w:tc>
          <w:tcPr>
            <w:tcW w:type="dxa" w:w="27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All regional market sizing (India CAGR, Asia-Pacific growth) is NO DATASET EVIDENCE and relies on external analyst estimates</w:t>
            </w:r>
          </w:p>
        </w:tc>
      </w:tr>
      <w:tr>
        <w:tc>
          <w:tcPr>
            <w:tcW w:type="dxa" w:w="20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Demographic Data</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No age, income, or demographic attributes in dataset</w:t>
            </w:r>
          </w:p>
        </w:tc>
        <w:tc>
          <w:tcPr>
            <w:tcW w:type="dxa" w:w="19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Cannot validate consumer segment hypotheses</w:t>
            </w:r>
          </w:p>
        </w:tc>
        <w:tc>
          <w:tcPr>
            <w:tcW w:type="dxa" w:w="27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Gen Z preference claims, income-tier adoption patterns, and demographic shift conclusions are inferences or NO DATASET EVIDENCE</w:t>
            </w:r>
          </w:p>
        </w:tc>
      </w:tr>
      <w:tr>
        <w:tc>
          <w:tcPr>
            <w:tcW w:type="dxa" w:w="20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bCs/>
                <w:color w:val="222222"/>
                <w:sz w:val="20"/>
                <w:szCs w:val="20"/>
              </w:rPr>
              <w:t xml:space="preserve">Reformulation History</w:t>
            </w:r>
          </w:p>
        </w:tc>
        <w:tc>
          <w:tcPr>
            <w:tcW w:type="dxa" w:w="21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No version or batch history per product</w:t>
            </w:r>
          </w:p>
        </w:tc>
        <w:tc>
          <w:tcPr>
            <w:tcW w:type="dxa" w:w="19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Cannot track product evolution over time</w:t>
            </w:r>
          </w:p>
        </w:tc>
        <w:tc>
          <w:tcPr>
            <w:tcW w:type="dxa" w:w="2700"/>
            <w:tcBorders>
              <w:top w:val="single" w:color="C5D9F0" w:sz="1"/>
              <w:left w:val="single" w:color="C5D9F0" w:sz="1"/>
              <w:bottom w:val="single" w:color="C5D9F0" w:sz="1"/>
              <w:right w:val="single" w:color="C5D9F0" w:sz="1"/>
            </w:tcBorders>
            <w:shd w:fill="F7FAFD" w:val="clear"/>
            <w:vAlign w:val="center"/>
          </w:tcPr>
          <w:p>
            <w:pPr>
              <w:spacing w:after="60" w:before="60"/>
              <w:jc w:val="left"/>
            </w:pPr>
            <w:r>
              <w:rPr>
                <w:rFonts w:ascii="Calibri" w:cs="Calibri" w:eastAsia="Calibri" w:hAnsi="Calibri"/>
                <w:b w:val="false"/>
                <w:bCs w:val="false"/>
                <w:color w:val="222222"/>
                <w:sz w:val="20"/>
                <w:szCs w:val="20"/>
              </w:rPr>
              <w:t xml:space="preserve">Regulatory reformulation risk (e.g., lilial ban) is documented externally; dataset shows current state only, not trajectory</w:t>
            </w:r>
          </w:p>
        </w:tc>
      </w:tr>
      <w:tr>
        <w:tc>
          <w:tcPr>
            <w:tcW w:type="dxa" w:w="20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bCs/>
                <w:color w:val="222222"/>
                <w:sz w:val="20"/>
                <w:szCs w:val="20"/>
              </w:rPr>
              <w:t xml:space="preserve">Counterfeit Market</w:t>
            </w:r>
          </w:p>
        </w:tc>
        <w:tc>
          <w:tcPr>
            <w:tcW w:type="dxa" w:w="21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No counterfeit or grey-market data present</w:t>
            </w:r>
          </w:p>
        </w:tc>
        <w:tc>
          <w:tcPr>
            <w:tcW w:type="dxa" w:w="19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Cannot size illegitimate supply</w:t>
            </w:r>
          </w:p>
        </w:tc>
        <w:tc>
          <w:tcPr>
            <w:tcW w:type="dxa" w:w="2700"/>
            <w:tcBorders>
              <w:top w:val="single" w:color="C5D9F0" w:sz="1"/>
              <w:left w:val="single" w:color="C5D9F0" w:sz="1"/>
              <w:bottom w:val="single" w:color="C5D9F0" w:sz="1"/>
              <w:right w:val="single" w:color="C5D9F0" w:sz="1"/>
            </w:tcBorders>
            <w:shd w:fill="FFFFFF" w:val="clear"/>
            <w:vAlign w:val="center"/>
          </w:tcPr>
          <w:p>
            <w:pPr>
              <w:spacing w:after="60" w:before="60"/>
              <w:jc w:val="left"/>
            </w:pPr>
            <w:r>
              <w:rPr>
                <w:rFonts w:ascii="Calibri" w:cs="Calibri" w:eastAsia="Calibri" w:hAnsi="Calibri"/>
                <w:b w:val="false"/>
                <w:bCs w:val="false"/>
                <w:color w:val="222222"/>
                <w:sz w:val="20"/>
                <w:szCs w:val="20"/>
              </w:rPr>
              <w:t xml:space="preserve">Any counterfeit market estimate is NO DATASET EVIDENCE; competitive threat cannot be quantified from available sources</w:t>
            </w:r>
          </w:p>
        </w:tc>
      </w:tr>
    </w:tbl>
    <w:p>
      <w:pPr>
        <w:spacing w:after="60" w:before="60"/>
      </w:pPr>
      <w:r>
        <w:t xml:space="preserve"/>
      </w:r>
    </w:p>
    <w:p>
      <w:pPr>
        <w:pStyle w:val="Heading2"/>
      </w:pPr>
      <w:r>
        <w:t xml:space="preserve">7.1 Dataset Representativeness</w:t>
      </w:r>
    </w:p>
    <w:p>
      <w:pPr>
        <w:pStyle w:val="BodyText"/>
      </w:pPr>
      <w:r>
        <w:t xml:space="preserve">The fra_cleaned.csv dataset sourced from Fragrantica represents the preferences and engagement of an online fragrance community that skews toward enthusiasts, collectors, and people with above-average interest in fine fragrance. This audience is not representative of the mass-market consumer. Specific implications:</w:t>
      </w:r>
    </w:p>
    <w:p>
      <w:pPr>
        <w:pStyle w:val="ListParagraph"/>
        <w:numPr>
          <w:ilvl w:val="0"/>
          <w:numId w:val="2"/>
        </w:numPr>
      </w:pPr>
      <w:r>
        <w:rPr>
          <w:rFonts w:ascii="Calibri" w:cs="Calibri" w:eastAsia="Calibri" w:hAnsi="Calibri"/>
          <w:b w:val="false"/>
          <w:bCs w:val="false"/>
          <w:color w:val="222222"/>
          <w:sz w:val="22"/>
          <w:szCs w:val="22"/>
        </w:rPr>
        <w:t xml:space="preserve">Niche and artisanal brands are likely over-represented relative to their commercial scale</w:t>
      </w:r>
    </w:p>
    <w:p>
      <w:pPr>
        <w:pStyle w:val="ListParagraph"/>
        <w:numPr>
          <w:ilvl w:val="0"/>
          <w:numId w:val="2"/>
        </w:numPr>
      </w:pPr>
      <w:r>
        <w:rPr>
          <w:rFonts w:ascii="Calibri" w:cs="Calibri" w:eastAsia="Calibri" w:hAnsi="Calibri"/>
          <w:b w:val="false"/>
          <w:bCs w:val="false"/>
          <w:color w:val="222222"/>
          <w:sz w:val="22"/>
          <w:szCs w:val="22"/>
        </w:rPr>
        <w:t xml:space="preserve">Mass-market brands such as Avon, body mists, and drugstore fragrances are likely under-represented</w:t>
      </w:r>
    </w:p>
    <w:p>
      <w:pPr>
        <w:pStyle w:val="ListParagraph"/>
        <w:numPr>
          <w:ilvl w:val="0"/>
          <w:numId w:val="2"/>
        </w:numPr>
      </w:pPr>
      <w:r>
        <w:rPr>
          <w:rFonts w:ascii="Calibri" w:cs="Calibri" w:eastAsia="Calibri" w:hAnsi="Calibri"/>
          <w:b w:val="false"/>
          <w:bCs w:val="false"/>
          <w:color w:val="222222"/>
          <w:sz w:val="22"/>
          <w:szCs w:val="22"/>
        </w:rPr>
        <w:t xml:space="preserve">Rating distributions reflect enthusiast aesthetic preferences, not necessarily mainstream consumer satisfaction</w:t>
      </w:r>
    </w:p>
    <w:p>
      <w:pPr>
        <w:pStyle w:val="ListParagraph"/>
        <w:numPr>
          <w:ilvl w:val="0"/>
          <w:numId w:val="2"/>
        </w:numPr>
      </w:pPr>
      <w:r>
        <w:rPr>
          <w:rFonts w:ascii="Calibri" w:cs="Calibri" w:eastAsia="Calibri" w:hAnsi="Calibri"/>
          <w:b w:val="false"/>
          <w:bCs w:val="false"/>
          <w:color w:val="222222"/>
          <w:sz w:val="22"/>
          <w:szCs w:val="22"/>
        </w:rPr>
        <w:t xml:space="preserve">The 41-product sample used in direct analysis is a small subset of the full 24,063-record dataset; patterns observed in the sample may not persist at full scale</w:t>
      </w:r>
    </w:p>
    <w:p>
      <w:pPr>
        <w:pStyle w:val="Heading2"/>
      </w:pPr>
      <w:r>
        <w:t xml:space="preserve">7.2 External Research Limitations</w:t>
      </w:r>
    </w:p>
    <w:p>
      <w:pPr>
        <w:pStyle w:val="BodyText"/>
      </w:pPr>
      <w:r>
        <w:t xml:space="preserve">The four Quick Research outputs synthesise information from publicly available sources. They are subject to the following constraints:</w:t>
      </w:r>
    </w:p>
    <w:p>
      <w:pPr>
        <w:pStyle w:val="ListParagraph"/>
        <w:numPr>
          <w:ilvl w:val="0"/>
          <w:numId w:val="2"/>
        </w:numPr>
      </w:pPr>
      <w:r>
        <w:rPr>
          <w:rFonts w:ascii="Calibri" w:cs="Calibri" w:eastAsia="Calibri" w:hAnsi="Calibri"/>
          <w:b w:val="false"/>
          <w:bCs w:val="false"/>
          <w:color w:val="222222"/>
          <w:sz w:val="22"/>
          <w:szCs w:val="22"/>
        </w:rPr>
        <w:t xml:space="preserve">Market sizing estimates vary by $12B or more across research firms, reflecting scope definition differences rather than measurement errors</w:t>
      </w:r>
    </w:p>
    <w:p>
      <w:pPr>
        <w:pStyle w:val="ListParagraph"/>
        <w:numPr>
          <w:ilvl w:val="0"/>
          <w:numId w:val="2"/>
        </w:numPr>
      </w:pPr>
      <w:r>
        <w:rPr>
          <w:rFonts w:ascii="Calibri" w:cs="Calibri" w:eastAsia="Calibri" w:hAnsi="Calibri"/>
          <w:b w:val="false"/>
          <w:bCs w:val="false"/>
          <w:color w:val="222222"/>
          <w:sz w:val="22"/>
          <w:szCs w:val="22"/>
        </w:rPr>
        <w:t xml:space="preserve">Private company revenue figures (e.g., LVMH fragrance segment within broader division revenues) are estimated rather than independently audited</w:t>
      </w:r>
    </w:p>
    <w:p>
      <w:pPr>
        <w:pStyle w:val="ListParagraph"/>
        <w:numPr>
          <w:ilvl w:val="0"/>
          <w:numId w:val="2"/>
        </w:numPr>
      </w:pPr>
      <w:r>
        <w:rPr>
          <w:rFonts w:ascii="Calibri" w:cs="Calibri" w:eastAsia="Calibri" w:hAnsi="Calibri"/>
          <w:b w:val="false"/>
          <w:bCs w:val="false"/>
          <w:color w:val="222222"/>
          <w:sz w:val="22"/>
          <w:szCs w:val="22"/>
        </w:rPr>
        <w:t xml:space="preserve">Regional market data for India and Asia-Pacific is less well-documented than European and North American data; confidence intervals are wider</w:t>
      </w:r>
    </w:p>
    <w:p>
      <w:pPr>
        <w:pStyle w:val="ListParagraph"/>
        <w:numPr>
          <w:ilvl w:val="0"/>
          <w:numId w:val="2"/>
        </w:numPr>
      </w:pPr>
      <w:r>
        <w:rPr>
          <w:rFonts w:ascii="Calibri" w:cs="Calibri" w:eastAsia="Calibri" w:hAnsi="Calibri"/>
          <w:b w:val="false"/>
          <w:bCs w:val="false"/>
          <w:color w:val="222222"/>
          <w:sz w:val="22"/>
          <w:szCs w:val="22"/>
        </w:rPr>
        <w:t xml:space="preserve">TikTok engagement metrics, subscriber counts, and DTC revenue estimates are not independently verifiable and should be treated as indicative rather than precise</w:t>
      </w:r>
    </w:p>
    <w:p>
      <w:pPr>
        <w:pStyle w:val="ListParagraph"/>
        <w:numPr>
          <w:ilvl w:val="0"/>
          <w:numId w:val="2"/>
        </w:numPr>
      </w:pPr>
      <w:r>
        <w:rPr>
          <w:rFonts w:ascii="Calibri" w:cs="Calibri" w:eastAsia="Calibri" w:hAnsi="Calibri"/>
          <w:b w:val="false"/>
          <w:bCs w:val="false"/>
          <w:color w:val="222222"/>
          <w:sz w:val="22"/>
          <w:szCs w:val="22"/>
        </w:rPr>
        <w:t xml:space="preserve">Research was conducted in a defined time window; market signals may have evolved after the capture date</w:t>
      </w:r>
    </w:p>
    <w:p>
      <w:pPr>
        <w:pStyle w:val="Heading2"/>
      </w:pPr>
      <w:r>
        <w:t xml:space="preserve">7.3 Analytical Constraints</w:t>
      </w:r>
    </w:p>
    <w:p>
      <w:pPr>
        <w:pStyle w:val="BodyText"/>
      </w:pPr>
      <w:r>
        <w:t xml:space="preserve">The following analytical limitations apply regardless of data quality:</w:t>
      </w:r>
    </w:p>
    <w:p>
      <w:pPr>
        <w:pStyle w:val="ListParagraph"/>
        <w:numPr>
          <w:ilvl w:val="0"/>
          <w:numId w:val="2"/>
        </w:numPr>
      </w:pPr>
      <w:r>
        <w:rPr>
          <w:rFonts w:ascii="Calibri" w:cs="Calibri" w:eastAsia="Calibri" w:hAnsi="Calibri"/>
          <w:b w:val="false"/>
          <w:bCs w:val="false"/>
          <w:color w:val="222222"/>
          <w:sz w:val="22"/>
          <w:szCs w:val="22"/>
        </w:rPr>
        <w:t xml:space="preserve">Correlation is not causation: the prevalence of sweet accords in recent launches does not prove consumer demand caused the trend; it may reflect brand strategy decisions</w:t>
      </w:r>
    </w:p>
    <w:p>
      <w:pPr>
        <w:pStyle w:val="ListParagraph"/>
        <w:numPr>
          <w:ilvl w:val="0"/>
          <w:numId w:val="2"/>
        </w:numPr>
      </w:pPr>
      <w:r>
        <w:rPr>
          <w:rFonts w:ascii="Calibri" w:cs="Calibri" w:eastAsia="Calibri" w:hAnsi="Calibri"/>
          <w:b w:val="false"/>
          <w:bCs w:val="false"/>
          <w:color w:val="222222"/>
          <w:sz w:val="22"/>
          <w:szCs w:val="22"/>
        </w:rPr>
        <w:t xml:space="preserve">Engagement is not sales: rating count on Fragrantica is a community engagement metric; a product with 16,000 ratings may outsell a product with 55 ratings by a factor of 1,000, or may not</w:t>
      </w:r>
    </w:p>
    <w:p>
      <w:pPr>
        <w:pStyle w:val="ListParagraph"/>
        <w:numPr>
          <w:ilvl w:val="0"/>
          <w:numId w:val="2"/>
        </w:numPr>
      </w:pPr>
      <w:r>
        <w:rPr>
          <w:rFonts w:ascii="Calibri" w:cs="Calibri" w:eastAsia="Calibri" w:hAnsi="Calibri"/>
          <w:b w:val="false"/>
          <w:bCs w:val="false"/>
          <w:color w:val="222222"/>
          <w:sz w:val="22"/>
          <w:szCs w:val="22"/>
        </w:rPr>
        <w:t xml:space="preserve">Geographic origin is not geographic sales: a French brand does not necessarily generate the majority of its revenue in France</w:t>
      </w:r>
    </w:p>
    <w:p>
      <w:pPr>
        <w:pStyle w:val="ListParagraph"/>
        <w:numPr>
          <w:ilvl w:val="0"/>
          <w:numId w:val="2"/>
        </w:numPr>
      </w:pPr>
      <w:r>
        <w:rPr>
          <w:rFonts w:ascii="Calibri" w:cs="Calibri" w:eastAsia="Calibri" w:hAnsi="Calibri"/>
          <w:b w:val="false"/>
          <w:bCs w:val="false"/>
          <w:color w:val="222222"/>
          <w:sz w:val="22"/>
          <w:szCs w:val="22"/>
        </w:rPr>
        <w:t xml:space="preserve">Historical launch patterns do not guarantee future trend continuation; accord popularity and gender positioning trends could reverse</w:t>
      </w:r>
    </w:p>
    <w:p>
      <w:pPr>
        <w:pStyle w:val="Heading1"/>
      </w:pPr>
      <w:r>
        <w:t xml:space="preserve">Closing Statement: What This Research Can and Cannot Establish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300"/>
        <w:gridCol w:w="4400"/>
      </w:tblGrid>
      <w:tr>
        <w:trPr>
          <w:tblHeader/>
        </w:trPr>
        <w:tc>
          <w:tcPr>
            <w:tcW w:type="dxa" w:w="43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This Research CAN Establish</w:t>
            </w:r>
          </w:p>
        </w:tc>
        <w:tc>
          <w:tcPr>
            <w:tcW w:type="dxa" w:w="4400"/>
            <w:tcBorders>
              <w:top w:val="single" w:color="C5D9F0" w:sz="1"/>
              <w:left w:val="single" w:color="C5D9F0" w:sz="1"/>
              <w:bottom w:val="single" w:color="C5D9F0" w:sz="1"/>
              <w:right w:val="single" w:color="C5D9F0" w:sz="1"/>
            </w:tcBorders>
            <w:shd w:fill="1C3557" w:val="clear"/>
            <w:vAlign w:val="center"/>
          </w:tcPr>
          <w:p>
            <w:pPr>
              <w:spacing w:after="80" w:before="80"/>
              <w:jc w:val="left"/>
            </w:pPr>
            <w:r>
              <w:rPr>
                <w:rFonts w:ascii="Calibri" w:cs="Calibri" w:eastAsia="Calibri" w:hAnsi="Calibri"/>
                <w:b/>
                <w:bCs/>
                <w:color w:val="FFFFFF"/>
                <w:sz w:val="20"/>
                <w:szCs w:val="20"/>
              </w:rPr>
              <w:t xml:space="preserve">This Research CANNOT Establish</w:t>
            </w:r>
          </w:p>
        </w:tc>
      </w:tr>
      <w:tr>
        <w:tc>
          <w:tcPr>
            <w:tcW w:type="dxa" w:w="4300"/>
            <w:tcBorders>
              <w:top w:val="single" w:color="C5D9F0" w:sz="1"/>
              <w:left w:val="single" w:color="C5D9F0" w:sz="1"/>
              <w:bottom w:val="single" w:color="C5D9F0" w:sz="1"/>
              <w:right w:val="single" w:color="C5D9F0" w:sz="1"/>
            </w:tcBorders>
            <w:shd w:fill="EBF3FB" w:val="clear"/>
            <w:vAlign w:val="top"/>
          </w:tcPr>
          <w:p>
            <w:pPr>
              <w:pStyle w:val="ListParagraph"/>
              <w:numPr>
                <w:ilvl w:val="0"/>
                <w:numId w:val="2"/>
              </w:numPr>
              <w:spacing w:after="40" w:before="80"/>
            </w:pPr>
            <w:r>
              <w:rPr>
                <w:rFonts w:ascii="Calibri" w:cs="Calibri" w:eastAsia="Calibri" w:hAnsi="Calibri"/>
                <w:sz w:val="20"/>
                <w:szCs w:val="20"/>
              </w:rPr>
              <w:t xml:space="preserve">Product attribute patterns in the Fragrantica community dataset (accords, gender, geography, launch year, engagement)</w:t>
            </w:r>
          </w:p>
          <w:p>
            <w:pPr>
              <w:pStyle w:val="ListParagraph"/>
              <w:numPr>
                <w:ilvl w:val="0"/>
                <w:numId w:val="2"/>
              </w:numPr>
              <w:spacing w:after="40" w:before="40"/>
            </w:pPr>
            <w:r>
              <w:rPr>
                <w:rFonts w:ascii="Calibri" w:cs="Calibri" w:eastAsia="Calibri" w:hAnsi="Calibri"/>
                <w:sz w:val="20"/>
                <w:szCs w:val="20"/>
              </w:rPr>
              <w:t xml:space="preserve">That unisex and gourmand/sweet fragrances are strongly represented in recent Fragrantica launches</w:t>
            </w:r>
          </w:p>
          <w:p>
            <w:pPr>
              <w:pStyle w:val="ListParagraph"/>
              <w:numPr>
                <w:ilvl w:val="0"/>
                <w:numId w:val="2"/>
              </w:numPr>
              <w:spacing w:after="40" w:before="40"/>
            </w:pPr>
            <w:r>
              <w:rPr>
                <w:rFonts w:ascii="Calibri" w:cs="Calibri" w:eastAsia="Calibri" w:hAnsi="Calibri"/>
                <w:sz w:val="20"/>
                <w:szCs w:val="20"/>
              </w:rPr>
              <w:t xml:space="preserve">That French brands dominate the dataset by country of origin</w:t>
            </w:r>
          </w:p>
          <w:p>
            <w:pPr>
              <w:pStyle w:val="ListParagraph"/>
              <w:numPr>
                <w:ilvl w:val="0"/>
                <w:numId w:val="2"/>
              </w:numPr>
              <w:spacing w:after="40" w:before="40"/>
            </w:pPr>
            <w:r>
              <w:rPr>
                <w:rFonts w:ascii="Calibri" w:cs="Calibri" w:eastAsia="Calibri" w:hAnsi="Calibri"/>
                <w:sz w:val="20"/>
                <w:szCs w:val="20"/>
              </w:rPr>
              <w:t xml:space="preserve">That high-rated products show extreme variation in community engagement, suggesting distribution and brand heritage matter alongside quality</w:t>
            </w:r>
          </w:p>
          <w:p>
            <w:pPr>
              <w:pStyle w:val="ListParagraph"/>
              <w:numPr>
                <w:ilvl w:val="0"/>
                <w:numId w:val="2"/>
              </w:numPr>
              <w:spacing w:after="40" w:before="40"/>
            </w:pPr>
            <w:r>
              <w:rPr>
                <w:rFonts w:ascii="Calibri" w:cs="Calibri" w:eastAsia="Calibri" w:hAnsi="Calibri"/>
                <w:sz w:val="20"/>
                <w:szCs w:val="20"/>
              </w:rPr>
              <w:t xml:space="preserve">That verified corporate events (Puig IPO, Tom Ford acquisition, EU regulatory changes) occurred and are material</w:t>
            </w:r>
          </w:p>
          <w:p>
            <w:pPr>
              <w:pStyle w:val="ListParagraph"/>
              <w:numPr>
                <w:ilvl w:val="0"/>
                <w:numId w:val="2"/>
              </w:numPr>
              <w:spacing w:after="80" w:before="40"/>
            </w:pPr>
            <w:r>
              <w:rPr>
                <w:rFonts w:ascii="Calibri" w:cs="Calibri" w:eastAsia="Calibri" w:hAnsi="Calibri"/>
                <w:sz w:val="20"/>
                <w:szCs w:val="20"/>
              </w:rPr>
              <w:t xml:space="preserve">Directional signals about regional growth opportunities, DTC disruption, and competitive dynamics, with appropriate confidence levels</w:t>
            </w:r>
          </w:p>
        </w:tc>
        <w:tc>
          <w:tcPr>
            <w:tcW w:type="dxa" w:w="4400"/>
            <w:tcBorders>
              <w:top w:val="single" w:color="C5D9F0" w:sz="1"/>
              <w:left w:val="single" w:color="C5D9F0" w:sz="1"/>
              <w:bottom w:val="single" w:color="C5D9F0" w:sz="1"/>
              <w:right w:val="single" w:color="C5D9F0" w:sz="1"/>
            </w:tcBorders>
            <w:shd w:fill="FEF0EF" w:val="clear"/>
            <w:vAlign w:val="top"/>
          </w:tcPr>
          <w:p>
            <w:pPr>
              <w:pStyle w:val="ListParagraph"/>
              <w:numPr>
                <w:ilvl w:val="0"/>
                <w:numId w:val="2"/>
              </w:numPr>
              <w:spacing w:after="40" w:before="80"/>
            </w:pPr>
            <w:r>
              <w:rPr>
                <w:rFonts w:ascii="Calibri" w:cs="Calibri" w:eastAsia="Calibri" w:hAnsi="Calibri"/>
                <w:sz w:val="20"/>
                <w:szCs w:val="20"/>
              </w:rPr>
              <w:t xml:space="preserve">Market share by brand, segment, or region — no revenue or volume data is available</w:t>
            </w:r>
          </w:p>
          <w:p>
            <w:pPr>
              <w:pStyle w:val="ListParagraph"/>
              <w:numPr>
                <w:ilvl w:val="0"/>
                <w:numId w:val="2"/>
              </w:numPr>
              <w:spacing w:after="40" w:before="40"/>
            </w:pPr>
            <w:r>
              <w:rPr>
                <w:rFonts w:ascii="Calibri" w:cs="Calibri" w:eastAsia="Calibri" w:hAnsi="Calibri"/>
                <w:sz w:val="20"/>
                <w:szCs w:val="20"/>
              </w:rPr>
              <w:t xml:space="preserve">Commercial success of any specific fragrance — rating count is not a sales measure</w:t>
            </w:r>
          </w:p>
          <w:p>
            <w:pPr>
              <w:pStyle w:val="ListParagraph"/>
              <w:numPr>
                <w:ilvl w:val="0"/>
                <w:numId w:val="2"/>
              </w:numPr>
              <w:spacing w:after="40" w:before="40"/>
            </w:pPr>
            <w:r>
              <w:rPr>
                <w:rFonts w:ascii="Calibri" w:cs="Calibri" w:eastAsia="Calibri" w:hAnsi="Calibri"/>
                <w:sz w:val="20"/>
                <w:szCs w:val="20"/>
              </w:rPr>
              <w:t xml:space="preserve">Price-quality relationships or premiumisation magnitude — no retail pricing data exists in the internal dataset</w:t>
            </w:r>
          </w:p>
          <w:p>
            <w:pPr>
              <w:pStyle w:val="ListParagraph"/>
              <w:numPr>
                <w:ilvl w:val="0"/>
                <w:numId w:val="2"/>
              </w:numPr>
              <w:spacing w:after="40" w:before="40"/>
            </w:pPr>
            <w:r>
              <w:rPr>
                <w:rFonts w:ascii="Calibri" w:cs="Calibri" w:eastAsia="Calibri" w:hAnsi="Calibri"/>
                <w:sz w:val="20"/>
                <w:szCs w:val="20"/>
              </w:rPr>
              <w:t xml:space="preserve">Channel strategy effectiveness — online vs. retail sales split is not observable from dataset</w:t>
            </w:r>
          </w:p>
          <w:p>
            <w:pPr>
              <w:pStyle w:val="ListParagraph"/>
              <w:numPr>
                <w:ilvl w:val="0"/>
                <w:numId w:val="2"/>
              </w:numPr>
              <w:spacing w:after="40" w:before="40"/>
            </w:pPr>
            <w:r>
              <w:rPr>
                <w:rFonts w:ascii="Calibri" w:cs="Calibri" w:eastAsia="Calibri" w:hAnsi="Calibri"/>
                <w:sz w:val="20"/>
                <w:szCs w:val="20"/>
              </w:rPr>
              <w:t xml:space="preserve">Precise future market size or growth rate — CAGR forecasts from external firms are estimates, not guarantees</w:t>
            </w:r>
          </w:p>
          <w:p>
            <w:pPr>
              <w:pStyle w:val="ListParagraph"/>
              <w:numPr>
                <w:ilvl w:val="0"/>
                <w:numId w:val="2"/>
              </w:numPr>
              <w:spacing w:after="40" w:before="40"/>
            </w:pPr>
            <w:r>
              <w:rPr>
                <w:rFonts w:ascii="Calibri" w:cs="Calibri" w:eastAsia="Calibri" w:hAnsi="Calibri"/>
                <w:sz w:val="20"/>
                <w:szCs w:val="20"/>
              </w:rPr>
              <w:t xml:space="preserve">Applicability of global trends to India or Asia-Pacific — regional conditions differ and require localised evidence</w:t>
            </w:r>
          </w:p>
          <w:p>
            <w:pPr>
              <w:pStyle w:val="ListParagraph"/>
              <w:numPr>
                <w:ilvl w:val="0"/>
                <w:numId w:val="2"/>
              </w:numPr>
              <w:spacing w:after="80" w:before="40"/>
            </w:pPr>
            <w:r>
              <w:rPr>
                <w:rFonts w:ascii="Calibri" w:cs="Calibri" w:eastAsia="Calibri" w:hAnsi="Calibri"/>
                <w:sz w:val="20"/>
                <w:szCs w:val="20"/>
              </w:rPr>
              <w:t xml:space="preserve">Counterfeit market size, DTC profitability, or regulatory compliance cost — data is unavailable or insufficiently verifiable</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tcBorders>
              <w:top w:val="single" w:color="1C3557" w:sz="4"/>
              <w:left w:val="single" w:color="1C3557" w:sz="4"/>
              <w:bottom w:val="single" w:color="1C3557" w:sz="4"/>
              <w:right w:val="single" w:color="1C3557" w:sz="4"/>
            </w:tcBorders>
            <w:shd w:fill="1C3557" w:val="clear"/>
          </w:tcPr>
          <w:p>
            <w:pPr>
              <w:spacing w:after="200" w:before="200"/>
              <w:jc w:val="both"/>
            </w:pPr>
            <w:r>
              <w:rPr>
                <w:rFonts w:ascii="Calibri" w:cs="Calibri" w:eastAsia="Calibri" w:hAnsi="Calibri"/>
                <w:i/>
                <w:iCs/>
                <w:color w:val="FFFFFF"/>
                <w:sz w:val="22"/>
                <w:szCs w:val="22"/>
              </w:rPr>
              <w:t xml:space="preserve">This research provides a structured, evidence-graded foundation for strategic thinking about the global fragrance market. It does not eliminate uncertainty, and it does not substitute for the primary market research, consumer panel data, pricing analysis, and channel due diligence that any serious market-entry decision would require. Its value lies in systematically identifying what is known, what is inferred, what is estimated, and — critically — what remains unknown.</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9F0" w:sz="2"/>
      </w:pBdr>
      <w:spacing w:before="80"/>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r>
      <w:rPr>
        <w:rFonts w:ascii="Calibri" w:cs="Calibri" w:eastAsia="Calibri" w:hAnsi="Calibri"/>
        <w:color w:val="AAAAAA"/>
        <w:sz w:val="18"/>
        <w:szCs w:val="18"/>
      </w:rPr>
      <w:t xml:space="preserve">  |  Internal Document — Market Intelligence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9F0" w:sz="2"/>
      </w:pBdr>
      <w:spacing w:after="80"/>
      <w:jc w:val="right"/>
    </w:pPr>
    <w:r>
      <w:rPr>
        <w:rFonts w:ascii="Calibri" w:cs="Calibri" w:eastAsia="Calibri" w:hAnsi="Calibri"/>
        <w:color w:val="2E5E99"/>
        <w:sz w:val="18"/>
        <w:szCs w:val="18"/>
      </w:rPr>
      <w:t xml:space="preserve">RESEARCH BRIEF — Global Fragrance / Perfume Market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abstractNum w:abstractNumId="3" w15:restartNumberingAfterBreak="0">
    <w:multiLevelType w:val="hybridMultilevel"/>
    <w:lvl w:ilvl="0" w15:tentative="1">
      <w:start w:val="1"/>
      <w:numFmt w:val="bullet"/>
      <w:lvlText w:val="–"/>
      <w:lvlJc w:val="left"/>
      <w:pPr>
        <w:ind w:left="1080" w:hanging="360"/>
      </w:pPr>
      <w:rPr>
        <w:color w:val="555555"/>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20" w:before="0"/>
      <w:jc w:val="left"/>
    </w:pPr>
    <w:rPr>
      <w:rFonts w:ascii="Calibri" w:cs="Calibri" w:eastAsia="Calibri" w:hAnsi="Calibri"/>
      <w:b/>
      <w:bCs/>
      <w:color w:val="1C3557"/>
      <w:sz w:val="52"/>
      <w:szCs w:val="52"/>
    </w:rPr>
  </w:style>
  <w:style w:type="paragraph" w:styleId="DocSubtitle">
    <w:name w:val="DocSubtitle"/>
    <w:basedOn w:val="Normal"/>
    <w:qFormat/>
    <w:pPr>
      <w:spacing w:after="400" w:before="0"/>
      <w:jc w:val="left"/>
    </w:pPr>
    <w:rPr>
      <w:rFonts w:ascii="Calibri" w:cs="Calibri" w:eastAsia="Calibri" w:hAnsi="Calibri"/>
      <w:i/>
      <w:iCs/>
      <w:color w:val="555555"/>
      <w:sz w:val="26"/>
      <w:szCs w:val="26"/>
    </w:rPr>
  </w:style>
  <w:style w:type="paragraph" w:styleId="Heading1">
    <w:name w:val="Heading 1"/>
    <w:basedOn w:val="Normal"/>
    <w:next w:val="Normal"/>
    <w:qFormat/>
    <w:pPr>
      <w:pBdr>
        <w:bottom w:val="single" w:color="C5D9F0" w:sz="4"/>
      </w:pBdr>
      <w:spacing w:after="160" w:before="480"/>
      <w:outlineLvl w:val="0"/>
    </w:pPr>
    <w:rPr>
      <w:rFonts w:ascii="Calibri" w:cs="Calibri" w:eastAsia="Calibri" w:hAnsi="Calibri"/>
      <w:b/>
      <w:bCs/>
      <w:color w:val="1C3557"/>
      <w:sz w:val="30"/>
      <w:szCs w:val="30"/>
    </w:rPr>
  </w:style>
  <w:style w:type="paragraph" w:styleId="Heading2">
    <w:name w:val="Heading 2"/>
    <w:basedOn w:val="Normal"/>
    <w:next w:val="Normal"/>
    <w:qFormat/>
    <w:pPr>
      <w:spacing w:after="120" w:before="320"/>
      <w:outlineLvl w:val="1"/>
    </w:pPr>
    <w:rPr>
      <w:rFonts w:ascii="Calibri" w:cs="Calibri" w:eastAsia="Calibri" w:hAnsi="Calibri"/>
      <w:b/>
      <w:bCs/>
      <w:color w:val="2E5E99"/>
      <w:sz w:val="24"/>
      <w:szCs w:val="24"/>
    </w:rPr>
  </w:style>
  <w:style w:type="paragraph" w:styleId="Heading3">
    <w:name w:val="Heading 3"/>
    <w:basedOn w:val="Normal"/>
    <w:next w:val="Normal"/>
    <w:qFormat/>
    <w:pPr>
      <w:spacing w:after="100" w:before="240"/>
      <w:outlineLvl w:val="2"/>
    </w:pPr>
    <w:rPr>
      <w:rFonts w:ascii="Calibri" w:cs="Calibri" w:eastAsia="Calibri" w:hAnsi="Calibri"/>
      <w:b/>
      <w:bCs/>
      <w:i w:val="false"/>
      <w:iCs w:val="false"/>
      <w:color w:val="444444"/>
      <w:sz w:val="22"/>
      <w:szCs w:val="22"/>
    </w:rPr>
  </w:style>
  <w:style w:type="paragraph" w:styleId="BodyText">
    <w:name w:val="BodyText"/>
    <w:basedOn w:val="Normal"/>
    <w:qFormat/>
    <w:pPr>
      <w:spacing w:after="160" w:line="288"/>
      <w:jc w:val="both"/>
    </w:pPr>
    <w:rPr>
      <w:rFonts w:ascii="Calibri" w:cs="Calibri" w:eastAsia="Calibri" w:hAnsi="Calibri"/>
      <w:color w:val="222222"/>
      <w:sz w:val="22"/>
      <w:szCs w:val="22"/>
    </w:rPr>
  </w:style>
  <w:style w:type="paragraph" w:styleId="Callout">
    <w:name w:val="Callout"/>
    <w:basedOn w:val="Normal"/>
    <w:qFormat/>
    <w:pPr>
      <w:spacing w:after="200" w:before="200" w:line="288"/>
      <w:ind w:left="720" w:right="720"/>
      <w:jc w:val="both"/>
    </w:pPr>
    <w:rPr>
      <w:rFonts w:ascii="Calibri" w:cs="Calibri" w:eastAsia="Calibri" w:hAnsi="Calibri"/>
      <w:i/>
      <w:iCs/>
      <w:color w:val="1C35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9BBF74-0055-4FEC-BCDE-8E7896A3E064}">
  <we:reference id="WA200010615" version="1.0.10036.0" store="en-us" storeType="OMEX"/>
  <we:alternateReferences/>
  <we:properties>
    <we:property name="Office.AutoShowTaskpaneWithDocument" value="true"/>
    <we:property name="conversationId" value="&quot;91aa2a13-14db-4b0e-9325-85469fe3b1b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2026-09-16T12:45:50.028Z</dcterms:created>
  <dcterms:modified xsi:type="dcterms:W3CDTF">2026-09-16T12:45:50.028Z</dcterms:modified>
</cp:coreProperties>
</file>

<file path=docProps/custom.xml><?xml version="1.0" encoding="utf-8"?>
<Properties xmlns="http://schemas.openxmlformats.org/officeDocument/2006/custom-properties" xmlns:vt="http://schemas.openxmlformats.org/officeDocument/2006/docPropsVTypes"/>
</file>