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14207" w14:textId="77777777" w:rsidR="0032104F" w:rsidRPr="00311892" w:rsidRDefault="00000000">
      <w:pPr>
        <w:pStyle w:val="berschrift1"/>
        <w:rPr>
          <w:lang w:val="de-CH"/>
        </w:rPr>
      </w:pPr>
      <w:bookmarkStart w:id="0" w:name="aletheia--manifesto"/>
      <w:r w:rsidRPr="00311892">
        <w:rPr>
          <w:lang w:val="de-CH"/>
        </w:rPr>
        <w:t>Aletheia – Manifesto</w:t>
      </w:r>
    </w:p>
    <w:p w14:paraId="25EEFA02" w14:textId="77777777" w:rsidR="0032104F" w:rsidRPr="00311892" w:rsidRDefault="00000000">
      <w:pPr>
        <w:pStyle w:val="FirstParagraph"/>
        <w:rPr>
          <w:lang w:val="de-CH"/>
        </w:rPr>
      </w:pPr>
      <w:r w:rsidRPr="00311892">
        <w:rPr>
          <w:i/>
          <w:iCs/>
          <w:lang w:val="de-CH"/>
        </w:rPr>
        <w:t xml:space="preserve">Teil der Werkzeugfamilie </w:t>
      </w:r>
      <w:r w:rsidRPr="00311892">
        <w:rPr>
          <w:b/>
          <w:bCs/>
          <w:i/>
          <w:iCs/>
          <w:lang w:val="de-CH"/>
        </w:rPr>
        <w:t>Phronesis</w:t>
      </w:r>
      <w:r w:rsidRPr="00311892">
        <w:rPr>
          <w:i/>
          <w:iCs/>
          <w:lang w:val="de-CH"/>
        </w:rPr>
        <w:t>. Die übergreifende Haltung steht im Phronesis-Manifesto; hier folgt, was eigens für die Wahrnehmung von Veränderung gilt.</w:t>
      </w:r>
    </w:p>
    <w:p w14:paraId="5BF9F50B" w14:textId="04E9B3B4" w:rsidR="0032104F" w:rsidRPr="00311892" w:rsidRDefault="0085766E">
      <w:pPr>
        <w:pStyle w:val="Textkrper"/>
        <w:rPr>
          <w:lang w:val="de-CH"/>
        </w:rPr>
      </w:pPr>
      <w:r w:rsidRPr="0085766E">
        <w:rPr>
          <w:b/>
          <w:bCs/>
          <w:lang w:val="de-CH"/>
        </w:rPr>
        <w:t xml:space="preserve">Aletheia ist die Philosophie der </w:t>
      </w:r>
      <w:proofErr w:type="spellStart"/>
      <w:r w:rsidRPr="0085766E">
        <w:rPr>
          <w:b/>
          <w:bCs/>
          <w:lang w:val="de-CH"/>
        </w:rPr>
        <w:t>Phronesis</w:t>
      </w:r>
      <w:proofErr w:type="spellEnd"/>
      <w:r w:rsidRPr="0085766E">
        <w:rPr>
          <w:b/>
          <w:bCs/>
          <w:lang w:val="de-CH"/>
        </w:rPr>
        <w:t xml:space="preserve"> für die Wahrnehmung von Veränderung.</w:t>
      </w:r>
      <w:r>
        <w:rPr>
          <w:b/>
          <w:bCs/>
          <w:lang w:val="de-CH"/>
        </w:rPr>
        <w:t xml:space="preserve"> </w:t>
      </w:r>
      <w:r w:rsidR="00000000" w:rsidRPr="00311892">
        <w:rPr>
          <w:lang w:val="de-CH"/>
        </w:rPr>
        <w:t>Was die Familie als Haltung trägt, macht Aletheia dort konkret, wo nicht das Bestehende zählt, sondern das Neue: Entwicklungen, Trends, Signale, Veränderungen, die von aussen hereingeholt und beurteilbar gemacht werden müssen – ohne dass aus Wahrnehmen schon Urteilen wird. Sechs Überzeugungen gelten eigens dafür:</w:t>
      </w:r>
    </w:p>
    <w:p w14:paraId="1F3A8A6E" w14:textId="77777777" w:rsidR="0032104F" w:rsidRPr="00311892" w:rsidRDefault="00000000">
      <w:pPr>
        <w:pStyle w:val="Textkrper"/>
        <w:rPr>
          <w:lang w:val="de-CH"/>
        </w:rPr>
      </w:pPr>
      <w:r w:rsidRPr="00311892">
        <w:rPr>
          <w:i/>
          <w:iCs/>
          <w:lang w:val="de-CH"/>
        </w:rPr>
        <w:t>Wir denken, dass …</w:t>
      </w:r>
    </w:p>
    <w:p w14:paraId="23DD52DD" w14:textId="77777777" w:rsidR="0032104F" w:rsidRPr="00311892" w:rsidRDefault="00000000">
      <w:pPr>
        <w:pStyle w:val="Textkrper"/>
        <w:rPr>
          <w:lang w:val="de-CH"/>
        </w:rPr>
      </w:pPr>
      <w:r w:rsidRPr="00311892">
        <w:rPr>
          <w:b/>
          <w:bCs/>
          <w:lang w:val="de-CH"/>
        </w:rPr>
        <w:t>1. … Sichtbarmachen noch nicht Urteilen ist.</w:t>
      </w:r>
      <w:r w:rsidRPr="00311892">
        <w:rPr>
          <w:lang w:val="de-CH"/>
        </w:rPr>
        <w:t xml:space="preserve"> Etwas ans Licht zu holen heisst nicht, es schon bewertet zu haben. Aletheia macht Entwicklungen sichtbar und schlägt eine Einordnung vor – doch das Urteil darüber legt es dem Menschen zur Bestätigung vor. Eine Wahrnehmung, die sich selbst für ein Urteil hält, wäre nur ein Feed.</w:t>
      </w:r>
    </w:p>
    <w:p w14:paraId="7CC0A4E6" w14:textId="77777777" w:rsidR="0032104F" w:rsidRPr="00311892" w:rsidRDefault="00000000">
      <w:pPr>
        <w:pStyle w:val="Textkrper"/>
        <w:rPr>
          <w:lang w:val="de-CH"/>
        </w:rPr>
      </w:pPr>
      <w:r w:rsidRPr="00311892">
        <w:rPr>
          <w:b/>
          <w:bCs/>
          <w:lang w:val="de-CH"/>
        </w:rPr>
        <w:t>2. … nichts ins Offene tritt ohne Beleg.</w:t>
      </w:r>
      <w:r w:rsidRPr="00311892">
        <w:rPr>
          <w:lang w:val="de-CH"/>
        </w:rPr>
        <w:t xml:space="preserve"> Eine Wahrnehmung, die ihre Quelle nicht zeigen kann, ist ein Gerücht. Aletheia behauptet nur, was es belegen kann, und hält Beobachtetes von Vermutetem getrennt. Eine erfundene Entwicklung ist schädlicher als eine übersehene, denn sie zerstört das Vertrauen, das Wahrnehmung erst brauchbar macht.</w:t>
      </w:r>
    </w:p>
    <w:p w14:paraId="7CC0A4E6" w14:textId="77777777" w:rsidR="0032104F" w:rsidRPr="00311892" w:rsidRDefault="00000000">
      <w:pPr>
        <w:pStyle w:val="Textkrper"/>
        <w:rPr>
          <w:lang w:val="de-CH"/>
        </w:rPr>
      </w:pPr>
      <w:r w:rsidRPr="00311892">
        <w:rPr>
          <w:b/>
          <w:bCs/>
          <w:lang w:val="de-CH"/>
        </w:rPr>
        <w:t>3. … nicht jede Beobachtung gleich sicher ist.</w:t>
      </w:r>
      <w:r w:rsidRPr="00311892">
        <w:rPr>
          <w:lang w:val="de-CH"/>
        </w:rPr>
        <w:t xml:space="preserve"> Ein bestätigtes Ereignis, ein frühes Signal und eine blosse Ankündigung sind nicht dasselbe. Aletheia unterscheidet Gewissheit von Wahrscheinlichkeit und benennt, wie sicher eine Wahrnehmung ist, statt sie mit falscher Bestimmtheit zu behaupten. Gerade wo KI sich schnell bewegt, ist das ehrliche Benennen von Unsicherheit selbst eine Form von Genauigkeit.</w:t>
      </w:r>
    </w:p>
    <w:p w14:paraId="058309BD" w14:textId="77777777" w:rsidR="0032104F" w:rsidRPr="00311892" w:rsidRDefault="00000000">
      <w:pPr>
        <w:pStyle w:val="Textkrper"/>
        <w:rPr>
          <w:lang w:val="de-CH"/>
        </w:rPr>
      </w:pPr>
      <w:r w:rsidRPr="00311892">
        <w:rPr>
          <w:b/>
          <w:bCs/>
          <w:lang w:val="de-CH"/>
        </w:rPr>
        <w:t>4. … Aufmerksamkeit wählen heisst, nicht alles hereinzulassen.</w:t>
      </w:r>
      <w:r w:rsidRPr="00311892">
        <w:rPr>
          <w:lang w:val="de-CH"/>
        </w:rPr>
        <w:t xml:space="preserve"> Die Welt sendet mehr Signal, als ein Mensch verantworten kann; wer alles aufnimmt, nimmt nichts mehr wahr. Aletheia hört bewusst und aus geprüften Quellen zu, statt sich vom Rauschen fluten zu lassen. Wahrnehmung ist Auswahl, nicht Vollständigkeit.</w:t>
      </w:r>
    </w:p>
    <w:p w14:paraId="0F1946A5" w14:textId="77777777" w:rsidR="0032104F" w:rsidRPr="00311892" w:rsidRDefault="00000000">
      <w:pPr>
        <w:pStyle w:val="Textkrper"/>
        <w:rPr>
          <w:lang w:val="de-CH"/>
        </w:rPr>
      </w:pPr>
      <w:r w:rsidRPr="00311892">
        <w:rPr>
          <w:b/>
          <w:bCs/>
          <w:lang w:val="de-CH"/>
        </w:rPr>
        <w:t>5. … das Neue am Gewesenen geprüft werden muss.</w:t>
      </w:r>
      <w:r w:rsidRPr="00311892">
        <w:rPr>
          <w:lang w:val="de-CH"/>
        </w:rPr>
        <w:t xml:space="preserve"> Nichts ist so neu, dass die Geschichte nichts dazu zu sagen hätte. Aletheia vergleicht jede Entwicklung mit dem, was ihr gleicht – und benennt zugleich, wo der Vergleich bricht. Eine Analogie ohne ihre Bruchstelle ist kein Wissen, sondern eine Verwechslung.</w:t>
      </w:r>
    </w:p>
    <w:p w14:paraId="57B7D725" w14:textId="1E0F91A8" w:rsidR="0032104F" w:rsidRPr="00311892" w:rsidRDefault="00000000">
      <w:pPr>
        <w:pStyle w:val="Textkrper"/>
        <w:rPr>
          <w:lang w:val="de-CH"/>
        </w:rPr>
      </w:pPr>
      <w:r w:rsidRPr="00311892">
        <w:rPr>
          <w:b/>
          <w:bCs/>
          <w:lang w:val="de-CH"/>
        </w:rPr>
        <w:t>6. … Aletheia, das Unverborgene, dem Innen dient.</w:t>
      </w:r>
      <w:r w:rsidRPr="00311892">
        <w:rPr>
          <w:lang w:val="de-CH"/>
        </w:rPr>
        <w:t xml:space="preserve"> Das Wort meint das Entbergen, das Hervortreten aus der Verborgenheit. Doch was hervortritt, wird erst dann zur Wahrnehmung, wenn es sich mit dem verbindet, was erinnert, formt und entscheidet. </w:t>
      </w:r>
      <w:r w:rsidR="00DA6971" w:rsidRPr="00DA6971">
        <w:rPr>
          <w:lang w:val="de-CH"/>
        </w:rPr>
        <w:t>Wahrnehmung erfüllt ihren Zweck erst, wenn sie Erinnerung, Gestaltung und Urteil berührt</w:t>
      </w:r>
      <w:r w:rsidRPr="00311892">
        <w:rPr>
          <w:lang w:val="de-CH"/>
        </w:rPr>
        <w:t>.</w:t>
      </w:r>
    </w:p>
    <w:p w14:paraId="42C590EA" w14:textId="77777777" w:rsidR="0032104F" w:rsidRDefault="00000000">
      <w:r>
        <w:pict w14:anchorId="34C01974">
          <v:rect id="_x0000_i1025" style="width:0;height:1.5pt" o:hralign="center" o:hrstd="t" o:hr="t"/>
        </w:pict>
      </w:r>
    </w:p>
    <w:p w14:paraId="30553F1E" w14:textId="77777777" w:rsidR="0032104F" w:rsidRPr="00311892" w:rsidRDefault="00000000">
      <w:pPr>
        <w:pStyle w:val="Blocktext"/>
        <w:rPr>
          <w:lang w:val="de-CH"/>
        </w:rPr>
      </w:pPr>
      <w:r w:rsidRPr="00311892">
        <w:rPr>
          <w:b/>
          <w:bCs/>
          <w:lang w:val="de-CH"/>
        </w:rPr>
        <w:t>Aletheia – Veränderung wahrnehmen. Das Neue beurteilbar machen.</w:t>
      </w:r>
      <w:bookmarkEnd w:id="0"/>
    </w:p>
    <w:sectPr w:rsidR="0032104F" w:rsidRPr="0031189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96896" w14:textId="77777777" w:rsidR="00CD489C" w:rsidRDefault="00CD489C">
      <w:pPr>
        <w:spacing w:after="0"/>
      </w:pPr>
      <w:r>
        <w:separator/>
      </w:r>
    </w:p>
  </w:endnote>
  <w:endnote w:type="continuationSeparator" w:id="0">
    <w:p w14:paraId="4AEDB229" w14:textId="77777777" w:rsidR="00CD489C" w:rsidRDefault="00CD489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5BFEF" w14:textId="77777777" w:rsidR="00CD489C" w:rsidRDefault="00CD489C">
      <w:r>
        <w:separator/>
      </w:r>
    </w:p>
  </w:footnote>
  <w:footnote w:type="continuationSeparator" w:id="0">
    <w:p w14:paraId="73932EF5" w14:textId="77777777" w:rsidR="00CD489C" w:rsidRDefault="00CD48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DA6D41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237138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2104F"/>
    <w:rsid w:val="00311892"/>
    <w:rsid w:val="0032104F"/>
    <w:rsid w:val="0085766E"/>
    <w:rsid w:val="00CA4C42"/>
    <w:rsid w:val="00CD489C"/>
    <w:rsid w:val="00DA6971"/>
    <w:rsid w:val="00DD781A"/>
    <w:rsid w:val="00F728E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6481A"/>
  <w15:docId w15:val="{7D1D6544-F2E3-48BA-8A57-EA1463220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erschrift2">
    <w:name w:val="heading 2"/>
    <w:basedOn w:val="Standard"/>
    <w:next w:val="Textkrp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erschrift3">
    <w:name w:val="heading 3"/>
    <w:basedOn w:val="Standard"/>
    <w:next w:val="Textkrp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Textkrpe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erschrift5">
    <w:name w:val="heading 5"/>
    <w:basedOn w:val="Standard"/>
    <w:next w:val="Textkrpe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Untertitel">
    <w:name w:val="Subtitle"/>
    <w:basedOn w:val="Titel"/>
    <w:next w:val="Textkrper"/>
    <w:qFormat/>
    <w:pPr>
      <w:spacing w:before="240"/>
    </w:pPr>
    <w:rPr>
      <w:sz w:val="30"/>
      <w:szCs w:val="30"/>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color w:val="345A8A"/>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297</Words>
  <Characters>1878</Characters>
  <Application>Microsoft Office Word</Application>
  <DocSecurity>0</DocSecurity>
  <Lines>15</Lines>
  <Paragraphs>4</Paragraphs>
  <ScaleCrop>false</ScaleCrop>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Brönnimann Kaspar ISC-EJPD</cp:lastModifiedBy>
  <cp:revision>5</cp:revision>
  <dcterms:created xsi:type="dcterms:W3CDTF">2026-06-18T11:47:00Z</dcterms:created>
  <dcterms:modified xsi:type="dcterms:W3CDTF">2026-07-01T11:38:00Z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45c3252-146d-46f3-8062-82cd8c8d7e7d_Enabled">
    <vt:lpwstr>true</vt:lpwstr>
  </property>
  <property fmtid="{D5CDD505-2E9C-101B-9397-08002B2CF9AE}" pid="3" name="MSIP_Label_245c3252-146d-46f3-8062-82cd8c8d7e7d_SetDate">
    <vt:lpwstr>2026-06-18T11:51:56Z</vt:lpwstr>
  </property>
  <property fmtid="{D5CDD505-2E9C-101B-9397-08002B2CF9AE}" pid="4" name="MSIP_Label_245c3252-146d-46f3-8062-82cd8c8d7e7d_Method">
    <vt:lpwstr>Privileged</vt:lpwstr>
  </property>
  <property fmtid="{D5CDD505-2E9C-101B-9397-08002B2CF9AE}" pid="5" name="MSIP_Label_245c3252-146d-46f3-8062-82cd8c8d7e7d_Name">
    <vt:lpwstr>L1</vt:lpwstr>
  </property>
  <property fmtid="{D5CDD505-2E9C-101B-9397-08002B2CF9AE}" pid="6" name="MSIP_Label_245c3252-146d-46f3-8062-82cd8c8d7e7d_SiteId">
    <vt:lpwstr>6ae27add-8276-4a38-88c1-3a9c1f973767</vt:lpwstr>
  </property>
  <property fmtid="{D5CDD505-2E9C-101B-9397-08002B2CF9AE}" pid="7" name="MSIP_Label_245c3252-146d-46f3-8062-82cd8c8d7e7d_ActionId">
    <vt:lpwstr>8483fa18-41c4-4aca-bdac-ac934755125a</vt:lpwstr>
  </property>
  <property fmtid="{D5CDD505-2E9C-101B-9397-08002B2CF9AE}" pid="8" name="MSIP_Label_245c3252-146d-46f3-8062-82cd8c8d7e7d_ContentBits">
    <vt:lpwstr>0</vt:lpwstr>
  </property>
  <property fmtid="{D5CDD505-2E9C-101B-9397-08002B2CF9AE}" pid="9" name="MSIP_Label_245c3252-146d-46f3-8062-82cd8c8d7e7d_Tag">
    <vt:lpwstr>10, 0, 1, 1</vt:lpwstr>
  </property>
</Properties>
</file>