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Wie diese Ordnung erklärt wird</w:t>
      </w:r>
    </w:p>
    <w:p>
      <w:pPr>
        <w:pStyle w:val="Subtitle"/>
      </w:pPr>
      <w:r>
        <w:t>Art: Erzählaufbau für Gespräche und Vorträge · Stand: v1 · 2026-08-14 Zweck: Nicht was gebaut wurde, sondern in welcher Reihenfolge es verständlich wird. Grundsatz: Vom Fall zum Wert. Ein Prinzip vollständig statt dreizehn angedeutet.</w:t>
      </w:r>
    </w:p>
    <w:p>
      <w:pPr>
        <w:pStyle w:val="BodyText"/>
      </w:pPr>
      <w:r>
        <w:rPr>
          <w:i/>
        </w:rPr>
        <w:t>Erzeugt aus Erklaeraufbau_KI_Ordnung_v1.md · 2026-08-14 · Quelle ist die Markdown-Datei, dieses Dokument wird nicht von Hand bearbeitet.</w:t>
      </w:r>
    </w:p>
    <w:p>
      <w:pPr>
        <w:pStyle w:val="Heading1"/>
      </w:pPr>
      <w:r>
        <w:rPr>
          <w:b w:val="0"/>
          <w:i w:val="0"/>
        </w:rPr>
        <w:t>1 · Warum das Erklären schwerer ist als das Bauen</w:t>
      </w:r>
    </w:p>
    <w:p>
      <w:pPr>
        <w:pStyle w:val="BodyText"/>
      </w:pPr>
      <w:r>
        <w:rPr>
          <w:b w:val="0"/>
          <w:i w:val="0"/>
        </w:rPr>
        <w:t>Die Ordnung ist von oben nach unten entstanden: Wertsatz, Architekturprinzip, technische Regel, Nachweis. Diese Richtung ist für die Ableitung zwingend — man darf eine Regel nicht erfinden und die Begründung nachschieben.</w:t>
      </w:r>
    </w:p>
    <w:p>
      <w:pPr>
        <w:pStyle w:val="BodyText"/>
      </w:pPr>
      <w:r>
        <w:rPr>
          <w:b w:val="0"/>
          <w:i w:val="0"/>
        </w:rPr>
        <w:t>Fürs Erklären ist sie falsch. Wer zuhört, hat keinen Grund, sich für einen Wertsatz zu interessieren, solange er den Schaden nicht gesehen hat, den dessen Fehlen anrichtet. Ein Manifestsatz am Anfang klingt wie Haltung ohne Anlass — und Haltung ohne Anlass klingt wie Marketing.</w:t>
      </w:r>
    </w:p>
    <w:p>
      <w:pPr>
        <w:pStyle w:val="BodyText"/>
      </w:pPr>
      <w:r>
        <w:rPr>
          <w:b/>
          <w:i w:val="0"/>
        </w:rPr>
        <w:t>Zwei Fehler, die daraus folgen:</w:t>
      </w:r>
    </w:p>
    <w:tbl>
      <w:tblPr>
        <w:tblStyle w:val="LightGrid-Accent1"/>
        <w:tblW w:type="auto" w:w="0"/>
        <w:tblLook w:firstColumn="1" w:firstRow="1" w:lastColumn="0" w:lastRow="0" w:noHBand="0" w:noVBand="1" w:val="04A0"/>
      </w:tblPr>
      <w:tblGrid>
        <w:gridCol w:w="4320"/>
        <w:gridCol w:w="4320"/>
      </w:tblGrid>
      <w:tr>
        <w:tc>
          <w:tcPr>
            <w:tcW w:type="dxa" w:w="4320"/>
          </w:tcPr>
          <w:p>
            <w:r>
              <w:rPr>
                <w:b/>
                <w:i w:val="0"/>
              </w:rPr>
              <w:t>Fehler</w:t>
            </w:r>
          </w:p>
        </w:tc>
        <w:tc>
          <w:tcPr>
            <w:tcW w:type="dxa" w:w="4320"/>
          </w:tcPr>
          <w:p>
            <w:r>
              <w:rPr>
                <w:b/>
                <w:i w:val="0"/>
              </w:rPr>
              <w:t>Warum er misslingt</w:t>
            </w:r>
          </w:p>
        </w:tc>
      </w:tr>
      <w:tr>
        <w:tc>
          <w:tcPr>
            <w:tcW w:type="dxa" w:w="4320"/>
          </w:tcPr>
          <w:p>
            <w:r>
              <w:rPr>
                <w:b w:val="0"/>
                <w:i w:val="0"/>
              </w:rPr>
              <w:t>Mit der Ebene beginnen statt mit dem Fall</w:t>
            </w:r>
          </w:p>
        </w:tc>
        <w:tc>
          <w:tcPr>
            <w:tcW w:type="dxa" w:w="4320"/>
          </w:tcPr>
          <w:p>
            <w:r>
              <w:rPr>
                <w:b w:val="0"/>
                <w:i w:val="0"/>
              </w:rPr>
              <w:t>Die Zuhörer suchen den Anlass und hören die Begründung nicht</w:t>
            </w:r>
          </w:p>
        </w:tc>
      </w:tr>
      <w:tr>
        <w:tc>
          <w:tcPr>
            <w:tcW w:type="dxa" w:w="4320"/>
          </w:tcPr>
          <w:p>
            <w:r>
              <w:rPr>
                <w:b w:val="0"/>
                <w:i w:val="0"/>
              </w:rPr>
              <w:t>Alle dreizehn Prinzipien zeigen</w:t>
            </w:r>
          </w:p>
        </w:tc>
        <w:tc>
          <w:tcPr>
            <w:tcW w:type="dxa" w:w="4320"/>
          </w:tcPr>
          <w:p>
            <w:r>
              <w:rPr>
                <w:b w:val="0"/>
                <w:i w:val="0"/>
              </w:rPr>
              <w:t>Breite erzeugt Respekt und kein Verständnis. Niemand behält dreizehn Kennungen</w:t>
            </w:r>
          </w:p>
        </w:tc>
      </w:tr>
    </w:tbl>
    <w:p/>
    <w:p>
      <w:pPr>
        <w:pStyle w:val="BodyText"/>
      </w:pPr>
      <w:r>
        <w:rPr>
          <w:b w:val="0"/>
          <w:i w:val="0"/>
        </w:rPr>
        <w:t xml:space="preserve">Der Apparat ist die </w:t>
      </w:r>
      <w:r>
        <w:rPr>
          <w:b/>
          <w:i w:val="0"/>
        </w:rPr>
        <w:t>Antwort</w:t>
      </w:r>
      <w:r>
        <w:rPr>
          <w:b w:val="0"/>
          <w:i w:val="0"/>
        </w:rPr>
        <w:t>, nicht der Eingang.</w:t>
      </w:r>
    </w:p>
    <w:p>
      <w:pPr>
        <w:pStyle w:val="Heading1"/>
      </w:pPr>
      <w:r>
        <w:rPr>
          <w:b w:val="0"/>
          <w:i w:val="0"/>
        </w:rPr>
        <w:t>2 · Die eine Bewegung</w:t>
      </w:r>
    </w:p>
    <w:p>
      <w:pPr>
        <w:pStyle w:val="Quote"/>
      </w:pPr>
      <w:r>
        <w:rPr>
          <w:b w:val="0"/>
          <w:i w:val="0"/>
        </w:rPr>
        <w:t>Ein Fall, der wehtut. Eine Umdeutung, die überrascht. Eine Kette, die trägt. Eine Probe, die schmerzt. Ein Nutzen, der bleibt.</w:t>
      </w:r>
    </w:p>
    <w:p>
      <w:pPr>
        <w:pStyle w:val="BodyText"/>
      </w:pPr>
      <w:r>
        <w:rPr>
          <w:b w:val="0"/>
          <w:i w:val="0"/>
        </w:rPr>
        <w:t>Fünf Züge, in dieser Reihenfolge. Jeder Zug beantwortet die Frage, die der vorige aufwirft.</w:t>
      </w:r>
    </w:p>
    <w:p>
      <w:pPr>
        <w:pStyle w:val="Heading1"/>
      </w:pPr>
      <w:r>
        <w:rPr>
          <w:b w:val="0"/>
          <w:i w:val="0"/>
        </w:rPr>
        <w:t>3 · Die fünf Züge</w:t>
      </w:r>
    </w:p>
    <w:p>
      <w:pPr>
        <w:pStyle w:val="Heading2"/>
      </w:pPr>
      <w:r>
        <w:rPr>
          <w:b w:val="0"/>
          <w:i w:val="0"/>
        </w:rPr>
        <w:t>Zug 1 — Der Fall</w:t>
      </w:r>
    </w:p>
    <w:p>
      <w:pPr>
        <w:pStyle w:val="BodyText"/>
      </w:pPr>
      <w:r>
        <w:rPr>
          <w:b w:val="0"/>
          <w:i w:val="0"/>
        </w:rPr>
        <w:t xml:space="preserve">Ein konkreter Schaden, den die Zuhörer wiedererkennen. </w:t>
      </w:r>
      <w:r>
        <w:rPr>
          <w:b/>
          <w:i w:val="0"/>
        </w:rPr>
        <w:t>Nicht</w:t>
      </w:r>
      <w:r>
        <w:rPr>
          <w:b w:val="0"/>
          <w:i w:val="0"/>
        </w:rPr>
        <w:t xml:space="preserve"> der offensichtliche («die KI hat etwas erfunden») — der ist bekannt und erzeugt Achselzucken. Der bessere Fall ist der </w:t>
      </w:r>
      <w:r>
        <w:rPr>
          <w:b w:val="0"/>
          <w:i/>
        </w:rPr>
        <w:t>stille</w:t>
      </w:r>
      <w:r>
        <w:rPr>
          <w:b w:val="0"/>
          <w:i w:val="0"/>
        </w:rPr>
        <w:t>:</w:t>
      </w:r>
    </w:p>
    <w:p>
      <w:pPr>
        <w:pStyle w:val="Quote"/>
      </w:pPr>
      <w:r>
        <w:rPr>
          <w:b w:val="0"/>
          <w:i w:val="0"/>
        </w:rPr>
        <w:t>Eine Organisation verschärft ihr Bewertungsraster. Niemand ändert alte Daten. Aber dieselbe Stufe bedeutet vor und nach der Änderung etwas anderes. Der Verlauf — der eigentliche Wert des Bestands — ist ab diesem Moment still verfälscht. Er sieht weiter gut aus und stimmt nicht mehr. Kein Test schlägt an. Niemand merkt es.</w:t>
      </w:r>
    </w:p>
    <w:p>
      <w:pPr>
        <w:pStyle w:val="BodyText"/>
      </w:pPr>
      <w:r>
        <w:rPr>
          <w:b w:val="0"/>
          <w:i w:val="0"/>
        </w:rPr>
        <w:t>Warum dieser Fall trägt: Er hat keinen Schuldigen, keine Fehlermeldung und kein Werkzeug, das ihn findet. Jeder im Raum hat das erlebt, ohne es benennen zu können.</w:t>
      </w:r>
    </w:p>
    <w:p>
      <w:pPr>
        <w:pStyle w:val="BodyText"/>
      </w:pPr>
      <w:r>
        <w:rPr>
          <w:b/>
          <w:i w:val="0"/>
        </w:rPr>
        <w:t>Handwerk:</w:t>
      </w:r>
      <w:r>
        <w:rPr>
          <w:b w:val="0"/>
          <w:i w:val="0"/>
        </w:rPr>
        <w:t xml:space="preserve"> Den Fall erzählen, nicht zusammenfassen. Erst am Ende sagen, dass es kein Einzelfall ist.</w:t>
      </w:r>
    </w:p>
    <w:p>
      <w:pPr>
        <w:pStyle w:val="Heading2"/>
      </w:pPr>
      <w:r>
        <w:rPr>
          <w:b w:val="0"/>
          <w:i w:val="0"/>
        </w:rPr>
        <w:t>Zug 2 — Die Umdeutung</w:t>
      </w:r>
    </w:p>
    <w:p>
      <w:pPr>
        <w:pStyle w:val="BodyText"/>
      </w:pPr>
      <w:r>
        <w:rPr>
          <w:b w:val="0"/>
          <w:i w:val="0"/>
        </w:rPr>
        <w:t xml:space="preserve">Hier wird die erwartete Frage ausgetauscht. Die Zuhörer erwarten: </w:t>
      </w:r>
      <w:r>
        <w:rPr>
          <w:b w:val="0"/>
          <w:i/>
        </w:rPr>
        <w:t>Wie machen wir KI zuverlässiger?</w:t>
      </w:r>
      <w:r>
        <w:rPr>
          <w:b w:val="0"/>
          <w:i w:val="0"/>
        </w:rPr>
        <w:t xml:space="preserve"> Die Antwort lautet:</w:t>
      </w:r>
    </w:p>
    <w:p>
      <w:pPr>
        <w:pStyle w:val="Quote"/>
      </w:pPr>
      <w:r>
        <w:rPr>
          <w:b w:val="0"/>
          <w:i w:val="0"/>
        </w:rPr>
        <w:t xml:space="preserve">Das ist nicht das Problem. Das Problem ist, dass man </w:t>
      </w:r>
      <w:r>
        <w:rPr>
          <w:b/>
          <w:i w:val="0"/>
        </w:rPr>
        <w:t>nicht mehr sieht</w:t>
      </w:r>
      <w:r>
        <w:rPr>
          <w:b w:val="0"/>
          <w:i w:val="0"/>
        </w:rPr>
        <w:t>, was beobachtet und was vermutet wurde, wer entschieden hat und woher eine Zahl stammt. Nicht falsch — unsichtbar.</w:t>
      </w:r>
    </w:p>
    <w:p>
      <w:pPr>
        <w:pStyle w:val="BodyText"/>
      </w:pPr>
      <w:r>
        <w:rPr>
          <w:b w:val="0"/>
          <w:i w:val="0"/>
        </w:rPr>
        <w:t>Und der Zusatz, der die Umdeutung festmacht:</w:t>
      </w:r>
    </w:p>
    <w:p>
      <w:pPr>
        <w:pStyle w:val="Quote"/>
      </w:pPr>
      <w:r>
        <w:rPr>
          <w:b w:val="0"/>
          <w:i w:val="0"/>
        </w:rPr>
        <w:t>Das ist kein Schulungsproblem. Man kann Menschen nicht beibringen, etwas zu prüfen, was das Werkzeug ihnen nicht zeigt. Es ist ein Gestaltungsproblem.</w:t>
      </w:r>
    </w:p>
    <w:p>
      <w:pPr>
        <w:pStyle w:val="BodyText"/>
      </w:pPr>
      <w:r>
        <w:rPr>
          <w:b w:val="0"/>
          <w:i w:val="0"/>
        </w:rPr>
        <w:t>Das ist der Punkt, an dem die Zuhörer aufhören, an Technik zu denken.</w:t>
      </w:r>
    </w:p>
    <w:p>
      <w:pPr>
        <w:pStyle w:val="Heading2"/>
      </w:pPr>
      <w:r>
        <w:rPr>
          <w:b w:val="0"/>
          <w:i w:val="0"/>
        </w:rPr>
        <w:t>Zug 3 — Die Kette</w:t>
      </w:r>
    </w:p>
    <w:p>
      <w:pPr>
        <w:pStyle w:val="BodyText"/>
      </w:pPr>
      <w:r>
        <w:rPr>
          <w:b w:val="0"/>
          <w:i w:val="0"/>
        </w:rPr>
        <w:t xml:space="preserve">Jetzt, und nicht früher, kommt der Aufbau. Vier Ebenen, und der Trick ist, sie über </w:t>
      </w:r>
      <w:r>
        <w:rPr>
          <w:b/>
          <w:i w:val="0"/>
        </w:rPr>
        <w:t>vier Fragen</w:t>
      </w:r>
      <w:r>
        <w:rPr>
          <w:b w:val="0"/>
          <w:i w:val="0"/>
        </w:rPr>
        <w:t xml:space="preserve"> einzuführen statt über vier Substantive: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i w:val="0"/>
              </w:rPr>
              <w:t>Ebene</w:t>
            </w:r>
          </w:p>
        </w:tc>
        <w:tc>
          <w:tcPr>
            <w:tcW w:type="dxa" w:w="2880"/>
          </w:tcPr>
          <w:p>
            <w:r>
              <w:rPr>
                <w:b/>
                <w:i w:val="0"/>
              </w:rPr>
              <w:t>Die Frage, die sie beantwortet</w:t>
            </w:r>
          </w:p>
        </w:tc>
        <w:tc>
          <w:tcPr>
            <w:tcW w:type="dxa" w:w="2880"/>
          </w:tcPr>
          <w:p>
            <w:r>
              <w:rPr>
                <w:b/>
                <w:i w:val="0"/>
              </w:rPr>
              <w:t>Woran man erkennt, dass man auf dieser Ebene ist</w:t>
            </w:r>
          </w:p>
        </w:tc>
      </w:tr>
      <w:tr>
        <w:tc>
          <w:tcPr>
            <w:tcW w:type="dxa" w:w="2880"/>
          </w:tcPr>
          <w:p>
            <w:r>
              <w:rPr>
                <w:b w:val="0"/>
                <w:i w:val="0"/>
              </w:rPr>
              <w:t>Wert</w:t>
            </w:r>
          </w:p>
        </w:tc>
        <w:tc>
          <w:tcPr>
            <w:tcW w:type="dxa" w:w="2880"/>
          </w:tcPr>
          <w:p>
            <w:r>
              <w:rPr>
                <w:b w:val="0"/>
                <w:i w:val="0"/>
              </w:rPr>
              <w:t>Wofür stehe ich ein?</w:t>
            </w:r>
          </w:p>
        </w:tc>
        <w:tc>
          <w:tcPr>
            <w:tcW w:type="dxa" w:w="2880"/>
          </w:tcPr>
          <w:p>
            <w:r>
              <w:rPr>
                <w:b w:val="0"/>
                <w:i w:val="0"/>
              </w:rPr>
              <w:t>Der Satz gilt auch ohne Computer</w:t>
            </w:r>
          </w:p>
        </w:tc>
      </w:tr>
      <w:tr>
        <w:tc>
          <w:tcPr>
            <w:tcW w:type="dxa" w:w="2880"/>
          </w:tcPr>
          <w:p>
            <w:r>
              <w:rPr>
                <w:b w:val="0"/>
                <w:i w:val="0"/>
              </w:rPr>
              <w:t>Prinzip</w:t>
            </w:r>
          </w:p>
        </w:tc>
        <w:tc>
          <w:tcPr>
            <w:tcW w:type="dxa" w:w="2880"/>
          </w:tcPr>
          <w:p>
            <w:r>
              <w:rPr>
                <w:b w:val="0"/>
                <w:i w:val="0"/>
              </w:rPr>
              <w:t>Wie muss ein Werkzeug gebaut sein, damit das eingelöst ist?</w:t>
            </w:r>
          </w:p>
        </w:tc>
        <w:tc>
          <w:tcPr>
            <w:tcW w:type="dxa" w:w="2880"/>
          </w:tcPr>
          <w:p>
            <w:r>
              <w:rPr>
                <w:b w:val="0"/>
                <w:i w:val="0"/>
              </w:rPr>
              <w:t>Der Satz gilt für jedes Werkzeug, nicht für eines</w:t>
            </w:r>
          </w:p>
        </w:tc>
      </w:tr>
      <w:tr>
        <w:tc>
          <w:tcPr>
            <w:tcW w:type="dxa" w:w="2880"/>
          </w:tcPr>
          <w:p>
            <w:r>
              <w:rPr>
                <w:b w:val="0"/>
                <w:i w:val="0"/>
              </w:rPr>
              <w:t>Technische Regel</w:t>
            </w:r>
          </w:p>
        </w:tc>
        <w:tc>
          <w:tcPr>
            <w:tcW w:type="dxa" w:w="2880"/>
          </w:tcPr>
          <w:p>
            <w:r>
              <w:rPr>
                <w:b w:val="0"/>
                <w:i w:val="0"/>
              </w:rPr>
              <w:t>Was heisst das im Code?</w:t>
            </w:r>
          </w:p>
        </w:tc>
        <w:tc>
          <w:tcPr>
            <w:tcW w:type="dxa" w:w="2880"/>
          </w:tcPr>
          <w:p>
            <w:r>
              <w:rPr>
                <w:b w:val="0"/>
                <w:i w:val="0"/>
              </w:rPr>
              <w:t>Man kann dagegen verstossen</w:t>
            </w:r>
          </w:p>
        </w:tc>
      </w:tr>
      <w:tr>
        <w:tc>
          <w:tcPr>
            <w:tcW w:type="dxa" w:w="2880"/>
          </w:tcPr>
          <w:p>
            <w:r>
              <w:rPr>
                <w:b w:val="0"/>
                <w:i w:val="0"/>
              </w:rPr>
              <w:t>Nachweis</w:t>
            </w:r>
          </w:p>
        </w:tc>
        <w:tc>
          <w:tcPr>
            <w:tcW w:type="dxa" w:w="2880"/>
          </w:tcPr>
          <w:p>
            <w:r>
              <w:rPr>
                <w:b w:val="0"/>
                <w:i w:val="0"/>
              </w:rPr>
              <w:t>Woran sieht man, dass es eingehalten wurde?</w:t>
            </w:r>
          </w:p>
        </w:tc>
        <w:tc>
          <w:tcPr>
            <w:tcW w:type="dxa" w:w="2880"/>
          </w:tcPr>
          <w:p>
            <w:r>
              <w:rPr>
                <w:b w:val="0"/>
                <w:i w:val="0"/>
              </w:rPr>
              <w:t>Es ist ein Dokument, kein Wort</w:t>
            </w:r>
          </w:p>
        </w:tc>
      </w:tr>
    </w:tbl>
    <w:p/>
    <w:p>
      <w:pPr>
        <w:pStyle w:val="BodyText"/>
      </w:pPr>
      <w:r>
        <w:rPr>
          <w:b/>
          <w:i w:val="0"/>
        </w:rPr>
        <w:t>Und genau ein Prinzip wird durchgezogen</w:t>
      </w:r>
      <w:r>
        <w:rPr>
          <w:b w:val="0"/>
          <w:i w:val="0"/>
        </w:rPr>
        <w:t xml:space="preserve"> — von oben bis unten, an dem Fall aus Zug 1:</w:t>
      </w:r>
    </w:p>
    <w:p>
      <w:pPr>
        <w:pStyle w:val="ListBullet"/>
      </w:pPr>
      <w:r>
        <w:rPr>
          <w:b/>
          <w:i w:val="0"/>
        </w:rPr>
        <w:t>Wert:</w:t>
      </w:r>
      <w:r>
        <w:rPr>
          <w:b w:val="0"/>
          <w:i w:val="0"/>
        </w:rPr>
        <w:t xml:space="preserve"> Was bleibt, ist die menschliche Fähigkeit zu erinnern.</w:t>
      </w:r>
    </w:p>
    <w:p>
      <w:pPr>
        <w:pStyle w:val="ListBullet"/>
      </w:pPr>
      <w:r>
        <w:rPr>
          <w:b/>
          <w:i w:val="0"/>
        </w:rPr>
        <w:t>Prinzip:</w:t>
      </w:r>
      <w:r>
        <w:rPr>
          <w:b w:val="0"/>
          <w:i w:val="0"/>
        </w:rPr>
        <w:t xml:space="preserve"> Änderungen sind Übergänge, keine Brüche. Wer eine Bedeutung ändert, ändert die Bedeutung aller gespeicherten Daten.</w:t>
      </w:r>
    </w:p>
    <w:p>
      <w:pPr>
        <w:pStyle w:val="ListBullet"/>
      </w:pPr>
      <w:r>
        <w:rPr>
          <w:b/>
          <w:i w:val="0"/>
        </w:rPr>
        <w:t>Technische Regel:</w:t>
      </w:r>
      <w:r>
        <w:rPr>
          <w:b w:val="0"/>
          <w:i w:val="0"/>
        </w:rPr>
        <w:t xml:space="preserve"> Jedes gespeicherte Objekt weiss, unter welcher Fassung des Bewertungsrasters es entstanden ist. Eine Änderung ohne Übergangsregel wird abgewiesen.</w:t>
      </w:r>
    </w:p>
    <w:p>
      <w:pPr>
        <w:pStyle w:val="ListBullet"/>
      </w:pPr>
      <w:r>
        <w:rPr>
          <w:b/>
          <w:i w:val="0"/>
        </w:rPr>
        <w:t>Nachweis:</w:t>
      </w:r>
      <w:r>
        <w:rPr>
          <w:b w:val="0"/>
          <w:i w:val="0"/>
        </w:rPr>
        <w:t xml:space="preserve"> Das Bewertungsraster ist selbst ein versioniertes Objekt mit Historie.</w:t>
      </w:r>
    </w:p>
    <w:p>
      <w:pPr>
        <w:pStyle w:val="BodyText"/>
      </w:pPr>
      <w:r>
        <w:rPr>
          <w:b w:val="0"/>
          <w:i w:val="0"/>
        </w:rPr>
        <w:t xml:space="preserve">Erst danach der Satz: </w:t>
      </w:r>
      <w:r>
        <w:rPr>
          <w:b w:val="0"/>
          <w:i/>
        </w:rPr>
        <w:t>Das gibt es dreizehnmal.</w:t>
      </w:r>
      <w:r>
        <w:rPr>
          <w:b w:val="0"/>
          <w:i w:val="0"/>
        </w:rPr>
        <w:t xml:space="preserve"> Ohne die dreizehn zu zeigen.</w:t>
      </w:r>
    </w:p>
    <w:p>
      <w:pPr>
        <w:pStyle w:val="Heading2"/>
      </w:pPr>
      <w:r>
        <w:rPr>
          <w:b w:val="0"/>
          <w:i w:val="0"/>
        </w:rPr>
        <w:t>Zug 4 — Die Probe</w:t>
      </w:r>
    </w:p>
    <w:p>
      <w:pPr>
        <w:pStyle w:val="BodyText"/>
      </w:pPr>
      <w:r>
        <w:rPr>
          <w:b w:val="0"/>
          <w:i w:val="0"/>
        </w:rPr>
        <w:t>Der Zug, der über die Glaubwürdigkeit entscheidet. Ohne ihn ist alles, was vorher gesagt wurde, eine Behauptung. Drei Belege, kurz nebeneinander:</w:t>
      </w:r>
    </w:p>
    <w:p>
      <w:pPr>
        <w:pStyle w:val="ListNumber"/>
      </w:pPr>
      <w:r>
        <w:rPr>
          <w:b/>
          <w:i w:val="0"/>
        </w:rPr>
        <w:t>Zwei Regeln haben keinen Wert dahinter.</w:t>
      </w:r>
      <w:r>
        <w:rPr>
          <w:b w:val="0"/>
          <w:i w:val="0"/>
        </w:rPr>
        <w:t xml:space="preserve"> Konfiguration vor Programmierung und kontrolliertes Vokabular sind Ingenieursregeln. Sie stehen als solche im Dokument. Ein Regelwerk, in dem ausnahmslos jede Regel aus einem Wert folgt, ist nachträglich konstruiert.</w:t>
      </w:r>
    </w:p>
    <w:p>
      <w:pPr>
        <w:pStyle w:val="ListNumber"/>
      </w:pPr>
      <w:r>
        <w:rPr>
          <w:b/>
          <w:i w:val="0"/>
        </w:rPr>
        <w:t>Ein Wertsatz ist geschrieben und zurückgehalten.</w:t>
      </w:r>
      <w:r>
        <w:rPr>
          <w:b w:val="0"/>
          <w:i w:val="0"/>
        </w:rPr>
        <w:t xml:space="preserve"> «Anvertrautes Wissen bleibt getrennt» steht formuliert bereit — und nicht im Manifest, weil vorher geregelt sein muss, wer etwas zum Teilen bestimmen darf. Er wird Geld kosten.</w:t>
      </w:r>
    </w:p>
    <w:p>
      <w:pPr>
        <w:pStyle w:val="ListNumber"/>
      </w:pPr>
      <w:r>
        <w:rPr>
          <w:b/>
          <w:i w:val="0"/>
        </w:rPr>
        <w:t>Das eine Produkt, das gemessen wurde, ist durchgefallen.</w:t>
      </w:r>
      <w:r>
        <w:rPr>
          <w:b w:val="0"/>
          <w:i w:val="0"/>
        </w:rPr>
        <w:t xml:space="preserve"> Zwei Prinzipien erfüllt, neun teilweise, zwei offen — mit einem Muss-Befund.</w:t>
      </w:r>
    </w:p>
    <w:p>
      <w:pPr>
        <w:pStyle w:val="BodyText"/>
      </w:pPr>
      <w:r>
        <w:rPr>
          <w:b/>
          <w:i w:val="0"/>
        </w:rPr>
        <w:t>Der Satz, der diesen Zug hält:</w:t>
      </w:r>
    </w:p>
    <w:p>
      <w:pPr>
        <w:pStyle w:val="Quote"/>
      </w:pPr>
      <w:r>
        <w:rPr>
          <w:b w:val="0"/>
          <w:i w:val="0"/>
        </w:rPr>
        <w:t>Ein Regelwerk, das der eigenen Praxis nie unbequem wird, ist Dekoration.</w:t>
      </w:r>
    </w:p>
    <w:p>
      <w:pPr>
        <w:pStyle w:val="Heading2"/>
      </w:pPr>
      <w:r>
        <w:rPr>
          <w:b w:val="0"/>
          <w:i w:val="0"/>
        </w:rPr>
        <w:t>Zug 5 — Der Nutzen</w:t>
      </w:r>
    </w:p>
    <w:p>
      <w:pPr>
        <w:pStyle w:val="BodyText"/>
      </w:pPr>
      <w:r>
        <w:rPr>
          <w:b w:val="0"/>
          <w:i w:val="0"/>
        </w:rPr>
        <w:t>Was der Zuhörer davon hat. Je Publikum verschieden, aber immer derselbe Kern:</w:t>
      </w:r>
    </w:p>
    <w:p>
      <w:pPr>
        <w:pStyle w:val="Quote"/>
      </w:pPr>
      <w:r>
        <w:rPr>
          <w:b w:val="0"/>
          <w:i w:val="0"/>
        </w:rPr>
        <w:t>Regeln, die man prüfen kann, statt Regeln, die man gelesen hat. Am Ende steht kein Leitbild, sondern ein Protokoll — und darin auch die Stellen, an denen es nicht eingehalten wurde.</w:t>
      </w:r>
    </w:p>
    <w:p>
      <w:pPr>
        <w:pStyle w:val="Heading1"/>
      </w:pPr>
      <w:r>
        <w:rPr>
          <w:b w:val="0"/>
          <w:i w:val="0"/>
        </w:rPr>
        <w:t>4 · Drei Längen</w:t>
      </w:r>
    </w:p>
    <w:p>
      <w:pPr>
        <w:pStyle w:val="Heading2"/>
      </w:pPr>
      <w:r>
        <w:rPr>
          <w:b w:val="0"/>
          <w:i w:val="0"/>
        </w:rPr>
        <w:t>Ein Satz</w:t>
      </w:r>
    </w:p>
    <w:p>
      <w:pPr>
        <w:pStyle w:val="Quote"/>
      </w:pPr>
      <w:r>
        <w:rPr>
          <w:b w:val="0"/>
          <w:i w:val="0"/>
        </w:rPr>
        <w:t>Ich baue Werkzeuge, die sichtbar machen, was sie wissen, woher sie es wissen und was sie nur vermuten — und ich schreibe vorher auf, wofür ich einstehe, damit man mich daran messen kann.</w:t>
      </w:r>
    </w:p>
    <w:p>
      <w:pPr>
        <w:pStyle w:val="Heading2"/>
      </w:pPr>
      <w:r>
        <w:rPr>
          <w:b w:val="0"/>
          <w:i w:val="0"/>
        </w:rPr>
        <w:t>Drei Minuten</w:t>
      </w:r>
    </w:p>
    <w:p>
      <w:pPr>
        <w:pStyle w:val="BodyText"/>
      </w:pPr>
      <w:r>
        <w:rPr>
          <w:b w:val="0"/>
          <w:i w:val="0"/>
        </w:rPr>
        <w:t xml:space="preserve">Zug 1 in drei Sätzen · Zug 2 in zwei · Zug 3 nur als vier Fragen, ohne Beispiel · Zug 4 mit </w:t>
      </w:r>
      <w:r>
        <w:rPr>
          <w:b/>
          <w:i w:val="0"/>
        </w:rPr>
        <w:t>einem</w:t>
      </w:r>
      <w:r>
        <w:rPr>
          <w:b w:val="0"/>
          <w:i w:val="0"/>
        </w:rPr>
        <w:t xml:space="preserve"> der drei Belege · Zug 5 in einem Satz. Die dreizehn Prinzipien kommen nicht vor.</w:t>
      </w:r>
    </w:p>
    <w:p>
      <w:pPr>
        <w:pStyle w:val="Heading2"/>
      </w:pPr>
      <w:r>
        <w:rPr>
          <w:b w:val="0"/>
          <w:i w:val="0"/>
        </w:rPr>
        <w:t>Zwanzig Minuten</w:t>
      </w:r>
    </w:p>
    <w:p>
      <w:pPr>
        <w:pStyle w:val="BodyText"/>
      </w:pPr>
      <w:r>
        <w:rPr>
          <w:b w:val="0"/>
          <w:i w:val="0"/>
        </w:rPr>
        <w:t>Alle fünf Züge, Zug 3 mit dem durchgezogenen Prinzip, Zug 4 mit allen drei Belegen. Erst wenn gefragt wird, kommt die Übersicht der dreizehn — als Antwort, nicht als Gliederung.</w:t>
      </w:r>
    </w:p>
    <w:p>
      <w:pPr>
        <w:pStyle w:val="Heading1"/>
      </w:pPr>
      <w:r>
        <w:rPr>
          <w:b w:val="0"/>
          <w:i w:val="0"/>
        </w:rPr>
        <w:t>5 · Die vier Fragen als Rückgrat für Fortgeschrittene</w:t>
      </w:r>
    </w:p>
    <w:p>
      <w:pPr>
        <w:pStyle w:val="BodyText"/>
      </w:pPr>
      <w:r>
        <w:rPr>
          <w:b w:val="0"/>
          <w:i w:val="0"/>
        </w:rPr>
        <w:t>Wenn die Zuhörer fachlich sind und mehr wollen, gibt es eine zweite, schärfere Fassung von Zug 3. Sie besteht aus vier Fragen, die zusammen die Provenienzkette bilden: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i w:val="0"/>
              </w:rPr>
              <w:t>#</w:t>
            </w:r>
          </w:p>
        </w:tc>
        <w:tc>
          <w:tcPr>
            <w:tcW w:type="dxa" w:w="2880"/>
          </w:tcPr>
          <w:p>
            <w:r>
              <w:rPr>
                <w:b/>
                <w:i w:val="0"/>
              </w:rPr>
              <w:t>Frage</w:t>
            </w:r>
          </w:p>
        </w:tc>
        <w:tc>
          <w:tcPr>
            <w:tcW w:type="dxa" w:w="2880"/>
          </w:tcPr>
          <w:p>
            <w:r>
              <w:rPr>
                <w:b/>
                <w:i w:val="0"/>
              </w:rPr>
              <w:t>Wo sie beantwortet ist</w:t>
            </w:r>
          </w:p>
        </w:tc>
      </w:tr>
      <w:tr>
        <w:tc>
          <w:tcPr>
            <w:tcW w:type="dxa" w:w="2880"/>
          </w:tcPr>
          <w:p>
            <w:r>
              <w:rPr>
                <w:b w:val="0"/>
                <w:i w:val="0"/>
              </w:rPr>
              <w:t>1</w:t>
            </w:r>
          </w:p>
        </w:tc>
        <w:tc>
          <w:tcPr>
            <w:tcW w:type="dxa" w:w="2880"/>
          </w:tcPr>
          <w:p>
            <w:r>
              <w:rPr>
                <w:b w:val="0"/>
                <w:i w:val="0"/>
              </w:rPr>
              <w:t>Was weiss das System — und mit welchem Geltungsanspruch?</w:t>
            </w:r>
          </w:p>
        </w:tc>
        <w:tc>
          <w:tcPr>
            <w:tcW w:type="dxa" w:w="2880"/>
          </w:tcPr>
          <w:p>
            <w:r>
              <w:rPr>
                <w:b w:val="0"/>
                <w:i w:val="0"/>
              </w:rPr>
              <w:t>Wertsatz zu Beobachtetem und Vermutetem</w:t>
            </w:r>
          </w:p>
        </w:tc>
      </w:tr>
      <w:tr>
        <w:tc>
          <w:tcPr>
            <w:tcW w:type="dxa" w:w="2880"/>
          </w:tcPr>
          <w:p>
            <w:r>
              <w:rPr>
                <w:b w:val="0"/>
                <w:i w:val="0"/>
              </w:rPr>
              <w:t>2</w:t>
            </w:r>
          </w:p>
        </w:tc>
        <w:tc>
          <w:tcPr>
            <w:tcW w:type="dxa" w:w="2880"/>
          </w:tcPr>
          <w:p>
            <w:r>
              <w:rPr>
                <w:b w:val="0"/>
                <w:i w:val="0"/>
              </w:rPr>
              <w:t>Woher weiss es das?</w:t>
            </w:r>
          </w:p>
        </w:tc>
        <w:tc>
          <w:tcPr>
            <w:tcW w:type="dxa" w:w="2880"/>
          </w:tcPr>
          <w:p>
            <w:r>
              <w:rPr>
                <w:b w:val="0"/>
                <w:i w:val="0"/>
              </w:rPr>
              <w:t>Prinzip: jedes Ergebnis trägt seine Herkunft</w:t>
            </w:r>
          </w:p>
        </w:tc>
      </w:tr>
      <w:tr>
        <w:tc>
          <w:tcPr>
            <w:tcW w:type="dxa" w:w="2880"/>
          </w:tcPr>
          <w:p>
            <w:r>
              <w:rPr>
                <w:b w:val="0"/>
                <w:i w:val="0"/>
              </w:rPr>
              <w:t>3</w:t>
            </w:r>
          </w:p>
        </w:tc>
        <w:tc>
          <w:tcPr>
            <w:tcW w:type="dxa" w:w="2880"/>
          </w:tcPr>
          <w:p>
            <w:r>
              <w:rPr>
                <w:b w:val="0"/>
                <w:i w:val="0"/>
              </w:rPr>
              <w:t>Wer hat die Grundlage anvertraut?</w:t>
            </w:r>
          </w:p>
        </w:tc>
        <w:tc>
          <w:tcPr>
            <w:tcW w:type="dxa" w:w="2880"/>
          </w:tcPr>
          <w:p>
            <w:r>
              <w:rPr>
                <w:b w:val="0"/>
                <w:i w:val="0"/>
              </w:rPr>
              <w:t>zurückgehaltener Wertsatz zum Anvertrauten</w:t>
            </w:r>
          </w:p>
        </w:tc>
      </w:tr>
      <w:tr>
        <w:tc>
          <w:tcPr>
            <w:tcW w:type="dxa" w:w="2880"/>
          </w:tcPr>
          <w:p>
            <w:r>
              <w:rPr>
                <w:b w:val="0"/>
                <w:i w:val="0"/>
              </w:rPr>
              <w:t>4</w:t>
            </w:r>
          </w:p>
        </w:tc>
        <w:tc>
          <w:tcPr>
            <w:tcW w:type="dxa" w:w="2880"/>
          </w:tcPr>
          <w:p>
            <w:r>
              <w:rPr>
                <w:b w:val="0"/>
                <w:i w:val="0"/>
              </w:rPr>
              <w:t xml:space="preserve">Was darf mit dem daraus </w:t>
            </w:r>
            <w:r>
              <w:rPr>
                <w:b/>
                <w:i w:val="0"/>
              </w:rPr>
              <w:t>Abgeleiteten</w:t>
            </w:r>
            <w:r>
              <w:rPr>
                <w:b w:val="0"/>
                <w:i w:val="0"/>
              </w:rPr>
              <w:t xml:space="preserve"> geschehen?</w:t>
            </w:r>
          </w:p>
        </w:tc>
        <w:tc>
          <w:tcPr>
            <w:tcW w:type="dxa" w:w="2880"/>
          </w:tcPr>
          <w:p>
            <w:r>
              <w:rPr>
                <w:b/>
                <w:i w:val="0"/>
              </w:rPr>
              <w:t>nirgends</w:t>
            </w:r>
          </w:p>
        </w:tc>
      </w:tr>
    </w:tbl>
    <w:p/>
    <w:p>
      <w:pPr>
        <w:pStyle w:val="BodyText"/>
      </w:pPr>
      <w:r>
        <w:rPr>
          <w:b w:val="0"/>
          <w:i w:val="0"/>
        </w:rPr>
        <w:t>Die vierte Zeile ist der stärkste Moment des ganzen Vortrags, wenn man sie richtig setzt: Sie ist keine Lücke aus Nachlässigkeit. Sie entsteht erst dadurch, dass die drei anderen Fragen beantwortet sind — und fällt genau deshalb durch alle drei hindurch.</w:t>
      </w:r>
    </w:p>
    <w:p>
      <w:pPr>
        <w:pStyle w:val="BodyText"/>
      </w:pPr>
      <w:r>
        <w:rPr>
          <w:b w:val="0"/>
          <w:i w:val="0"/>
        </w:rPr>
        <w:t>Konkret: Wird eine Grundlage widerrufen, lässt sich der Datensatz löschen. Das daraus Abgeleitete nicht — es ist längst in andere Bestände eingegangen. Herkunft müsste eine transitive Eigenschaft werden.</w:t>
      </w:r>
    </w:p>
    <w:p>
      <w:pPr>
        <w:pStyle w:val="BodyText"/>
      </w:pPr>
      <w:r>
        <w:rPr>
          <w:b/>
          <w:i w:val="0"/>
        </w:rPr>
        <w:t>Nur für fachliches Publikum.</w:t>
      </w:r>
      <w:r>
        <w:rPr>
          <w:b w:val="0"/>
          <w:i w:val="0"/>
        </w:rPr>
        <w:t xml:space="preserve"> Bei allen anderen ist dieser Abschnitt der Punkt, an dem die Aufmerksamkeit kippt.</w:t>
      </w:r>
    </w:p>
    <w:p>
      <w:pPr>
        <w:pStyle w:val="Heading1"/>
      </w:pPr>
      <w:r>
        <w:rPr>
          <w:b w:val="0"/>
          <w:i w:val="0"/>
        </w:rPr>
        <w:t>6 · Sprache: was übersetzt werden muss</w:t>
      </w:r>
    </w:p>
    <w:p>
      <w:pPr>
        <w:pStyle w:val="BodyText"/>
      </w:pPr>
      <w:r>
        <w:rPr>
          <w:b w:val="0"/>
          <w:i w:val="0"/>
        </w:rPr>
        <w:t>Die Begriffe sind innen präzise und aussen undurchdringlich.</w:t>
      </w:r>
    </w:p>
    <w:tbl>
      <w:tblPr>
        <w:tblStyle w:val="LightGrid-Accent1"/>
        <w:tblW w:type="auto" w:w="0"/>
        <w:tblLook w:firstColumn="1" w:firstRow="1" w:lastColumn="0" w:lastRow="0" w:noHBand="0" w:noVBand="1" w:val="04A0"/>
      </w:tblPr>
      <w:tblGrid>
        <w:gridCol w:w="4320"/>
        <w:gridCol w:w="4320"/>
      </w:tblGrid>
      <w:tr>
        <w:tc>
          <w:tcPr>
            <w:tcW w:type="dxa" w:w="4320"/>
          </w:tcPr>
          <w:p>
            <w:r>
              <w:rPr>
                <w:b/>
                <w:i w:val="0"/>
              </w:rPr>
              <w:t>Innen</w:t>
            </w:r>
          </w:p>
        </w:tc>
        <w:tc>
          <w:tcPr>
            <w:tcW w:type="dxa" w:w="4320"/>
          </w:tcPr>
          <w:p>
            <w:r>
              <w:rPr>
                <w:b/>
                <w:i w:val="0"/>
              </w:rPr>
              <w:t>Aussen</w:t>
            </w:r>
          </w:p>
        </w:tc>
      </w:tr>
      <w:tr>
        <w:tc>
          <w:tcPr>
            <w:tcW w:type="dxa" w:w="4320"/>
          </w:tcPr>
          <w:p>
            <w:r>
              <w:rPr>
                <w:b w:val="0"/>
                <w:i w:val="0"/>
              </w:rPr>
              <w:t>Verankerung</w:t>
            </w:r>
          </w:p>
        </w:tc>
        <w:tc>
          <w:tcPr>
            <w:tcW w:type="dxa" w:w="4320"/>
          </w:tcPr>
          <w:p>
            <w:r>
              <w:rPr>
                <w:b w:val="0"/>
                <w:i w:val="0"/>
              </w:rPr>
              <w:t>worauf sich die Regel stützt</w:t>
            </w:r>
          </w:p>
        </w:tc>
      </w:tr>
      <w:tr>
        <w:tc>
          <w:tcPr>
            <w:tcW w:type="dxa" w:w="4320"/>
          </w:tcPr>
          <w:p>
            <w:r>
              <w:rPr>
                <w:b w:val="0"/>
                <w:i w:val="0"/>
              </w:rPr>
              <w:t>Negativraum</w:t>
            </w:r>
          </w:p>
        </w:tc>
        <w:tc>
          <w:tcPr>
            <w:tcW w:type="dxa" w:w="4320"/>
          </w:tcPr>
          <w:p>
            <w:r>
              <w:rPr>
                <w:b w:val="0"/>
                <w:i w:val="0"/>
              </w:rPr>
              <w:t>was das Werkzeug nicht tun darf</w:t>
            </w:r>
          </w:p>
        </w:tc>
      </w:tr>
      <w:tr>
        <w:tc>
          <w:tcPr>
            <w:tcW w:type="dxa" w:w="4320"/>
          </w:tcPr>
          <w:p>
            <w:r>
              <w:rPr>
                <w:b w:val="0"/>
                <w:i w:val="0"/>
              </w:rPr>
              <w:t>Kennung</w:t>
            </w:r>
          </w:p>
        </w:tc>
        <w:tc>
          <w:tcPr>
            <w:tcW w:type="dxa" w:w="4320"/>
          </w:tcPr>
          <w:p>
            <w:r>
              <w:rPr>
                <w:b w:val="0"/>
                <w:i w:val="0"/>
              </w:rPr>
              <w:t>eine Nummer, damit man sich darauf berufen kann</w:t>
            </w:r>
          </w:p>
        </w:tc>
      </w:tr>
      <w:tr>
        <w:tc>
          <w:tcPr>
            <w:tcW w:type="dxa" w:w="4320"/>
          </w:tcPr>
          <w:p>
            <w:r>
              <w:rPr>
                <w:b w:val="0"/>
                <w:i w:val="0"/>
              </w:rPr>
              <w:t>Capability</w:t>
            </w:r>
          </w:p>
        </w:tc>
        <w:tc>
          <w:tcPr>
            <w:tcW w:type="dxa" w:w="4320"/>
          </w:tcPr>
          <w:p>
            <w:r>
              <w:rPr>
                <w:b w:val="0"/>
                <w:i w:val="0"/>
              </w:rPr>
              <w:t>Baustein</w:t>
            </w:r>
          </w:p>
        </w:tc>
      </w:tr>
      <w:tr>
        <w:tc>
          <w:tcPr>
            <w:tcW w:type="dxa" w:w="4320"/>
          </w:tcPr>
          <w:p>
            <w:r>
              <w:rPr>
                <w:b w:val="0"/>
                <w:i w:val="0"/>
              </w:rPr>
              <w:t>Konformitätsnachweis</w:t>
            </w:r>
          </w:p>
        </w:tc>
        <w:tc>
          <w:tcPr>
            <w:tcW w:type="dxa" w:w="4320"/>
          </w:tcPr>
          <w:p>
            <w:r>
              <w:rPr>
                <w:b w:val="0"/>
                <w:i w:val="0"/>
              </w:rPr>
              <w:t>Zeile für Zeile: erfüllt, nicht erfüllt, offen</w:t>
            </w:r>
          </w:p>
        </w:tc>
      </w:tr>
      <w:tr>
        <w:tc>
          <w:tcPr>
            <w:tcW w:type="dxa" w:w="4320"/>
          </w:tcPr>
          <w:p>
            <w:r>
              <w:rPr>
                <w:b w:val="0"/>
                <w:i w:val="0"/>
              </w:rPr>
              <w:t>Mandantentrennung</w:t>
            </w:r>
          </w:p>
        </w:tc>
        <w:tc>
          <w:tcPr>
            <w:tcW w:type="dxa" w:w="4320"/>
          </w:tcPr>
          <w:p>
            <w:r>
              <w:rPr>
                <w:b w:val="0"/>
                <w:i w:val="0"/>
              </w:rPr>
              <w:t>Kundendaten bleiben getrennt</w:t>
            </w:r>
          </w:p>
        </w:tc>
      </w:tr>
      <w:tr>
        <w:tc>
          <w:tcPr>
            <w:tcW w:type="dxa" w:w="4320"/>
          </w:tcPr>
          <w:p>
            <w:r>
              <w:rPr>
                <w:b w:val="0"/>
                <w:i w:val="0"/>
              </w:rPr>
              <w:t>Provenienz</w:t>
            </w:r>
          </w:p>
        </w:tc>
        <w:tc>
          <w:tcPr>
            <w:tcW w:type="dxa" w:w="4320"/>
          </w:tcPr>
          <w:p>
            <w:r>
              <w:rPr>
                <w:b w:val="0"/>
                <w:i w:val="0"/>
              </w:rPr>
              <w:t>Herkunft</w:t>
            </w:r>
          </w:p>
        </w:tc>
      </w:tr>
      <w:tr>
        <w:tc>
          <w:tcPr>
            <w:tcW w:type="dxa" w:w="4320"/>
          </w:tcPr>
          <w:p>
            <w:r>
              <w:rPr>
                <w:b w:val="0"/>
                <w:i w:val="0"/>
              </w:rPr>
              <w:t>Invariante</w:t>
            </w:r>
          </w:p>
        </w:tc>
        <w:tc>
          <w:tcPr>
            <w:tcW w:type="dxa" w:w="4320"/>
          </w:tcPr>
          <w:p>
            <w:r>
              <w:rPr>
                <w:b w:val="0"/>
                <w:i w:val="0"/>
              </w:rPr>
              <w:t>eine Regel, die eine Maschine prüft</w:t>
            </w:r>
          </w:p>
        </w:tc>
      </w:tr>
      <w:tr>
        <w:tc>
          <w:tcPr>
            <w:tcW w:type="dxa" w:w="4320"/>
          </w:tcPr>
          <w:p>
            <w:r>
              <w:rPr>
                <w:b w:val="0"/>
                <w:i w:val="0"/>
              </w:rPr>
              <w:t>Governance-Mixin</w:t>
            </w:r>
          </w:p>
        </w:tc>
        <w:tc>
          <w:tcPr>
            <w:tcW w:type="dxa" w:w="4320"/>
          </w:tcPr>
          <w:p>
            <w:r>
              <w:rPr>
                <w:b w:val="0"/>
                <w:i w:val="0"/>
              </w:rPr>
              <w:t>jedes Objekt weiss, wer es wann verändert hat</w:t>
            </w:r>
          </w:p>
        </w:tc>
      </w:tr>
    </w:tbl>
    <w:p/>
    <w:p>
      <w:pPr>
        <w:pStyle w:val="BodyText"/>
      </w:pPr>
      <w:r>
        <w:rPr>
          <w:b w:val="0"/>
          <w:i w:val="0"/>
        </w:rPr>
        <w:t>Faustregel: Kennungen (</w:t>
      </w:r>
      <w:r>
        <w:rPr>
          <w:rFonts w:ascii="Consolas" w:hAnsi="Consolas"/>
          <w:b w:val="0"/>
          <w:i w:val="0"/>
          <w:sz w:val="18"/>
        </w:rPr>
        <w:t>RA-09</w:t>
      </w:r>
      <w:r>
        <w:rPr>
          <w:b w:val="0"/>
          <w:i w:val="0"/>
        </w:rPr>
        <w:t xml:space="preserve">, </w:t>
      </w:r>
      <w:r>
        <w:rPr>
          <w:rFonts w:ascii="Consolas" w:hAnsi="Consolas"/>
          <w:b w:val="0"/>
          <w:i w:val="0"/>
          <w:sz w:val="18"/>
        </w:rPr>
        <w:t>PH-03</w:t>
      </w:r>
      <w:r>
        <w:rPr>
          <w:b w:val="0"/>
          <w:i w:val="0"/>
        </w:rPr>
        <w:t>) sind Werkzeuge für Dokumente, nicht für Gespräche. Im Gespräch nennt man den Satz, nicht die Nummer.</w:t>
      </w:r>
    </w:p>
    <w:p>
      <w:pPr>
        <w:pStyle w:val="Heading1"/>
      </w:pPr>
      <w:r>
        <w:rPr>
          <w:b w:val="0"/>
          <w:i w:val="0"/>
        </w:rPr>
        <w:t>7 · Vier Dinge, die weggelassen werden</w:t>
      </w:r>
    </w:p>
    <w:p>
      <w:pPr>
        <w:pStyle w:val="ListNumber"/>
      </w:pPr>
      <w:r>
        <w:rPr>
          <w:b/>
          <w:i w:val="0"/>
        </w:rPr>
        <w:t>Die Liste der dreizehn Prinzipien.</w:t>
      </w:r>
      <w:r>
        <w:rPr>
          <w:b w:val="0"/>
          <w:i w:val="0"/>
        </w:rPr>
        <w:t xml:space="preserve"> Sie beantwortet eine Frage, die niemand gestellt hat, und verbraucht die Aufmerksamkeit, die Zug 4 braucht.</w:t>
      </w:r>
    </w:p>
    <w:p>
      <w:pPr>
        <w:pStyle w:val="ListNumber"/>
      </w:pPr>
      <w:r>
        <w:rPr>
          <w:b/>
          <w:i w:val="0"/>
        </w:rPr>
        <w:t>Die Produktnamen.</w:t>
      </w:r>
      <w:r>
        <w:rPr>
          <w:b w:val="0"/>
          <w:i w:val="0"/>
        </w:rPr>
        <w:t xml:space="preserve"> Sie zwingen die Zuhörer, sich acht Dinge zu merken, von denen sie keines gesehen haben. Ein Werkzeug reicht, und zwar als Beispiel.</w:t>
      </w:r>
    </w:p>
    <w:p>
      <w:pPr>
        <w:pStyle w:val="ListNumber"/>
      </w:pPr>
      <w:r>
        <w:rPr>
          <w:b/>
          <w:i w:val="0"/>
        </w:rPr>
        <w:t>Die Werkzeugkette der Entwicklung.</w:t>
      </w:r>
      <w:r>
        <w:rPr>
          <w:b w:val="0"/>
          <w:i w:val="0"/>
        </w:rPr>
        <w:t xml:space="preserve"> Interessant für Entwickler, für alle anderen ein Nebenschauplatz.</w:t>
      </w:r>
    </w:p>
    <w:p>
      <w:pPr>
        <w:pStyle w:val="ListNumber"/>
      </w:pPr>
      <w:r>
        <w:rPr>
          <w:b/>
          <w:i w:val="0"/>
        </w:rPr>
        <w:t>Jede Zahl, die nicht wehtut.</w:t>
      </w:r>
      <w:r>
        <w:rPr>
          <w:b w:val="0"/>
          <w:i w:val="0"/>
        </w:rPr>
        <w:t xml:space="preserve"> Fünf Manifeste und dreizehn Prinzipien beeindrucken; «zwei erfüllt, neun teilweise, zwei offen» überzeugt.</w:t>
      </w:r>
    </w:p>
    <w:p>
      <w:pPr>
        <w:pStyle w:val="Heading1"/>
      </w:pPr>
      <w:r>
        <w:rPr>
          <w:b w:val="0"/>
          <w:i w:val="0"/>
        </w:rPr>
        <w:t>8 · Wo der Einstieg je Publikum wechselt</w:t>
      </w:r>
    </w:p>
    <w:p>
      <w:pPr>
        <w:pStyle w:val="BodyText"/>
      </w:pPr>
      <w:r>
        <w:rPr>
          <w:b w:val="0"/>
          <w:i w:val="0"/>
        </w:rPr>
        <w:t>Die fünf Züge bleiben. Nur Zug 1 und Zug 5 werden getauscht.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i w:val="0"/>
              </w:rPr>
              <w:t>Publikum</w:t>
            </w:r>
          </w:p>
        </w:tc>
        <w:tc>
          <w:tcPr>
            <w:tcW w:type="dxa" w:w="2880"/>
          </w:tcPr>
          <w:p>
            <w:r>
              <w:rPr>
                <w:b/>
                <w:i w:val="0"/>
              </w:rPr>
              <w:t>Fall in Zug 1</w:t>
            </w:r>
          </w:p>
        </w:tc>
        <w:tc>
          <w:tcPr>
            <w:tcW w:type="dxa" w:w="2880"/>
          </w:tcPr>
          <w:p>
            <w:r>
              <w:rPr>
                <w:b/>
                <w:i w:val="0"/>
              </w:rPr>
              <w:t>Nutzen in Zug 5</w:t>
            </w:r>
          </w:p>
        </w:tc>
      </w:tr>
      <w:tr>
        <w:tc>
          <w:tcPr>
            <w:tcW w:type="dxa" w:w="2880"/>
          </w:tcPr>
          <w:p>
            <w:r>
              <w:rPr>
                <w:b w:val="0"/>
                <w:i w:val="0"/>
              </w:rPr>
              <w:t>Kunde in der Verwaltung</w:t>
            </w:r>
          </w:p>
        </w:tc>
        <w:tc>
          <w:tcPr>
            <w:tcW w:type="dxa" w:w="2880"/>
          </w:tcPr>
          <w:p>
            <w:r>
              <w:rPr>
                <w:b w:val="0"/>
                <w:i w:val="0"/>
              </w:rPr>
              <w:t>eine Rechtsgrundlage, die plausibel klingt und nicht existiert</w:t>
            </w:r>
          </w:p>
        </w:tc>
        <w:tc>
          <w:tcPr>
            <w:tcW w:type="dxa" w:w="2880"/>
          </w:tcPr>
          <w:p>
            <w:r>
              <w:rPr>
                <w:b w:val="0"/>
                <w:i w:val="0"/>
              </w:rPr>
              <w:t>Nachweispflicht erfüllbar, ohne auf Sorgfalt zu hoffen</w:t>
            </w:r>
          </w:p>
        </w:tc>
      </w:tr>
      <w:tr>
        <w:tc>
          <w:tcPr>
            <w:tcW w:type="dxa" w:w="2880"/>
          </w:tcPr>
          <w:p>
            <w:r>
              <w:rPr>
                <w:b w:val="0"/>
                <w:i w:val="0"/>
              </w:rPr>
              <w:t>Fachkollegen im Projektgeschäft</w:t>
            </w:r>
          </w:p>
        </w:tc>
        <w:tc>
          <w:tcPr>
            <w:tcW w:type="dxa" w:w="2880"/>
          </w:tcPr>
          <w:p>
            <w:r>
              <w:rPr>
                <w:b w:val="0"/>
                <w:i w:val="0"/>
              </w:rPr>
              <w:t>ein Auftrag, dessen Ziele niemand abnehmen kann, weil sie nicht messbar sind</w:t>
            </w:r>
          </w:p>
        </w:tc>
        <w:tc>
          <w:tcPr>
            <w:tcW w:type="dxa" w:w="2880"/>
          </w:tcPr>
          <w:p>
            <w:r>
              <w:rPr>
                <w:b w:val="0"/>
                <w:i w:val="0"/>
              </w:rPr>
              <w:t>die Prüfung findet vor der Freigabe statt, nicht danach</w:t>
            </w:r>
          </w:p>
        </w:tc>
      </w:tr>
      <w:tr>
        <w:tc>
          <w:tcPr>
            <w:tcW w:type="dxa" w:w="2880"/>
          </w:tcPr>
          <w:p>
            <w:r>
              <w:rPr>
                <w:b w:val="0"/>
                <w:i w:val="0"/>
              </w:rPr>
              <w:t>Publikum an einer Tagung</w:t>
            </w:r>
          </w:p>
        </w:tc>
        <w:tc>
          <w:tcPr>
            <w:tcW w:type="dxa" w:w="2880"/>
          </w:tcPr>
          <w:p>
            <w:r>
              <w:rPr>
                <w:b w:val="0"/>
                <w:i w:val="0"/>
              </w:rPr>
              <w:t>das still verfälschte Bewertungsraster</w:t>
            </w:r>
          </w:p>
        </w:tc>
        <w:tc>
          <w:tcPr>
            <w:tcW w:type="dxa" w:w="2880"/>
          </w:tcPr>
          <w:p>
            <w:r>
              <w:rPr>
                <w:b w:val="0"/>
                <w:i w:val="0"/>
              </w:rPr>
              <w:t>die Frage ist nicht, was sich automatisieren lässt, sondern wie wir entscheiden wollen</w:t>
            </w:r>
          </w:p>
        </w:tc>
      </w:tr>
      <w:tr>
        <w:tc>
          <w:tcPr>
            <w:tcW w:type="dxa" w:w="2880"/>
          </w:tcPr>
          <w:p>
            <w:r>
              <w:rPr>
                <w:b w:val="0"/>
                <w:i w:val="0"/>
              </w:rPr>
              <w:t>Entwickler</w:t>
            </w:r>
          </w:p>
        </w:tc>
        <w:tc>
          <w:tcPr>
            <w:tcW w:type="dxa" w:w="2880"/>
          </w:tcPr>
          <w:p>
            <w:r>
              <w:rPr>
                <w:b w:val="0"/>
                <w:i w:val="0"/>
              </w:rPr>
              <w:t>eine Zusicherung, die nur im Prompt stand und umformuliert befolgt wurde</w:t>
            </w:r>
          </w:p>
        </w:tc>
        <w:tc>
          <w:tcPr>
            <w:tcW w:type="dxa" w:w="2880"/>
          </w:tcPr>
          <w:p>
            <w:r>
              <w:rPr>
                <w:b w:val="0"/>
                <w:i w:val="0"/>
              </w:rPr>
              <w:t>Zusicherungen werden erzwungen, nicht erbeten</w:t>
            </w:r>
          </w:p>
        </w:tc>
      </w:tr>
    </w:tbl>
    <w:p/>
    <w:p>
      <w:pPr>
        <w:pStyle w:val="Heading1"/>
      </w:pPr>
      <w:r>
        <w:rPr>
          <w:b w:val="0"/>
          <w:i w:val="0"/>
        </w:rPr>
        <w:t>9 · Die Auflösung gehört Dir</w:t>
      </w:r>
    </w:p>
    <w:p>
      <w:pPr>
        <w:pStyle w:val="BodyText"/>
      </w:pPr>
      <w:r>
        <w:rPr>
          <w:b w:val="0"/>
          <w:i w:val="0"/>
        </w:rPr>
        <w:t>Der Aufbau arbeitet mit einer Erwartung, die gebrochen wird: Die Zuhörer erwarten in Zug 1 eine Geschichte über fehlerhafte KI und bekommen in Zug 2 eine über unsichtbare Urteile; sie erwarten in Zug 4 eine Erfolgsmeldung und bekommen drei Eingeständnisse.</w:t>
      </w:r>
    </w:p>
    <w:p>
      <w:pPr>
        <w:pStyle w:val="BodyText"/>
      </w:pPr>
      <w:r>
        <w:rPr>
          <w:b w:val="0"/>
          <w:i w:val="0"/>
        </w:rPr>
        <w:t>Damit das trägt, darf der Bruch nicht angekündigt werden. Kein «ich möchte Ihnen jetzt zeigen, dass…». Der Fall wird erzählt, als wäre er ein Beispiel für das Erwartete — und kippt erst im letzten Satz.</w:t>
      </w:r>
    </w:p>
    <w:p>
      <w:pPr>
        <w:pStyle w:val="BodyText"/>
      </w:pPr>
      <w:r>
        <w:rPr>
          <w:b w:val="0"/>
          <w:i w:val="0"/>
        </w:rPr>
        <w:t>Wer den Bruch ansagt, hat ihn schon aufgelöst.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