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Phronesis-Forschungscampus | Systemarchitektur V0.1</w:t>
      </w:r>
    </w:p>
    <w:p>
      <w:pPr>
        <w:keepLines/>
      </w:pPr>
      <w:r>
        <w:t>11. Oktober 2026 | Architektur für die Entwicklung mit Claude | Auftraggeber: Kaspar Brönnimann</w:t>
      </w:r>
    </w:p>
    <w:p>
      <w:pPr>
        <w:keepLines/>
        <w:spacing w:before="140" w:after="240"/>
        <w:ind w:left="202" w:right="202"/>
      </w:pPr>
      <w:r>
        <w:rPr>
          <w:b/>
          <w:color w:val="213E50"/>
        </w:rPr>
        <w:t>Ein autonomer Forschungscampus mit spezialisierten Agenten, gemeinsamem wissenschaftlichem Gedächtnis und begründeter, konfigurierbarer Auswahl mehrerer Sprachmodelle.</w:t>
      </w:r>
    </w:p>
    <w:p>
      <w:pPr>
        <w:pStyle w:val="Heading2"/>
      </w:pPr>
      <w:r>
        <w:t>Die tragende Architekturentscheidung</w:t>
      </w:r>
    </w:p>
    <w:p>
      <w:pPr>
        <w:keepLines/>
      </w:pPr>
      <w:r>
        <w:t>Fachliche Autonomie und technische Befugnis bleiben getrennt. Forschungsagenten bestimmen im Mandat ihre nächsten sinnvollen Arbeitsschritte. Ein deterministischer Kontrollkern prüft Befugnisse, Datenwege, Fassungen und Ressourcen vor jeder wirksamen Handlung. Er entscheidet nicht, ob eine wissenschaftliche Aussage wahr ist.</w:t>
      </w:r>
    </w:p>
    <w:p>
      <w:pPr>
        <w:keepLines/>
      </w:pPr>
      <w:r>
        <w:t>Agenten sind versionierte Fachprofile, keine fest verdrahteten Modellinstanzen. Für einen Auftrag kann der Campus ein geeignetes Modell aus dem zugelassenen Katalog selbst wählen. Modellauswahl, fachliche Gegenprüfung und Modellaufruf sind getrennte Schritte. Keine Anbieterbindung folgt daraus, dass Claude die Software entwickelt.</w:t>
      </w:r>
    </w:p>
    <w:p>
      <w:pPr>
        <w:pStyle w:val="Heading2"/>
      </w:pPr>
      <w:r>
        <w:t>Lesepfade</w:t>
      </w:r>
    </w:p>
    <w:tbl>
      <w:tblPr>
        <w:tblW w:type="auto" w:w="0"/>
        <w:jc w:val="center"/>
        <w:tblLayout w:type="fixed"/>
        <w:tblLook w:firstColumn="1" w:firstRow="1" w:lastColumn="0" w:lastRow="0" w:noHBand="0" w:noVBand="1" w:val="04A0"/>
      </w:tblPr>
      <w:tblGrid>
        <w:gridCol w:w="3600"/>
        <w:gridCol w:w="6192"/>
      </w:tblGrid>
      <w:tr>
        <w:trPr>
          <w:tblHeader/>
          <w:cantSplit/>
        </w:trPr>
        <w:tc>
          <w:tcPr>
            <w:tcW w:type="dxa" w:w="3600"/>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Bereich</w:t>
            </w:r>
          </w:p>
        </w:tc>
        <w:tc>
          <w:tcPr>
            <w:tcW w:type="dxa" w:w="6192"/>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Kapitel</w:t>
            </w:r>
          </w:p>
        </w:tc>
      </w:tr>
      <w:tr>
        <w:trPr>
          <w:cantSplit/>
        </w:trPr>
        <w:tc>
          <w:tcPr>
            <w:tcW w:type="dxa" w:w="36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Gesamtaufbau und Fachmodell</w:t>
            </w:r>
          </w:p>
        </w:tc>
        <w:tc>
          <w:tcPr>
            <w:tcW w:type="dxa" w:w="61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1-6: Auftrag, Bausteine, Daten, Forschungsablauf</w:t>
            </w:r>
          </w:p>
        </w:tc>
      </w:tr>
      <w:tr>
        <w:trPr>
          <w:cantSplit/>
        </w:trPr>
        <w:tc>
          <w:tcPr>
            <w:tcW w:type="dxa" w:w="36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Selbstorganisation und Modelle</w:t>
            </w:r>
          </w:p>
        </w:tc>
        <w:tc>
          <w:tcPr>
            <w:tcW w:type="dxa" w:w="61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7-11: Agenten, Skills, Katalog, Routing, Gegenprüfung</w:t>
            </w:r>
          </w:p>
        </w:tc>
      </w:tr>
      <w:tr>
        <w:trPr>
          <w:cantSplit/>
        </w:trPr>
        <w:tc>
          <w:tcPr>
            <w:tcW w:type="dxa" w:w="36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Internet, Nachweise und Kontrolle</w:t>
            </w:r>
          </w:p>
        </w:tc>
        <w:tc>
          <w:tcPr>
            <w:tcW w:type="dxa" w:w="61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12-16: Quellen, Ausführung, Evidenz, Identität, Budget</w:t>
            </w:r>
          </w:p>
        </w:tc>
      </w:tr>
      <w:tr>
        <w:trPr>
          <w:cantSplit/>
        </w:trPr>
        <w:tc>
          <w:tcPr>
            <w:tcW w:type="dxa" w:w="36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Umsetzung und Abnahme</w:t>
            </w:r>
          </w:p>
        </w:tc>
        <w:tc>
          <w:tcPr>
            <w:tcW w:type="dxa" w:w="61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17-22: API, Oberfläche, Betrieb, Baufolge, Tests</w:t>
            </w:r>
          </w:p>
        </w:tc>
      </w:tr>
      <w:tr>
        <w:trPr>
          <w:cantSplit/>
        </w:trPr>
        <w:tc>
          <w:tcPr>
            <w:tcW w:type="dxa" w:w="36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Entscheide und Quellen</w:t>
            </w:r>
          </w:p>
        </w:tc>
        <w:tc>
          <w:tcPr>
            <w:tcW w:type="dxa" w:w="61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23-24: Architekturentscheide, offene Betriebsparameter, Quellen</w:t>
            </w:r>
          </w:p>
        </w:tc>
      </w:tr>
    </w:tbl>
    <w:p>
      <w:pPr>
        <w:spacing w:after="0"/>
      </w:pPr>
    </w:p>
    <w:p>
      <w:pPr>
        <w:keepLines/>
      </w:pPr>
      <w:r>
        <w:t>Arbeitsgrundlage ist die Forschungsverfassung V0.2 [G1], ergänzt durch die aktuelle Festlegung: konfigurierbare LLMs und autonome, begründete Modellauswahl. Die technische Bauweise in diesem Dokument ist ein Architekturvorschlag; sie ist noch kein implementierter oder abgenommener Systemstand.</w:t>
      </w:r>
    </w:p>
    <w:p>
      <w:pPr>
        <w:keepLines/>
      </w:pPr>
      <w:r>
        <w:t>Zum Entwicklungspaket gehören dieselbe Architektur als Markdown, eine CLAUDE.md, Konfigurationsbeispiele, JSON-Schemas, Ablaufdiagramme, eine Abnahmespezifikation und ein ausführbarer Prüfer der Beispielverträge. Das Paket ist keine lauffähige Campus-Anwendung.</w:t>
      </w:r>
    </w:p>
    <w:p>
      <w:r>
        <w:br w:type="page"/>
      </w:r>
    </w:p>
    <w:p>
      <w:pPr>
        <w:pStyle w:val="Heading1"/>
      </w:pPr>
      <w:r>
        <w:t>1 Auftrag, Grenzen und Qualitätsziele</w:t>
      </w:r>
    </w:p>
    <w:p>
      <w:pPr>
        <w:pStyle w:val="Heading2"/>
      </w:pPr>
      <w:r>
        <w:t>Übernommene Anforderungen</w:t>
      </w:r>
    </w:p>
    <w:p>
      <w:pPr>
        <w:keepLines/>
      </w:pPr>
      <w:r>
        <w:t>Der Campus betreibt Grundlagenforschung, angewandte Forschung, Rechtswissenschaft und Ingenieurswesen. Er darf im Mandat selbst Teilfragen, Agenten und Skills entwickeln, Internetquellen erschliessen, Untersuchungen durchführen und Manuskripte erarbeiten. Eine öffentliche Einreichung bleibt an einen verantworteten, fassungsbezogenen Entscheid gebunden. Mehrere Modelle sind tatsächlich einzusetzen; eine austauschbare Einzelmodell-Lösung erfüllt den Auftrag nicht. [G1, Art. 1-3, 9-11, 21-28]</w:t>
      </w:r>
    </w:p>
    <w:p>
      <w:pPr>
        <w:pStyle w:val="Heading2"/>
      </w:pPr>
      <w:r>
        <w:t>Architekturannahmen, nicht bereits getroffene Betriebsentscheide</w:t>
      </w:r>
    </w:p>
    <w:p>
      <w:pPr>
        <w:keepLines/>
      </w:pPr>
      <w:r>
        <w:t>Start als selbst betriebene Webanwendung für eine menschliche Forschungsleitung; mehrere Institute und Projekte innerhalb eines Workspace. Linux ist die Referenzumgebung; Entwicklung unter Windows ist über eine Linux-VM oder WSL2 möglich. Hosting, Konten, reale Modelle, Geldbudgets, Rechtsordnungen und externe Fachprüfende sind noch festzulegen. Mehrbenutzer- und Mehrmandantenbetrieb wird im Datenmodell vorbereitet, aber erst nach eigener Abnahme als unterstützt ausgewiesen.</w:t>
      </w:r>
    </w:p>
    <w:tbl>
      <w:tblPr>
        <w:tblW w:type="auto" w:w="0"/>
        <w:jc w:val="center"/>
        <w:tblLayout w:type="fixed"/>
        <w:tblLook w:firstColumn="1" w:firstRow="1" w:lastColumn="0" w:lastRow="0" w:noHBand="0" w:noVBand="1" w:val="04A0"/>
      </w:tblPr>
      <w:tblGrid>
        <w:gridCol w:w="2160"/>
        <w:gridCol w:w="7632"/>
      </w:tblGrid>
      <w:tr>
        <w:trPr>
          <w:tblHeader/>
          <w:cantSplit/>
        </w:trPr>
        <w:tc>
          <w:tcPr>
            <w:tcW w:type="dxa" w:w="2160"/>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Ziel</w:t>
            </w:r>
          </w:p>
        </w:tc>
        <w:tc>
          <w:tcPr>
            <w:tcW w:type="dxa" w:w="7632"/>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Architektonische Konsequenz</w:t>
            </w:r>
          </w:p>
        </w:tc>
      </w:tr>
      <w:tr>
        <w:trPr>
          <w:cantSplit/>
        </w:trPr>
        <w:tc>
          <w:tcPr>
            <w:tcW w:type="dxa" w:w="21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Hohe Autonomie</w:t>
            </w:r>
          </w:p>
        </w:tc>
        <w:tc>
          <w:tcPr>
            <w:tcW w:type="dxa" w:w="76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Dynamische Arbeitspläne und Quellenwahl; automatische Qualifikation von Agenten/Skills im delegierten Rahmen.</w:t>
            </w:r>
          </w:p>
        </w:tc>
      </w:tr>
      <w:tr>
        <w:trPr>
          <w:cantSplit/>
        </w:trPr>
        <w:tc>
          <w:tcPr>
            <w:tcW w:type="dxa" w:w="21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Modelloffenheit</w:t>
            </w:r>
          </w:p>
        </w:tc>
        <w:tc>
          <w:tcPr>
            <w:tcW w:type="dxa" w:w="76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Register und Adapter statt Modellnamen im Fachcode; Auswahl pro Task und Lauf.</w:t>
            </w:r>
          </w:p>
        </w:tc>
      </w:tr>
      <w:tr>
        <w:trPr>
          <w:cantSplit/>
        </w:trPr>
        <w:tc>
          <w:tcPr>
            <w:tcW w:type="dxa" w:w="21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Erklärbarkeit</w:t>
            </w:r>
          </w:p>
        </w:tc>
        <w:tc>
          <w:tcPr>
            <w:tcW w:type="dxa" w:w="76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Entstehungsgründe, Wahlalternativen und Nachweise als strukturierte Datensätze, nicht als nachträgliche Erzählung.</w:t>
            </w:r>
          </w:p>
        </w:tc>
      </w:tr>
      <w:tr>
        <w:trPr>
          <w:cantSplit/>
        </w:trPr>
        <w:tc>
          <w:tcPr>
            <w:tcW w:type="dxa" w:w="21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Robuste Langläufe</w:t>
            </w:r>
          </w:p>
        </w:tc>
        <w:tc>
          <w:tcPr>
            <w:tcW w:type="dxa" w:w="76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Dauerhafte Workflows, Wiederaufnahme, Idempotenz und nachvollziehbare Unterbrüche.</w:t>
            </w:r>
          </w:p>
        </w:tc>
      </w:tr>
      <w:tr>
        <w:trPr>
          <w:cantSplit/>
        </w:trPr>
        <w:tc>
          <w:tcPr>
            <w:tcW w:type="dxa" w:w="21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Wissenschaftliche Redlichkeit</w:t>
            </w:r>
          </w:p>
        </w:tc>
        <w:tc>
          <w:tcPr>
            <w:tcW w:type="dxa" w:w="76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Aussage, Evidenz, Bewertung und Veröffentlichung separat versionieren.</w:t>
            </w:r>
          </w:p>
        </w:tc>
      </w:tr>
      <w:tr>
        <w:trPr>
          <w:cantSplit/>
        </w:trPr>
        <w:tc>
          <w:tcPr>
            <w:tcW w:type="dxa" w:w="21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Begrenzte Aussenwirkung</w:t>
            </w:r>
          </w:p>
        </w:tc>
        <w:tc>
          <w:tcPr>
            <w:tcW w:type="dxa" w:w="76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Netz, Code, Geld und Publikation an gesonderten Durchsetzungspunkten kontrollieren.</w:t>
            </w:r>
          </w:p>
        </w:tc>
      </w:tr>
    </w:tbl>
    <w:p>
      <w:pPr>
        <w:spacing w:after="0"/>
      </w:pPr>
    </w:p>
    <w:p>
      <w:pPr>
        <w:pStyle w:val="Heading2"/>
      </w:pPr>
      <w:r>
        <w:t>Nicht Teil der ersten Ausbaustufe</w:t>
      </w:r>
    </w:p>
    <w:p>
      <w:pPr>
        <w:keepLines/>
      </w:pPr>
      <w:r>
        <w:t>Keine eigene Basismodell-Ausbildung, kein Hochschulbetrieb, keine automatisierte Rechtsvertretung, keine realen Laborinterventionen und keine ungenehmigte Veröffentlichung. Auch ein Agent mit dem Profil Recht ist keine zugelassene rechtsberatende Person. Neue Disziplinen sind konfigurierbar; ihre Methoden- und Schutzanforderungen müssen vor einem entsprechenden Betriebsmandat bestimmt sein.</w:t>
      </w:r>
    </w:p>
    <w:p>
      <w:pPr>
        <w:keepLines/>
        <w:spacing w:before="140" w:after="240"/>
        <w:ind w:left="202" w:right="202"/>
      </w:pPr>
      <w:r>
        <w:rPr>
          <w:b/>
          <w:color w:val="213E50"/>
        </w:rPr>
        <w:t>Autonomie wird nicht durch eine Vielzahl manueller Klicks ersetzt. Kontrolliert werden die Grenzen der Handlung; innerhalb dieser Grenzen soll der Campus handeln können.</w:t>
      </w:r>
    </w:p>
    <w:p>
      <w:r>
        <w:br w:type="page"/>
      </w:r>
    </w:p>
    <w:p>
      <w:pPr>
        <w:pStyle w:val="Heading1"/>
      </w:pPr>
      <w:r>
        <w:t>2 Begriffsmodell und nicht verhandelbare Trennungen</w:t>
      </w:r>
    </w:p>
    <w:tbl>
      <w:tblPr>
        <w:tblW w:type="auto" w:w="0"/>
        <w:jc w:val="center"/>
        <w:tblLayout w:type="fixed"/>
        <w:tblLook w:firstColumn="1" w:firstRow="1" w:lastColumn="0" w:lastRow="0" w:noHBand="0" w:noVBand="1" w:val="04A0"/>
      </w:tblPr>
      <w:tblGrid>
        <w:gridCol w:w="2664"/>
        <w:gridCol w:w="7128"/>
      </w:tblGrid>
      <w:tr>
        <w:trPr>
          <w:tblHeader/>
          <w:cantSplit/>
        </w:trPr>
        <w:tc>
          <w:tcPr>
            <w:tcW w:type="dxa" w:w="2664"/>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Begriff</w:t>
            </w:r>
          </w:p>
        </w:tc>
        <w:tc>
          <w:tcPr>
            <w:tcW w:type="dxa" w:w="7128"/>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Bedeutung</w:t>
            </w:r>
          </w:p>
        </w:tc>
      </w:tr>
      <w:tr>
        <w:trPr>
          <w:cantSplit/>
        </w:trPr>
        <w:tc>
          <w:tcPr>
            <w:tcW w:type="dxa" w:w="26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Institut</w:t>
            </w:r>
          </w:p>
        </w:tc>
        <w:tc>
          <w:tcPr>
            <w:tcW w:type="dxa" w:w="71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Fachlicher Arbeitsbereich mit Auftrag, Methoden und Budgetanteil; kein eigener Microservice.</w:t>
            </w:r>
          </w:p>
        </w:tc>
      </w:tr>
      <w:tr>
        <w:trPr>
          <w:cantSplit/>
        </w:trPr>
        <w:tc>
          <w:tcPr>
            <w:tcW w:type="dxa" w:w="26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AgentProfileVersion</w:t>
            </w:r>
          </w:p>
        </w:tc>
        <w:tc>
          <w:tcPr>
            <w:tcW w:type="dxa" w:w="71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Dauerhaftes Fach-/Funktionsprofil mit Grenzen, Skills, Herkunft und Qualifikationen.</w:t>
            </w:r>
          </w:p>
        </w:tc>
      </w:tr>
      <w:tr>
        <w:trPr>
          <w:cantSplit/>
        </w:trPr>
        <w:tc>
          <w:tcPr>
            <w:tcW w:type="dxa" w:w="26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AgentRun</w:t>
            </w:r>
          </w:p>
        </w:tc>
        <w:tc>
          <w:tcPr>
            <w:tcW w:type="dxa" w:w="71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Zeitlich begrenzte Instanz für eine konkrete Aufgabe; bindet Profil-, Skill-, Modell- und Datenfassungen.</w:t>
            </w:r>
          </w:p>
        </w:tc>
      </w:tr>
      <w:tr>
        <w:trPr>
          <w:cantSplit/>
        </w:trPr>
        <w:tc>
          <w:tcPr>
            <w:tcW w:type="dxa" w:w="26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Rolle</w:t>
            </w:r>
          </w:p>
        </w:tc>
        <w:tc>
          <w:tcPr>
            <w:tcW w:type="dxa" w:w="71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Befugnis im Auftrag, z. B. Erzeuger, Prüfer oder Koordinator; kein pauschaler Kompetenznachweis.</w:t>
            </w:r>
          </w:p>
        </w:tc>
      </w:tr>
      <w:tr>
        <w:trPr>
          <w:cantSplit/>
        </w:trPr>
        <w:tc>
          <w:tcPr>
            <w:tcW w:type="dxa" w:w="26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SkillVersion</w:t>
            </w:r>
          </w:p>
        </w:tc>
        <w:tc>
          <w:tcPr>
            <w:tcW w:type="dxa" w:w="71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Wiederverwendbares Methodenpaket mit Vertrag und Evaluationsbezug.</w:t>
            </w:r>
          </w:p>
        </w:tc>
      </w:tr>
      <w:tr>
        <w:trPr>
          <w:cantSplit/>
        </w:trPr>
        <w:tc>
          <w:tcPr>
            <w:tcW w:type="dxa" w:w="26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Tool</w:t>
            </w:r>
          </w:p>
        </w:tc>
        <w:tc>
          <w:tcPr>
            <w:tcW w:type="dxa" w:w="71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Technische Fähigkeit mit kontrolliertem Ein-/Ausgabevertrag, z. B. Quellenabruf oder isolierter Rechenlauf.</w:t>
            </w:r>
          </w:p>
        </w:tc>
      </w:tr>
      <w:tr>
        <w:trPr>
          <w:cantSplit/>
        </w:trPr>
        <w:tc>
          <w:tcPr>
            <w:tcW w:type="dxa" w:w="26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ModelVersion / Deployment</w:t>
            </w:r>
          </w:p>
        </w:tc>
        <w:tc>
          <w:tcPr>
            <w:tcW w:type="dxa" w:w="71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Logische Modellidentität und konkreter zugelassener Zugang; mehrere Endpunkte können dasselbe Modell bedienen.</w:t>
            </w:r>
          </w:p>
        </w:tc>
      </w:tr>
      <w:tr>
        <w:trPr>
          <w:cantSplit/>
        </w:trPr>
        <w:tc>
          <w:tcPr>
            <w:tcW w:type="dxa" w:w="26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Task / RunAttempt</w:t>
            </w:r>
          </w:p>
        </w:tc>
        <w:tc>
          <w:tcPr>
            <w:tcW w:type="dxa" w:w="71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Fachlicher Arbeitsauftrag und einzelne Ausführungsversuche; Wiederholung schafft keinen neuen Auftrag.</w:t>
            </w:r>
          </w:p>
        </w:tc>
      </w:tr>
      <w:tr>
        <w:trPr>
          <w:cantSplit/>
        </w:trPr>
        <w:tc>
          <w:tcPr>
            <w:tcW w:type="dxa" w:w="26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ClaimVersion</w:t>
            </w:r>
          </w:p>
        </w:tc>
        <w:tc>
          <w:tcPr>
            <w:tcW w:type="dxa" w:w="71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Wissenschaftliche Aussage mit Voraussetzungen, Belegen, Einwänden und epistemischem Status.</w:t>
            </w:r>
          </w:p>
        </w:tc>
      </w:tr>
    </w:tbl>
    <w:p>
      <w:pPr>
        <w:spacing w:after="0"/>
      </w:pPr>
    </w:p>
    <w:p>
      <w:pPr>
        <w:keepLines/>
      </w:pPr>
      <w:r>
        <w:t>Die Trennung zwischen Rollen, Fähigkeiten und technischen Trägern nimmt die Werkbank-Begriffe auf. Sie verhindert, dass ein neuer Rollenname als neue Methode oder ein anderer Endpunkt als unabhängiges Modell ausgegeben wird. [G1, Art. 25; G7, Abschn. 7]</w:t>
      </w:r>
    </w:p>
    <w:p>
      <w:pPr>
        <w:pStyle w:val="Heading2"/>
      </w:pPr>
      <w:r>
        <w:t>Architektur-Invarianten I01-I08</w:t>
      </w:r>
    </w:p>
    <w:p>
      <w:pPr>
        <w:keepLines/>
      </w:pPr>
      <w:r>
        <w:t>I01: Kein direkter Anbieteraufruf aus Fachagenten oder generierten Skills. I02: Kein Lauf ohne registrierte Fassung und gültigen Ausführungskontext. I03: Kein unbeschränktes Kindbudget und keine geerbten Administratorrechte. I04: Kein unabhängiges Prüfsiegel durch ein erzeugendes Modell unter einem anderen Alias.</w:t>
      </w:r>
    </w:p>
    <w:p>
      <w:pPr>
        <w:keepLines/>
      </w:pPr>
      <w:r>
        <w:t>I05: Keine Freigabe bleibt für geänderten Inhalt gültig. I06: Kein fremder Inhalt wird zur Betriebsanweisung oder Norm. I07: Keine Tatsachen- oder Messbehauptung wird allein aus Modellzustimmung verifiziert. I08: Keine stille Übernahme neuer Modelle, Skills, Regeln oder Fallbacks in einen laufenden Forschungsschritt.</w:t>
      </w:r>
    </w:p>
    <w:p>
      <w:pPr>
        <w:keepLines/>
      </w:pPr>
      <w:r>
        <w:t>Diese Invarianten sind neue technische Ableitungen der Ordnung, keine aus den Manifesten bereits fertig vorhandenen Implementierungen. Der Kern erzwingt Zuständigkeit, nicht wissenschaftliche Wahrheit. [G1, Art. 13-20; G7, RA-01, RA-04 bis RA-06, RA-09, RA-13]</w:t>
      </w:r>
    </w:p>
    <w:p>
      <w:r>
        <w:br w:type="page"/>
      </w:r>
    </w:p>
    <w:p>
      <w:pPr>
        <w:pStyle w:val="Heading1"/>
      </w:pPr>
      <w:r>
        <w:t>3 Gesamtaufbau und Vertrauensgrenzen</w:t>
      </w:r>
    </w:p>
    <w:p>
      <w:pPr>
        <w:keepNext/>
        <w:keepLines/>
        <w:jc w:val="center"/>
      </w:pPr>
      <w:r>
        <w:drawing>
          <wp:inline xmlns:a="http://schemas.openxmlformats.org/drawingml/2006/main" xmlns:pic="http://schemas.openxmlformats.org/drawingml/2006/picture">
            <wp:extent cx="6080760" cy="482988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4829883"/>
                    </a:xfrm>
                    <a:prstGeom prst="rect"/>
                  </pic:spPr>
                </pic:pic>
              </a:graphicData>
            </a:graphic>
          </wp:inline>
        </w:drawing>
      </w:r>
    </w:p>
    <w:p>
      <w:pPr>
        <w:spacing w:after="160"/>
      </w:pPr>
      <w:r>
        <w:rPr>
          <w:i/>
          <w:sz w:val="18"/>
        </w:rPr>
        <w:t>Abbildung 1. Logischer Aufbau mit getrennten Modell-, Internet- und Ausführungswegen.</w:t>
      </w:r>
    </w:p>
    <w:p>
      <w:pPr>
        <w:keepLines/>
      </w:pPr>
      <w:r>
        <w:t>Die durchgezogenen Verbindungen sind erlaubte Aufrufwege. Externe Modelle und Internetinhalte sind ausserhalb der Vertrauensgrenze. Das Modell liefert Vorschläge oder Werkzeuganforderungen; nur ein verifizierter Ausführungskontext berechtigt einen Dienst zum Handeln.</w:t>
      </w:r>
    </w:p>
    <w:p>
      <w:pPr>
        <w:pStyle w:val="Heading2"/>
      </w:pPr>
      <w:r>
        <w:t>Modularer Kern statt Microservice je Institut</w:t>
      </w:r>
    </w:p>
    <w:p>
      <w:pPr>
        <w:keepLines/>
      </w:pPr>
      <w:r>
        <w:t>Forschungsplanung, Register, Aussagen, Freigaben und Budget bilden zunächst einen modularen Anwendungskern in einem Repository. Getrennte Prozesse gibt es dort, wo Laufzeit oder Sicherheit es erfordern: API, Workflow-Worker, Modell-Gateway, Internetdienst und Sandbox-Steuerung. Die fachlichen Schnittstellen bleiben explizit, obwohl viele Module gemeinsam deployt werden.</w:t>
      </w:r>
    </w:p>
    <w:p>
      <w:pPr>
        <w:keepLines/>
      </w:pPr>
      <w:r>
        <w:t>Agenten bekommen weder Datenbankpasswörter noch Provider-Schlüssel. Generierter Code läuft nicht im API- oder Workflow-Prozess. Integritätsberichte und Freigaben werden nur über ihre eigenen Commands geschrieben. Ein Institutswechsel verändert keine Rechte automatisch.</w:t>
      </w:r>
    </w:p>
    <w:p>
      <w:pPr>
        <w:keepLines/>
      </w:pPr>
      <w:r>
        <w:t>Die gemeinsame Bibliothek ist ein berechtigter Quellenbestand, kein universeller Chatverlauf. Forschungskontext, private Inhalte, kritische Testfälle und operative Geheimnisse liegen in unterschiedlichen Zugriffsräumen. [G1, Art. 7-8, 17, 21]</w:t>
      </w:r>
    </w:p>
    <w:p>
      <w:r>
        <w:br w:type="page"/>
      </w:r>
    </w:p>
    <w:p>
      <w:pPr>
        <w:pStyle w:val="Heading1"/>
      </w:pPr>
      <w:r>
        <w:t>4 Bausteine und Verantwortlichkeiten</w:t>
      </w:r>
    </w:p>
    <w:tbl>
      <w:tblPr>
        <w:tblW w:type="auto" w:w="0"/>
        <w:jc w:val="center"/>
        <w:tblLayout w:type="fixed"/>
        <w:tblLook w:firstColumn="1" w:firstRow="1" w:lastColumn="0" w:lastRow="0" w:noHBand="0" w:noVBand="1" w:val="04A0"/>
      </w:tblPr>
      <w:tblGrid>
        <w:gridCol w:w="2880"/>
        <w:gridCol w:w="6912"/>
      </w:tblGrid>
      <w:tr>
        <w:trPr>
          <w:tblHeader/>
          <w:cantSplit/>
        </w:trPr>
        <w:tc>
          <w:tcPr>
            <w:tcW w:type="dxa" w:w="2880"/>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Baustein</w:t>
            </w:r>
          </w:p>
        </w:tc>
        <w:tc>
          <w:tcPr>
            <w:tcW w:type="dxa" w:w="6912"/>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Verantwortung und Grenze</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Campus API + UI</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Authentifiziert Menschen; Mandate, Register, Freigaben und Live-Status. Kein direkter LLM-Aufruf aus dem Browser.</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Research Coordinator</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Entwirft und verändert Task-Pläne; erkennt Kompetenzbedarf. Gibt strukturierte Commands aus, keine Shell-Befehle an den Host.</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Workflow Engine</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Verwahrt Ablauf, Timer, Wiederholungen, Warten auf Freigaben und Wiederaufnahme. Enthält keine fachliche Wahrheitsentscheidung.</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Agent / Skill Registry</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Profile, Kandidaten, Versionen, Qualification Records, Entstehungsgründe, Nutzer und Stilllegungen.</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Model Catalog + Router</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Bestimmt zulässige Kandidaten, lässt Auswahl begründen, validiert und protokolliert die tatsächliche Route.</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LLM Gateway</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Einziger Providerzugang. Übersetzt Verträge, schützt Schlüssel, normalisiert Antworten und Kosten. Kein verstecktes Cross-Model-Failover.</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Tool Broker + Internet Service</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Prüft jede Werkzeugaktion, Datenabfluss, URL und Ziel; Quellenaufnahme ohne statische Themen-Whitelist.</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Sandbox Controller</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Startet abgeschottete Experimente; importiert Ergebnisse und Host-Telemetrie. Kein universeller Host-Docker-Zugriff für Agenten.</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Evidence + Claim Store</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Versionierte Quellen, Artefakte, Aussagen, Abhängigkeiten und Korrekturereignisse. Suchindex bleibt abgeleitet.</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Review + Integrity</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Getrennte Erstprüfungen, Einwände, Replikation, Sperren und Requalifikation. Keine Abstimmung als Wahrheitsersatz.</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Policy + Budget + Audit</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Prüft Ausführungskontexte, reserviert Mittel atomar, führt Nachweise und Sperren. Operative Policy ist von Fachagenten nicht änderbar.</w:t>
            </w:r>
          </w:p>
        </w:tc>
      </w:tr>
      <w:tr>
        <w:trPr>
          <w:cantSplit/>
        </w:trPr>
        <w:tc>
          <w:tcPr>
            <w:tcW w:type="dxa" w:w="288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Publication Service</w:t>
            </w:r>
          </w:p>
        </w:tc>
        <w:tc>
          <w:tcPr>
            <w:tcW w:type="dxa" w:w="691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Erstellt Dossier und Manuskript mit Belegbindung, KI-Deklaration und offener Befundliste; Versand nur mit passender Freigabe.</w:t>
            </w:r>
          </w:p>
        </w:tc>
      </w:tr>
    </w:tbl>
    <w:p>
      <w:pPr>
        <w:spacing w:after="0"/>
      </w:pPr>
    </w:p>
    <w:p>
      <w:pPr>
        <w:keepLines/>
      </w:pPr>
      <w:r>
        <w:t>Ein generiertes Skill-Paket darf vorhandene kontrollierte Tools kombinieren. Ein neuer privilegierter Adapter oder eine Änderung am Kontrollkern bleibt eine Softwareänderung mit gesondertem Releaseweg. Das begrenzt nicht die methodische Selbstorganisation, sondern die Erweiterung ihrer Befugnisse. [G1, Art. 24-28]</w:t>
      </w:r>
    </w:p>
    <w:p>
      <w:r>
        <w:br w:type="page"/>
      </w:r>
    </w:p>
    <w:p>
      <w:pPr>
        <w:pStyle w:val="Heading1"/>
      </w:pPr>
      <w:r>
        <w:t>5 Fachliches Datenmodell</w:t>
      </w:r>
    </w:p>
    <w:tbl>
      <w:tblPr>
        <w:tblW w:type="auto" w:w="0"/>
        <w:jc w:val="center"/>
        <w:tblLayout w:type="fixed"/>
        <w:tblLook w:firstColumn="1" w:firstRow="1" w:lastColumn="0" w:lastRow="0" w:noHBand="0" w:noVBand="1" w:val="04A0"/>
      </w:tblPr>
      <w:tblGrid>
        <w:gridCol w:w="2376"/>
        <w:gridCol w:w="7416"/>
      </w:tblGrid>
      <w:tr>
        <w:trPr>
          <w:tblHeader/>
          <w:cantSplit/>
        </w:trPr>
        <w:tc>
          <w:tcPr>
            <w:tcW w:type="dxa" w:w="237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Objektgruppe</w:t>
            </w:r>
          </w:p>
        </w:tc>
        <w:tc>
          <w:tcPr>
            <w:tcW w:type="dxa" w:w="741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Kernobjekte und notwendige Beziehungen</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Verantwortung</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Workspace, User, ServicePrincipal, Grant, MandateVersion, PolicyVersion, HumanDecision.</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Organisation</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Institute, AgentProfile, AgentProfileVersion, AgentAssignment, QualificationRecord. Jedes Profil hat primäre Spezialisierung und Bedarf.</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Methoden</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Skill, SkillVersion, SkillDependency, QualificationSuiteVersion, EvaluationRun; Abhängigkeiten an konkrete Fassungen binden.</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Modelle</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Provider, ModelIdentity, DeploymentVersion, CapabilityObservation, PricingVersion, EvaluationEvidence, RoutingPolicyVersion.</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Ausführung</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ResearchProject, Task, PlanRevision, AgentRun, RunAttempt, ContextManifest, ToolInvocation, LLMInvocation, RoutingDecision.</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Wissen</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Source, SourceVersion, SourcePassage, DatasetVersion, ArtifactVersion, ClaimVersion, EvidenceLink, DependencyEdge, Contradiction.</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Kontrolle</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ReviewAssignment, ReviewReportVersion, Finding, FindingDisposition, IntegrityHold, ReassessmentTask.</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Freigabe / Betrieb</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Approval, PublicationPackage, ReleaseAttempt, BudgetAccount, Reservation, CostEntry, AuditEvent, OutboxEvent.</w:t>
            </w:r>
          </w:p>
        </w:tc>
      </w:tr>
    </w:tbl>
    <w:p>
      <w:pPr>
        <w:spacing w:after="0"/>
      </w:pPr>
    </w:p>
    <w:p>
      <w:pPr>
        <w:keepLines/>
      </w:pPr>
      <w:r>
        <w:t>Versionierte Objekte sind append-only auf Anwendungsebene. Aktuelle Anzeigen referenzieren eine bestimmte Version; fachliche Änderungen erzeugen Nachfolgeversionen. Alle Beziehungen tragen Workspace- und erforderlichenfalls Projektbezug. Quell- und Artefaktinhalte liegen im Objektspeicher, Metadaten und Beziehungen in PostgreSQL.</w:t>
      </w:r>
    </w:p>
    <w:p>
      <w:pPr>
        <w:pStyle w:val="Heading2"/>
      </w:pPr>
      <w:r>
        <w:t>Statusachsen nicht vermischen</w:t>
      </w:r>
    </w:p>
    <w:p>
      <w:pPr>
        <w:keepLines/>
      </w:pPr>
      <w:r>
        <w:t>Projektarbeit: geplant, laufend, wartet, beendet, abgebrochen. Aussage: Hypothese, Beobachtung, Ableitung, gestützt, bestritten, widerlegt oder ungeklärt, jeweils relativ zu einer Bewertungsfassung. Freigabe: Entwurf, in Prüfung, freigegeben, gesperrt, ersetzt. Eine Zustandsänderung auf einer Achse ist keine implizite Änderung der anderen.</w:t>
      </w:r>
    </w:p>
    <w:p>
      <w:pPr>
        <w:keepLines/>
      </w:pPr>
      <w:r>
        <w:t>Ein Agentenprofil ist aktiv oder ruhend; seine Qualifikation ist davon getrennt: ungeprüft, experimentell begrenzt oder für benannte Aufgaben qualifiziert. Ein Modellwechsel darf eine Qualifikation der Kombination Profil + Skill + Modell + Aufgabenklasse nicht still auf einen anderen Träger übertragen. [G1, Art. 13 und Anhang G]</w:t>
      </w:r>
    </w:p>
    <w:p>
      <w:pPr>
        <w:pStyle w:val="Heading2"/>
      </w:pPr>
      <w:r>
        <w:t>Juristische und wissenschaftliche Fachfelder</w:t>
      </w:r>
    </w:p>
    <w:p>
      <w:pPr>
        <w:keepLines/>
      </w:pPr>
      <w:r>
        <w:t>Juristische Objekte tragen Rechtsordnung, Quellenrang, Norm-/Entscheidfassung und Geltungszeit. Empirische Studien tragen Protokoll, Population, Auswertung und Abweichungen. Formale Arbeiten tragen Annahmen, Beweisobjekt und Checkerfassung. Ein Einheitsfeld confidence ersetzt diese unterschiedlichen Begründungen nicht.</w:t>
      </w:r>
    </w:p>
    <w:p>
      <w:r>
        <w:br w:type="page"/>
      </w:r>
    </w:p>
    <w:p>
      <w:pPr>
        <w:pStyle w:val="Heading1"/>
      </w:pPr>
      <w:r>
        <w:t>6 Dauerhafter Forschungsablauf</w:t>
      </w:r>
    </w:p>
    <w:p>
      <w:pPr>
        <w:keepLines/>
      </w:pPr>
      <w:r>
        <w:t>Ein menschlich freigegebenes Mandat öffnet einen Themenraum. Der Koordinator kann darin Hypothesen und abhängige Teilaufgaben selbst planen. Ein Plan ist ein versionierter Graph; neue Knoten werden nach denselben Zugriffs-, Methoden- und Budgetregeln validiert. Freie Textanweisungen werden nicht direkt ausgeführt.</w:t>
      </w:r>
    </w:p>
    <w:tbl>
      <w:tblPr>
        <w:tblW w:type="auto" w:w="0"/>
        <w:jc w:val="center"/>
        <w:tblLayout w:type="fixed"/>
        <w:tblLook w:firstColumn="1" w:firstRow="1" w:lastColumn="0" w:lastRow="0" w:noHBand="0" w:noVBand="1" w:val="04A0"/>
      </w:tblPr>
      <w:tblGrid>
        <w:gridCol w:w="2232"/>
        <w:gridCol w:w="7560"/>
      </w:tblGrid>
      <w:tr>
        <w:trPr>
          <w:tblHeader/>
          <w:cantSplit/>
        </w:trPr>
        <w:tc>
          <w:tcPr>
            <w:tcW w:type="dxa" w:w="2232"/>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Schritt</w:t>
            </w:r>
          </w:p>
        </w:tc>
        <w:tc>
          <w:tcPr>
            <w:tcW w:type="dxa" w:w="7560"/>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Ergebnis und Übergang</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1. Mandat aktivieren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Gültige Mandats-, Policy- und Budgetfassung; zuständige Personen und Kontrollstellen sind benannt.</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2. Frage und Bestand klären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Quellen-/Vorarbeitenstand, Erkenntnisziel, Bedarf an Expertise; bei Bedarf Agent-/Skill-Qualifikation.</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3. Untersuchung planen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Explorativ oder bestätigend kennzeichnen; Kriterien und gegebenenfalls verdeckte Prüffälle vor dem Lauf fixieren.</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4. Ausführen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Pro Task Modellroute, Datenmanifest, Rechte, Zeit- und Kostenreserve; jeder Versuch hinterlässt Laufnachweise.</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5. Aussagen ableiten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Artefakte und Evidenz verknüpfen; Auslassungen, Unsicherheit und Gegenbefunde erhalten.</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6. Gegenprüfen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Anderes geeignetes Modell und getrennte Erstinstanz; relevante Kontrollen werden nicht durch Konsens ersetzt.</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7. Überarbeiten oder beenden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Neue Version, Replikation, Einschränkung, dokumentierter Dissens oder begründeter Abbruch.</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8. Dossier und Freigabe</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Manuskript aus dem Dossier; Ergebnis- und externe Freigabe getrennt. Danach Nachbeobachtung mit Termin und Auslöser.</w:t>
            </w:r>
          </w:p>
        </w:tc>
      </w:tr>
    </w:tbl>
    <w:p>
      <w:pPr>
        <w:spacing w:after="0"/>
      </w:pPr>
    </w:p>
    <w:p>
      <w:pPr>
        <w:pStyle w:val="Heading2"/>
      </w:pPr>
      <w:r>
        <w:t>Temporal als vorgeschlagener Ablaufdienst</w:t>
      </w:r>
    </w:p>
    <w:p>
      <w:pPr>
        <w:keepLines/>
      </w:pPr>
      <w:r>
        <w:t>Die Python-Workflows verwahren Ablaufentscheidungen, Timer und Warten auf Signale. LLM-Aufrufe, HTTP, Datenbankzugriffe und Experimente laufen als Activities, nicht als nichtdeterministische Operationen im Workflow-Code. Lange Abläufe nutzen begrenzte Historien und dokumentierte Fortsetzungen. Die offizielle Temporal-Dokumentation trennt diese Primitiven. [T1]</w:t>
      </w:r>
    </w:p>
    <w:p>
      <w:pPr>
        <w:keepLines/>
      </w:pPr>
      <w:r>
        <w:t>Der wiedergegebene Verlauf verwendet gespeicherte Activity-Ergebnisse. Ein bereits abgeschlossener LLM-Aufruf wird nicht bei jeder Rekonstruktion neu erzeugt. Trotzdem sind externe Wirkungen nicht pauschal genau einmal garantiert: Timeouts und Workerabstürze verlangen ein eigenes Aufrufjournal und Idempotenz. Siehe Kapitel 16.</w:t>
      </w:r>
    </w:p>
    <w:p>
      <w:pPr>
        <w:keepLines/>
        <w:spacing w:before="140" w:after="240"/>
        <w:ind w:left="202" w:right="202"/>
      </w:pPr>
      <w:r>
        <w:rPr>
          <w:b/>
          <w:color w:val="213E50"/>
        </w:rPr>
        <w:t>Im Mandat automatisch weiterarbeiten; an fehlenden Rechten, unklarer externer Wirkung oder erforderlicher menschlicher Entscheidung gezielt warten. Keine gesamte Forschung an einem gesperrten Einzelabruf anhalten.</w:t>
      </w:r>
    </w:p>
    <w:p>
      <w:r>
        <w:br w:type="page"/>
      </w:r>
    </w:p>
    <w:p>
      <w:pPr>
        <w:pStyle w:val="Heading1"/>
      </w:pPr>
      <w:r>
        <w:t>7 Agenten- und Skill-Fabrik</w:t>
      </w:r>
    </w:p>
    <w:p>
      <w:pPr>
        <w:pStyle w:val="Heading2"/>
      </w:pPr>
      <w:r>
        <w:t>Spezialisierung als Vertrag</w:t>
      </w:r>
    </w:p>
    <w:p>
      <w:pPr>
        <w:keepLines/>
      </w:pPr>
      <w:r>
        <w:t>Startprofile: wissenschaftliche Koordination, KI-Forschung, Methoden/Statistik, Rechtswissenschaft, Ingenieurswesen und Integritätsprüfung. Institut, Aufgabenprofil und Rolle bleiben getrennt. Startprofile sind nicht automatisch fachlich qualifiziert: sie durchlaufen dokumentierte Tests oder werden explizit als begrenzt experimentell betrieben. [G1, Art. 25-26]</w:t>
      </w:r>
    </w:p>
    <w:p>
      <w:pPr>
        <w:pStyle w:val="Heading2"/>
      </w:pPr>
      <w:r>
        <w:t>Autonome Neuanlage ohne Rekursion ins Unendliche</w:t>
      </w:r>
    </w:p>
    <w:p>
      <w:pPr>
        <w:keepLines/>
      </w:pPr>
      <w:r>
        <w:t>Der Koordinator erstellt ein NeedRecord: auslösender Auftrag, Kompetenzlücke, vorhandene Alternativen und erwarteter Nutzen. Das Register prüft Wiederverwendung, zusätzlichen Skill oder neuen Agenten. Eine Elternbeziehung, maximale Delegationstiefe, Parallelität und gemeinsame Budgetbindung begrenzen die Vermehrung. Diese Zahlen sind Betriebsparameter, keine Fachurteile.</w:t>
      </w:r>
    </w:p>
    <w:p>
      <w:pPr>
        <w:keepLines/>
      </w:pPr>
      <w:r>
        <w:t>Die Fabrik erstellt eine Kandidatenfassung samt Quellen, Anweisungen, Eingabe-/Ausgabeschema, erlaubten Tools, Abhängigkeiten und Grenzen. Ein vorhandener getrennt qualifizierter Prüfpfad bewertet sie mit anderem Modell und feststehendem Prüfmaterial. Bei Erfolg aktiviert der Kontrollkern sie automatisch im zulässigen Aufgabenumfang. Bei fehlender Prüfkompetenz wird nicht noch ein ungeprüfter Prüfer zum Selbstzertifikat erzeugt.</w:t>
      </w:r>
    </w:p>
    <w:p>
      <w:pPr>
        <w:pStyle w:val="Heading2"/>
      </w:pPr>
      <w:r>
        <w:t>Bootstrap und vertrauenswürdiger Kern</w:t>
      </w:r>
    </w:p>
    <w:p>
      <w:pPr>
        <w:keepLines/>
      </w:pPr>
      <w:r>
        <w:t>Vor dem ersten autonomen Betrieb werden minimale Coordinator-, Builder- und Reviewerprofile sowie Qualifikationsregeln durch die Forschungsleitung freigegeben. Damit endet der Zertifizierungsregress. Neue fachliche Gebiete können zunächst in begrenzter Exploration bearbeitet werden; ein weitergehender Eignungsanspruch braucht passende Nachweise.</w:t>
      </w:r>
    </w:p>
    <w:p>
      <w:pPr>
        <w:pStyle w:val="Heading2"/>
      </w:pPr>
      <w:r>
        <w:t>Paketformat</w:t>
      </w:r>
    </w:p>
    <w:p>
      <w:pPr>
        <w:keepLines/>
      </w:pPr>
      <w:r>
        <w:t>Ein Campus-Skill enthält instructions.md, manifest.json, Ein-/Ausgabeschemas und referenzierte Ressourcen. Ausführbarer Code ist eine gesonderte, isoliert laufende Komponente mit festgelegten Abhängigkeiten. Optional kann eine SKILL.md für den Austausch nach Agent-Skills-Spezifikation exportiert werden; die Campus-Befugnisse stehen im eigenen Manifest und werden niemals aus fremdem Markdown übernommen. [T8]</w:t>
      </w:r>
    </w:p>
    <w:p>
      <w:pPr>
        <w:pStyle w:val="Heading2"/>
      </w:pPr>
      <w:r>
        <w:t>Verbesserung und Stilllegung</w:t>
      </w:r>
    </w:p>
    <w:p>
      <w:pPr>
        <w:keepLines/>
      </w:pPr>
      <w:r>
        <w:t>Eine Verbesserung bleibt Kandidat, bis getrennter Review und vorgegebene Vergleichstests abgeschlossen sind. Aktive Läufe halten ihre Versionen fest; kritische Rücknahmen stoppen betroffene Folgeverwendungen. Ein RetirementRecord erklärt, warum ein Profil ruht oder entfällt. Registeransichten funktionieren auch ohne LLM. Sie zeigen Entstehungsgrund, Eignung, Einsätze, Kosten und Abhängigkeiten statt erfundener Personalbiografien.</w:t>
      </w:r>
    </w:p>
    <w:p>
      <w:r>
        <w:br w:type="page"/>
      </w:r>
    </w:p>
    <w:p>
      <w:pPr>
        <w:pStyle w:val="Heading1"/>
      </w:pPr>
      <w:r>
        <w:t>8 Konfigurierbare Modelle und deren Eignung</w:t>
      </w:r>
    </w:p>
    <w:p>
      <w:pPr>
        <w:pStyle w:val="Heading2"/>
      </w:pPr>
      <w:r>
        <w:t>Keine feste Zuordnung von Agent zu Anbieter</w:t>
      </w:r>
    </w:p>
    <w:p>
      <w:pPr>
        <w:keepLines/>
      </w:pPr>
      <w:r>
        <w:t>Ein Agentenprofil definiert benötigte Fähigkeiten, erlaubte Datenklassen und qualifizierte Kombinationen. Es kann verschiedene Modelle nutzen. Die konkrete Bindung erfolgt je Task beziehungsweise zusammenhängendem mehrstufigem Modellgespräch. Das Werkzeug, mit dem Claude den Campus entwickelt, ist keine Architekturabhängigkeit des Laufzeitbetriebs.</w:t>
      </w:r>
    </w:p>
    <w:tbl>
      <w:tblPr>
        <w:tblW w:type="auto" w:w="0"/>
        <w:jc w:val="center"/>
        <w:tblLayout w:type="fixed"/>
        <w:tblLook w:firstColumn="1" w:firstRow="1" w:lastColumn="0" w:lastRow="0" w:noHBand="0" w:noVBand="1" w:val="04A0"/>
      </w:tblPr>
      <w:tblGrid>
        <w:gridCol w:w="2376"/>
        <w:gridCol w:w="7416"/>
      </w:tblGrid>
      <w:tr>
        <w:trPr>
          <w:tblHeader/>
          <w:cantSplit/>
        </w:trPr>
        <w:tc>
          <w:tcPr>
            <w:tcW w:type="dxa" w:w="237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Katalogfeld</w:t>
            </w:r>
          </w:p>
        </w:tc>
        <w:tc>
          <w:tcPr>
            <w:tcW w:type="dxa" w:w="741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Inhalt / Regel</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Identität</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Anbieter, native Modellkennung, Modellfamilie, bekannte gemeinsame Basis, Versionsmodus und konkrete Deploymentfassung.</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Zugang</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Adapter, administrativ eingerichteter Endpunkt, Secret-Referenz, Region und zulässige Verarbeitungsprofile. Keine Schlüssel im Prompt.</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Fähigkeiten</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Kontext-/Ausgabelimits, Eingabemodalitäten, Tool Calling, strukturierte Ausgabe, Streaming, Tokenzählung. Status unterstützt / nicht / unbekannt.</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Eignungsnachweis</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Aufgabenklasse, Skill-/Profilfassung, Testsatz, Grösse und Aktualität des Nachweises, Fehlermuster; keine frei erfundene Rangliste.</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Aufwand</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Versioniertes Preismodell, Währung, Eingabe, Ausgabe, Cache, Toolkosten, konservative Reservierung und Nutzungsgrenzen.</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Betrieb</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Zugelassen, verfügbar, gedrosselt, veraltet oder gesperrt; Health Check, effektive Modellkennung und Ausfallregeln.</w:t>
            </w:r>
          </w:p>
        </w:tc>
      </w:tr>
    </w:tbl>
    <w:p>
      <w:pPr>
        <w:spacing w:after="0"/>
      </w:pPr>
    </w:p>
    <w:p>
      <w:pPr>
        <w:keepLines/>
      </w:pPr>
      <w:r>
        <w:t>Ein Provider-Adapter kann verfügbare Modellkennungen abfragen. Discovery bedeutet weder Datenfreigabe noch Kompetenzqualifikation. Die Plattform kann neue Modelle zur Probe vorschlagen und im delegierten Prüfbudget qualifizieren; neue Verträge, Schlüssel oder Datenverarbeitungsbefugnisse entstehen dabei nicht von selbst. Fachliche Eignung wird je Kombination und Aufgabe belegt; blosse Providerverfügbarkeit ist kein Nachweis.</w:t>
      </w:r>
    </w:p>
    <w:p>
      <w:pPr>
        <w:pStyle w:val="Heading2"/>
      </w:pPr>
      <w:r>
        <w:t>Konfiguration als versionierte Ressource</w:t>
      </w:r>
    </w:p>
    <w:p>
      <w:pPr>
        <w:keepLines/>
      </w:pPr>
      <w:r>
        <w:t>Die Benutzeroberfläche verwaltet Provider, Modelle, aufgabenbezogene Qualifikationen und Routingregeln; YAML/JSON dienen dem Import und Export. Das validierte Register ist die Laufzeitquelle. Änderungen erzeugen eine neue Konfigurationsfassung und Auditereignisse. Secret-Werte bleiben ausschliesslich im Gateway-Betrieb.</w:t>
      </w:r>
    </w:p>
    <w:p>
      <w:pPr>
        <w:keepLines/>
      </w:pPr>
      <w:r>
        <w:t>Modellaliases werden vor einer Trennungsprüfung auf kanonische Identitäten aufgelöst. Zwei API-Zugänge zum selben Basismodell sind keine unterschiedlichen Prüfmodelle. Unbekannte Herkunft wird als unbekannt geführt; sie darf keine behauptete unabhängige Gegenprüfung begründen. [G1, Art. 27 und Anhang G]</w:t>
      </w:r>
    </w:p>
    <w:p>
      <w:pPr>
        <w:keepLines/>
      </w:pPr>
      <w:r>
        <w:t>Die beiliegende Konfiguration enthält keine behaupteten aktuellen Leistungsscores oder Preise. Reale Zugänge sind deaktiviert, bis Modellkennung, Nachweise, Kosten- und Datenfreigaben eingetragen sind.</w:t>
      </w:r>
    </w:p>
    <w:p>
      <w:r>
        <w:br w:type="page"/>
      </w:r>
    </w:p>
    <w:p>
      <w:pPr>
        <w:pStyle w:val="Heading1"/>
      </w:pPr>
      <w:r>
        <w:t>9 Begründete autonome Modellauswahl</w:t>
      </w:r>
    </w:p>
    <w:p>
      <w:pPr>
        <w:keepLines/>
        <w:spacing w:before="140" w:after="240"/>
        <w:ind w:left="202" w:right="202"/>
      </w:pPr>
      <w:r>
        <w:rPr>
          <w:b/>
          <w:color w:val="213E50"/>
        </w:rPr>
        <w:t>Der Router trifft innerhalb zulässiger Alternativen eine operative Wahl. Der Kontrollkern entscheidet nur, ob diese Wahl ausgeführt werden darf.</w:t>
      </w:r>
    </w:p>
    <w:tbl>
      <w:tblPr>
        <w:tblW w:type="auto" w:w="0"/>
        <w:jc w:val="center"/>
        <w:tblLayout w:type="fixed"/>
        <w:tblLook w:firstColumn="1" w:firstRow="1" w:lastColumn="0" w:lastRow="0" w:noHBand="0" w:noVBand="1" w:val="04A0"/>
      </w:tblPr>
      <w:tblGrid>
        <w:gridCol w:w="2232"/>
        <w:gridCol w:w="7560"/>
      </w:tblGrid>
      <w:tr>
        <w:trPr>
          <w:tblHeader/>
          <w:cantSplit/>
        </w:trPr>
        <w:tc>
          <w:tcPr>
            <w:tcW w:type="dxa" w:w="2232"/>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Stufe</w:t>
            </w:r>
          </w:p>
        </w:tc>
        <w:tc>
          <w:tcPr>
            <w:tcW w:type="dxa" w:w="7560"/>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Vorgang und Nachweis</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1. Bedarf bestimmen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TaskNeed aus Auftrag, Datenmanifest und Skillvertrag: Aufgabe, Sprache, Eingabeform, Umfang, Reviewbedarf und Risikoprofil.</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2. Hart filtern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Nur freigegebene, kompatible, erreichbare Modelle mit erlaubtem Datenweg, ausreichendem Kontext und Qualifikationsumfang.</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3. Vergleich bilden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Aufgabeneignung mit Belegen, bekannte Fehler, Unsicherheit, voraussichtliche Kosten und Laufzeit getrennt darstellen.</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4. Selbst wählen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Ein Routing-Agent wählt aus Kandidaten-IDs, nennt ausschlaggebende Gründe, Alternativen und referenzierte Katalogbelege.</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5. Zulassung validieren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Kandidat existiert, Beleg-IDs passen, Regeln unverändert, Reviewertrennung erfüllbar. Plausible Sprache ersetzt keine technische Berechtigung.</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6. Mittel reservieren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Geld, Tokens, Zeit und nötige Gegenprüfung aus gemeinsamem Budget reservieren; bei Konkurrenz erneut prüfen.</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7. Route festhalten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RoutingDecision vor dem Aufruf mit Policy-, Katalog-, Task- und Auswahlfassung atomar registrieren.</w:t>
            </w:r>
          </w:p>
        </w:tc>
      </w:tr>
      <w:tr>
        <w:trPr>
          <w:cantSplit/>
        </w:trPr>
        <w:tc>
          <w:tcPr>
            <w:tcW w:type="dxa" w:w="223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8. Ausführen und lernen</w:t>
            </w:r>
          </w:p>
        </w:tc>
        <w:tc>
          <w:tcPr>
            <w:tcW w:type="dxa" w:w="75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Gateway bindet die tatsächliche Route. Ergebnis, effektive Modellkennung, Aufwand und spätere Qualitätsbewertung werden verknüpft.</w:t>
            </w:r>
          </w:p>
        </w:tc>
      </w:tr>
    </w:tbl>
    <w:p>
      <w:pPr>
        <w:spacing w:after="0"/>
      </w:pPr>
    </w:p>
    <w:p>
      <w:pPr>
        <w:pStyle w:val="Heading2"/>
      </w:pPr>
      <w:r>
        <w:t>Echte Wahl statt dekorativer Begründung</w:t>
      </w:r>
    </w:p>
    <w:p>
      <w:pPr>
        <w:keepLines/>
      </w:pPr>
      <w:r>
        <w:t>Der Router darf das teuerste geeignete Modell wählen, wenn Aufgabenanforderung und erwarteter Nutzen dies tragen und das Mandat es erlaubt. Er muss nicht stets das billigste verwenden. Er darf ebenso einen deterministischen Rechner oder eine vorhandene Analyse wiederverwenden, wenn kein Modellurteil nötig ist. Die rationale Auswahl wird als Entscheidnotiz gespeichert; verborgene Modellgedankengänge werden weder verlangt noch als Auditnachweis behauptet.</w:t>
      </w:r>
    </w:p>
    <w:p>
      <w:pPr>
        <w:keepLines/>
      </w:pPr>
      <w:r>
        <w:t>Eine technische Prüfung kann feststellen, ob die genannten Nachweise existieren und Regeln eingehalten sind. Ob die Begründung fachlich überzeugt, bleibt ein bewertbares Urteil. Eine spätere Routing-Evaluation vergleicht Wahl, Ergebnisqualität und Aufwand an extern beurteilten Aufgaben, nicht bloss an Selbstbewertungen des gewählten Modells.</w:t>
      </w:r>
    </w:p>
    <w:p>
      <w:pPr>
        <w:keepLines/>
      </w:pPr>
      <w:r>
        <w:t>Ein transparenter Kandidatenvergleich ist kein Gesamtscore für wissenschaftliche Wahrheit. Gewichtungen oder Mindestwerte sind versionierte Routingregeln und dürfen nicht vom zu bewertenden Kandidaten nachträglich umgestellt werden.</w:t>
      </w:r>
    </w:p>
    <w:p>
      <w:r>
        <w:br w:type="page"/>
      </w:r>
    </w:p>
    <w:p>
      <w:pPr>
        <w:pStyle w:val="Heading1"/>
      </w:pPr>
      <w:r>
        <w:t>10 Routing im Betrieb: Bootstrap, Wechsel und Ausfälle</w:t>
      </w:r>
    </w:p>
    <w:p>
      <w:pPr>
        <w:pStyle w:val="Heading2"/>
      </w:pPr>
      <w:r>
        <w:t>Wer wählt das Modell für die Modellauswahl?</w:t>
      </w:r>
    </w:p>
    <w:p>
      <w:pPr>
        <w:keepLines/>
      </w:pPr>
      <w:r>
        <w:t>Ein kleiner vorqualifizierter Selector-Pool wird administrativ eingerichtet. Der Kontrollkern wählt daraus nach einer festen, protokollierten Reihenfolge ein geeignetes Modell für den Routing-Agenten. Dieser Metaschritt ruft sich nicht selbst wieder auf. Ist kein Selector zulässig, kann eine vorab erlaubte deterministische Auswahlregel greifen; andernfalls wartet nur die betreffende Aufgabe.</w:t>
      </w:r>
    </w:p>
    <w:p>
      <w:pPr>
        <w:keepLines/>
      </w:pPr>
      <w:r>
        <w:t>Der Selector erhält nur die für seine Aufgabe freigegebenen Beschreibungen, keine unnötigen sensiblen Volltexte. Auch dieser Aufruf belastet das Budget und hat einen dokumentierten Datenweg. Bei zwischengespeicherten Entscheidungen werden Rechte, Datenklasse, Frist, Modellverfügbarkeit und Policyfassung erneut geprüft. Unmittelbar vor Versand prüft das Gateway auch einen zwischenzeitlichen Widerruf; eine alte Routingentscheidung umgeht keinen aktuellen Stopp.</w:t>
      </w:r>
    </w:p>
    <w:p>
      <w:pPr>
        <w:pStyle w:val="Heading2"/>
      </w:pPr>
      <w:r>
        <w:t>Beispiel: Rechtsanalyse mit technischer Gegenprüfung</w:t>
      </w:r>
    </w:p>
    <w:p>
      <w:pPr>
        <w:keepLines/>
      </w:pPr>
      <w:r>
        <w:t>Illustration, keine Messung: Ein Agent für schweizerisches Verwaltungsrecht benötigt eine quellengebundene Analyse. Modell A ist für Quellenkartierung qualifiziert; Modell B für juristische Argumentprüfung; Modell C hat noch keinen passenden Nachweis. Der Router kann A für die Erarbeitung und B für die Gegenprüfung kombinieren. C bleibt aus der tragenden Prüfung ausgeschlossen, kann aber im genehmigten Explorationsbudget untersucht werden.</w:t>
      </w:r>
    </w:p>
    <w:p>
      <w:pPr>
        <w:keepLines/>
      </w:pPr>
      <w:r>
        <w:t>Die Entscheidung referenziert den tatsächlichen Katalog und nennt z. B. die erforderliche Sprache, passende Evaluationen und Datenfreigaben. Der Fachagent bleibt derselbe, wenn ein späterer Task ein anderes geeignetes Modell verwendet. Kein pauschales Etikett wie Anbieter A ist immer besser in Recht wird fest eingebaut.</w:t>
      </w:r>
    </w:p>
    <w:p>
      <w:pPr>
        <w:pStyle w:val="Heading2"/>
      </w:pPr>
      <w:r>
        <w:t>Fallback ist eine neue begründete Route</w:t>
      </w:r>
    </w:p>
    <w:p>
      <w:pPr>
        <w:keepLines/>
      </w:pPr>
      <w:r>
        <w:t>Bei technischen Störungen prüft der Campus Alternativen erneut gegen dieselben harten Regeln. Ein Reviewer darf nicht still auf das erzeugende Modell zurückfallen. Ein Ausfall ist kein Anlass, Daten in eine nicht freigegebene Region zu senden oder kritische Prüfungen zu streichen. Verweigerungen aus Schutzgründen werden nicht durch Anbieterwechsel umgangen.</w:t>
      </w:r>
    </w:p>
    <w:p>
      <w:pPr>
        <w:keepLines/>
      </w:pPr>
      <w:r>
        <w:t>Wechselt das Modell mitten in einem mehrstufigen Tool-Gespräch, beginnt ein neuer Attempt mit freigegebenem, neutralem Übergabedossier. Anbieterspezifische Zustands-/Signaturblöcke werden nicht als universell kompatible Nachrichten weitergereicht. Original und Wechselgrund bleiben erhalten.</w:t>
      </w:r>
    </w:p>
    <w:p>
      <w:pPr>
        <w:pStyle w:val="Heading2"/>
      </w:pPr>
      <w:r>
        <w:t>Kein Modellname ist eine Versionsgarantie</w:t>
      </w:r>
    </w:p>
    <w:p>
      <w:pPr>
        <w:keepLines/>
      </w:pPr>
      <w:r>
        <w:t>Feste Anbieterfassungen werden bevorzugt. Bei beweglichen Aliasen speichert der Campus deklarierte und effektiv gemeldete Identität sowie Aufrufdatum. Nicht rekonstruierbare Anbieteränderungen begrenzen die Wiederholbarkeit. Qualifikation wird bei wesentlicher Änderung erneut fällig; eine bitidentische LLM-Wiederholung wird nicht zugesichert.</w:t>
      </w:r>
    </w:p>
    <w:p>
      <w:r>
        <w:br w:type="page"/>
      </w:r>
    </w:p>
    <w:p>
      <w:pPr>
        <w:pStyle w:val="Heading1"/>
      </w:pPr>
      <w:r>
        <w:t>11 Provider-Adapter und wissenschaftliche Gegenprüfung</w:t>
      </w:r>
    </w:p>
    <w:p>
      <w:pPr>
        <w:pStyle w:val="Heading2"/>
      </w:pPr>
      <w:r>
        <w:t>Gemeinsamer Vertrag, ehrliche Unterschiede</w:t>
      </w:r>
    </w:p>
    <w:p>
      <w:pPr>
        <w:keepLines/>
      </w:pPr>
      <w:r>
        <w:t>LLMRequest enthält Systemregeln, getrennt gekennzeichnete Inhalte, Tooldefinitionen, Ausgabevertrag, Limits, Metadaten und idempotente Aufrufkennung. LLMResponse liefert Text-/Datenblöcke, Toolanforderungen, Stopgrund, tatsächliche Modellkennung, Nutzungswerte, Sicherheitsstatus und geschützte Rohantwortreferenz. Provider-Erweiterungen bleiben als typisierte Zusatzfelder erhalten.</w:t>
      </w:r>
    </w:p>
    <w:p>
      <w:pPr>
        <w:keepLines/>
      </w:pPr>
      <w:r>
        <w:t>Anthropic, OpenAI und Google dokumentieren eigene Tool-Calling-Verträge. Deshalb gibt es Adapter statt eines universellen HTTP-Payloads. Fehlende Funktionen werden nicht still simuliert: Ein JSON-Textprompt ist kein gleichwertiger Ersatz für technisch erzwungene strukturierte Ausgabe. Ein möglicher schwächerer Modus muss separat qualifiziert und sichtbar sein. [T2-T4]</w:t>
      </w:r>
    </w:p>
    <w:p>
      <w:pPr>
        <w:keepLines/>
      </w:pPr>
      <w:r>
        <w:t>LiteLLM kann später ein Adapter hinter dem Campus-Gateway sein. Seine dokumentierten Retry- und Fallbackfunktionen ersetzen keine fachliche Modellauswahl. Im Campus sind automatische Cross-Model-Fallbacks einer solchen Bibliothek deaktiviert, sofern sie die protokollierte Route oder Datenpolitik umgehen könnten. [T5]</w:t>
      </w:r>
    </w:p>
    <w:p>
      <w:pPr>
        <w:pStyle w:val="Heading2"/>
      </w:pPr>
      <w:r>
        <w:t>Erstprüfung und gemeinsame Verbesserung</w:t>
      </w:r>
    </w:p>
    <w:p>
      <w:pPr>
        <w:keepLines/>
      </w:pPr>
      <w:r>
        <w:t>Ein tragendes Artefakt erhält einen eingefrorenen Prüfgegenstand und einen Reviewer aus einem anderen kanonischen Modell. Der Prüfer erhält relevante Methoden, Quellen und Daten, aber keine vorgefertigte Schlussbewertung. Nach der getrennten Erstprüfung können Erzeuger und Prüfer Einwände diskutieren; substanzielle Änderungen erzeugen eine neue Artefaktfassung und neue erforderliche Prüfung.</w:t>
      </w:r>
    </w:p>
    <w:p>
      <w:pPr>
        <w:keepLines/>
      </w:pPr>
      <w:r>
        <w:t>Für die Trennung wird der Bestand substanziell beitragender Modellidentitäten aus der Entstehungskette herangezogen. Eine Umformulierung durch Modell B macht den Beitrag von A nicht unsichtbar. Reine Transport- oder mechanische Formatierungsschritte gelten nicht automatisch als fachliche Erzeugung; diese Beitragsklassen werden vorab definiert.</w:t>
      </w:r>
    </w:p>
    <w:p>
      <w:pPr>
        <w:keepLines/>
      </w:pPr>
      <w:r>
        <w:t>Unterschiedliche Anbieter werden bevorzugt, wo Rechte und Verfügbarkeit es erlauben. Gemeinsame Modellbasis und Informationsabhängigkeiten bleiben sichtbar. Kein Mehrheitsentscheid löscht Dissens; kein drittes Modell wird zum vermeintlich objektiven Schiedsrichter. Fehlende Gegenprüfung bedeutet offen, nicht bestanden. [G1, Art. 17-20, 27-28]</w:t>
      </w:r>
    </w:p>
    <w:p>
      <w:pPr>
        <w:pStyle w:val="Heading2"/>
      </w:pPr>
      <w:r>
        <w:t>Was verbessert werden darf</w:t>
      </w:r>
    </w:p>
    <w:p>
      <w:pPr>
        <w:keepLines/>
      </w:pPr>
      <w:r>
        <w:t>Artefakte, Prompts, Skillpakete, Retrieval und Agentenprofile dürfen autonom als Kandidaten verbessert werden. Kontrollkern, Schutzregeln, verbindliche Testschwellen, Secrets und Modellgewichte sind davon nicht umfasst. Leistungslernen nutzt kuratierte Evaluationen und begrenzte Experimente; ungeprüfte Selbstauskünfte werden keine Katalogfakten.</w:t>
      </w:r>
    </w:p>
    <w:p>
      <w:r>
        <w:br w:type="page"/>
      </w:r>
    </w:p>
    <w:p>
      <w:pPr>
        <w:pStyle w:val="Heading1"/>
      </w:pPr>
      <w:r>
        <w:t>12 Internetrecherche ohne statische Quellenfessel</w:t>
      </w:r>
    </w:p>
    <w:p>
      <w:pPr>
        <w:keepLines/>
      </w:pPr>
      <w:r>
        <w:t>Der Internetdienst erlaubt die selbständige Suche und den Abruf neuer zulässiger öffentlicher Quellen. Die Policy unterscheidet Handlung und Datenklasse, nicht nur einen statischen Domainkatalog. Lesezugriff ist kein Recht auf Kontoerstellung, Vertragsannahme, Zahlung, Veröffentlichung oder Eingriff. [G1, Art. 9, 21 und Anhang D, T15]</w:t>
      </w:r>
    </w:p>
    <w:p>
      <w:pPr>
        <w:pStyle w:val="Heading2"/>
      </w:pPr>
      <w:r>
        <w:t>Abrufpipeline</w:t>
      </w:r>
    </w:p>
    <w:p>
      <w:pPr>
        <w:keepLines/>
      </w:pPr>
      <w:r>
        <w:t>Query/Data Export Check -&gt; URL- und Zielprüfung -&gt; kontrollierter Abruf -&gt; Quarantäne/Dateitypprüfung -&gt; isolierte Extraktion -&gt; versionierte Quelle mit Fundstellen -&gt; berechtigter Suchindex. Paywalls und fehlende Nutzungsrechte erzeugen eine Zugangslücke; alternative legitime Zugänge können selbständig gesucht werden.</w:t>
      </w:r>
    </w:p>
    <w:p>
      <w:pPr>
        <w:pStyle w:val="Heading2"/>
      </w:pPr>
      <w:r>
        <w:t>Durchsetzung an jedem Netzübergang</w:t>
      </w:r>
    </w:p>
    <w:p>
      <w:pPr>
        <w:keepLines/>
      </w:pPr>
      <w:r>
        <w:t>HTTP(S)-Ziele werden normalisiert, auf sichere Protokolle und Ports begrenzt und gegen interne, lokale, private sowie Metadaten-Adressen geprüft. DNS-Auflösung und tatsächliches Verbindungsziel müssen zusammenpassen. Redirects, IPv4/IPv6 und Browser-Unteranfragen durchlaufen dieselbe Kontrolle; Cookies oder Auth-Header werden nicht unkontrolliert an neue Ursprünge weitergereicht. Die OWASP-Referenz unterscheidet ausdrücklich den Fall beliebiger externer Ziele von festen Allowlist-Zielen. [T6]</w:t>
      </w:r>
    </w:p>
    <w:p>
      <w:pPr>
        <w:keepLines/>
      </w:pPr>
      <w:r>
        <w:t>Netzregeln verhindern, dass ein Browser oder generierter Code den Vermittlungsdienst einfach umgeht. Dateien, Git-Submodule, Paketdownloads und Dokumentkonvertierungen sind eigene Eingabekanäle. Grössen-, Zeit-, Dekompressions- und Abruflimits gelten auch für diese Kanäle. Remote-MCP-Dienste werden nicht allein aufgrund einer Suchfundstelle als privilegierte Tools eingebunden.</w:t>
      </w:r>
    </w:p>
    <w:p>
      <w:pPr>
        <w:pStyle w:val="Heading2"/>
      </w:pPr>
      <w:r>
        <w:t>Datenabfluss beginnt bei der Suchanfrage</w:t>
      </w:r>
    </w:p>
    <w:p>
      <w:pPr>
        <w:keepLines/>
      </w:pPr>
      <w:r>
        <w:t>Die Policy prüft auch Suchtexte, URL-Parameter, Modellnachrichten und Telemetrie. Sensible Ausgangsdaten sind markiert; abgeleitete Inhalte erben Schutzlabels konservativ bis zu einem autorisierten Freigabe-/Bereinigungsschritt. Automatische Pseudonymisierung behauptet keine vollständige Anonymität. Nicht klassifizierbarer sensibler Inhalt bleibt für den betroffenen Export gesperrt.</w:t>
      </w:r>
    </w:p>
    <w:p>
      <w:pPr>
        <w:keepLines/>
      </w:pPr>
      <w:r>
        <w:t>Dokumente und Webseiten sind Daten, keine Anweisungsinstanz. Agenten dürfen ihre fachlichen Hinweise auswerten, aber keine darin verlangten Schlüssel-, Rollen- oder Policyänderungen ausführen. Prompt-Injection-Erkennung ist Zusatzschutz, nicht die alleinige Barriere. Quelle, Rohfassung, Extraktorversion und Zugriffsdatum bleiben nachvollziehbar. [G1, Art. 4, 14, 21]</w:t>
      </w:r>
    </w:p>
    <w:p>
      <w:pPr>
        <w:keepLines/>
        <w:spacing w:before="140" w:after="240"/>
        <w:ind w:left="202" w:right="202"/>
      </w:pPr>
      <w:r>
        <w:rPr>
          <w:b/>
          <w:color w:val="213E50"/>
        </w:rPr>
        <w:t>Positiver Abnahmetest: Eine noch unbekannte, zulässige öffentliche Quelle wird ohne menschlichen Einzelklick aufgenommen. Negative Abnahme: derselbe Weg erreicht weder das interne Netz noch vertrauliche Projektdaten.</w:t>
      </w:r>
    </w:p>
    <w:p>
      <w:r>
        <w:br w:type="page"/>
      </w:r>
    </w:p>
    <w:p>
      <w:pPr>
        <w:pStyle w:val="Heading1"/>
      </w:pPr>
      <w:r>
        <w:t>13 Isolierte Experimente und sichere Skill-Ausführung</w:t>
      </w:r>
    </w:p>
    <w:p>
      <w:pPr>
        <w:pStyle w:val="Heading2"/>
      </w:pPr>
      <w:r>
        <w:t>Ein Rechenlauf ist kein freier Shell-Zugang</w:t>
      </w:r>
    </w:p>
    <w:p>
      <w:pPr>
        <w:keepLines/>
      </w:pPr>
      <w:r>
        <w:t>Der Sandbox Controller startet kurzlebige Arbeitsumgebungen mit CPU-, Speicher-, Prozess-, Dateigrössen- und Zeitlimits. Eingaben werden in bestimmter Fassung schreibgeschützt bereitgestellt; Ausgaben gehen in ein separates Verzeichnis. Agenten sehen keine Host-Geheimnisse, keinen Docker-Socket und keine produktiven Datenbankzugänge.</w:t>
      </w:r>
    </w:p>
    <w:p>
      <w:pPr>
        <w:keepLines/>
      </w:pPr>
      <w:r>
        <w:t>Für autonom erzeugten, nicht vertrauenswürdigen Code ist eine stärkere Isolation vorzusehen, z. B. dedizierte VM plus gehärtete Container oder eine geeignete Sandbox-Laufzeit. gVisor ist ein möglicher Baustein mit eigener vermittelnder Systemaufrufschicht; seine Dokumentation ist keine Garantie für eine konkrete sichere Campus-Konfiguration. Die Isolationswahl muss auf dem Zielhost separat getestet werden. [T7]</w:t>
      </w:r>
    </w:p>
    <w:p>
      <w:pPr>
        <w:pStyle w:val="Heading2"/>
      </w:pPr>
      <w:r>
        <w:t>Netz und Pakete</w:t>
      </w:r>
    </w:p>
    <w:p>
      <w:pPr>
        <w:keepLines/>
      </w:pPr>
      <w:r>
        <w:t>Standardmässig hat ein Experiment keinen freien Internetzugang. Benötigte Daten werden vorher durch den Internetdienst bereitgestellt. Bei erlaubtem interaktivem Datenbezug erreicht es ausschliesslich einen eng begrenzten Fetch-Proxy. Paketinstallation erfolgt in einer Buildstufe mit festgeschriebenen Versionen, Prüfsummen und zulässigen Bezugswegen; keine unkontrollierten Installationsskripte im Kontrollprozess.</w:t>
      </w:r>
    </w:p>
    <w:p>
      <w:pPr>
        <w:pStyle w:val="Heading2"/>
      </w:pPr>
      <w:r>
        <w:t>Nachweis der Durchführung ist nicht Nachweis der Richtigkeit</w:t>
      </w:r>
    </w:p>
    <w:p>
      <w:pPr>
        <w:keepLines/>
      </w:pPr>
      <w:r>
        <w:t>Der vertrauenswürdige Runner erfasst Start, Ende, Umgebung, Input- und Output-Hashes, Exitcode und Ressourcenverbrauch. stdout ist ein unzuverlässiger Inhalt: Eine Ausgabe mit dem Satz alle Tests bestanden ist kein gemessener Teststatus. Auch ein Exitcode 0 sagt nur etwas über diesen Lauf aus. Vom Kandidaten selbst geschriebene Tests belegen keine unabhängige fachliche Richtigkeit.</w:t>
      </w:r>
    </w:p>
    <w:p>
      <w:pPr>
        <w:keepLines/>
      </w:pPr>
      <w:r>
        <w:t>Tragende Vergleiche verwenden zusätzliche, getrennt verwahrte Prüffälle und bei Bedarf unabhängige Implementierungen. Prüfdaten liegen nicht im erzeugenden Arbeitsbereich. Der Evaluator liest Ergebnisartefakte aus einem eingefrorenen Lauf, kann aber seine Grenzwerte nicht durch dessen Inhalte ändern.</w:t>
      </w:r>
    </w:p>
    <w:p>
      <w:pPr>
        <w:pStyle w:val="Heading2"/>
      </w:pPr>
      <w:r>
        <w:t>Leistungsebenen im Pilot</w:t>
      </w:r>
    </w:p>
    <w:p>
      <w:pPr>
        <w:keepLines/>
      </w:pPr>
      <w:r>
        <w:t>development_mock: kein Netz und keine echte autonome Codeausführung. restricted_research: echte Quellen- und LLM-Aufrufe mit geprüften Grenzen. isolated_execution: zusätzlich ein abgenommener Sandboxpfad. Ein nicht verfügbarer Sicherheitsbaustein schaltet die betreffende Fähigkeit ab; er wird nicht durch eine Anweisung vorsichtig zu sein ersetzt.</w:t>
      </w:r>
    </w:p>
    <w:p>
      <w:pPr>
        <w:keepLines/>
      </w:pPr>
      <w:r>
        <w:t>Das System verbessert Skills innerhalb dieser Umgebung. Änderungen am Campus-Kern werden als Softwareänderungen in eine getrennte Entwicklungsstrecke exportiert, nicht automatisch auf dem laufenden Kontrollsystem installiert.</w:t>
      </w:r>
    </w:p>
    <w:p>
      <w:r>
        <w:br w:type="page"/>
      </w:r>
    </w:p>
    <w:p>
      <w:pPr>
        <w:pStyle w:val="Heading1"/>
      </w:pPr>
      <w:r>
        <w:t>14 Forschungswissen, Aussagen und Korrekturfolgen</w:t>
      </w:r>
    </w:p>
    <w:p>
      <w:pPr>
        <w:pStyle w:val="Heading2"/>
      </w:pPr>
      <w:r>
        <w:t>Bibliothek und Gedächtnis</w:t>
      </w:r>
    </w:p>
    <w:p>
      <w:pPr>
        <w:keepLines/>
      </w:pPr>
      <w:r>
        <w:t>Der Objektspeicher hält Quellenfassungen, Datensätze, Code, Manuskripte und Prüfberichte. PostgreSQL hält die strukturierten Beziehungen. Volltextsuche und optional pgvector unterstützen Retrieval; der Suchindex ist austauschbar und keine Quelle wissenschaftlicher Autorität. Ein Treffer verlinkt stets auf die konkrete Passage und Fassung.</w:t>
      </w:r>
    </w:p>
    <w:p>
      <w:pPr>
        <w:keepLines/>
      </w:pPr>
      <w:r>
        <w:t>Workspace-/Projektfilter gelten vor der Suche und vor dem Kontextaufbau, nicht erst nach Ausgabe eines fremden Treffers. Zusammenfassungen, Caches und Embeddings unterliegen denselben Rechten wie ihre Ausgangsinhalte. Ein globales unkontrolliertes Gedächtnis ist ausgeschlossen.</w:t>
      </w:r>
    </w:p>
    <w:p>
      <w:pPr>
        <w:pStyle w:val="Heading2"/>
      </w:pPr>
      <w:r>
        <w:t>Zwei unabhängige Prüffragen</w:t>
      </w:r>
    </w:p>
    <w:p>
      <w:pPr>
        <w:keepLines/>
      </w:pPr>
      <w:r>
        <w:t>Quellenprüfung: Existiert die referenzierte Fassung, und wurde die Passage korrekt extrahiert? Inhaltsprüfung: Trägt sie diese Behauptung im angegebenen Geltungsbereich? Das Ergebnis einer zweiten Frage ist ein begründeter Review, kein aus URL oder DOI ableitbares Wahrheitsbit. Fehlender Volltext und Sekundärzitate bleiben sichtbar. [G1, Art. 14]</w:t>
      </w:r>
    </w:p>
    <w:p>
      <w:pPr>
        <w:keepLines/>
      </w:pPr>
      <w:r>
        <w:t>Für eigene Resultate verweist EvidenceLink auf einen tatsächlichen Lauf, seine Mess-/Ableitungsregeln und Inputfassungen. Neue Erkenntnisse brauchen keine externe Quelle, die sie bereits behauptet. Ein Gedankenspiel, synthetischer Datensatz oder simuliertes Publikum bleibt jedoch so bezeichnet und darf nicht als reale Beobachtung erscheinen.</w:t>
      </w:r>
    </w:p>
    <w:p>
      <w:pPr>
        <w:pStyle w:val="Heading2"/>
      </w:pPr>
      <w:r>
        <w:t>Abhängigkeiten statt Zirkelschlüsse</w:t>
      </w:r>
    </w:p>
    <w:p>
      <w:pPr>
        <w:keepLines/>
      </w:pPr>
      <w:r>
        <w:t>Claim A stützt Claim B, B stützt Manuskript C: die Kanten bleiben erhalten. Das System kann gemeinsame Ursprünge finden; zwei Institute, die dieselbe Quelle wiedergeben, werden nicht als unabhängige Bestätigung gezählt. Zyklen von Referenzen werden erkannt und als solche dargestellt.</w:t>
      </w:r>
    </w:p>
    <w:p>
      <w:pPr>
        <w:pStyle w:val="Heading2"/>
      </w:pPr>
      <w:r>
        <w:t>Wenn eine Grundlage entfällt</w:t>
      </w:r>
    </w:p>
    <w:p>
      <w:pPr>
        <w:keepLines/>
      </w:pPr>
      <w:r>
        <w:t>SourceSuperseded, SourceRetracted oder SkillWithdrawn erzeugt eine ImpactAnalysis. Betroffene Nachfolger werden als erneut zu prüfen markiert; zukünftige Verwendung oder Freigabe kann gesperrt werden. Daraus folgt nicht automatisch, dass jede abgeleitete Aussage falsch ist. Ein ReassessmentTask mit zuständiger Rolle, Termin und Rückmeldung schliesst die Lücke zwischen Speicherung und Aktivierung. [G1, Art. 23; G6]</w:t>
      </w:r>
    </w:p>
    <w:p>
      <w:pPr>
        <w:keepLines/>
      </w:pPr>
      <w:r>
        <w:t>Löschungen sensibler Daten propagieren in Artefaktspeicher, Index und Caches. Ein zulässiger Minimalnachweis kann ohne den gelöschten Inhalt fortbestehen. Aufbewahrung, Beweissicherung und Löschpflichten sind je Datenklasse zu entscheiden, nicht durch das Schlagwort unveränderlich pauschal aufzuheben.</w:t>
      </w:r>
    </w:p>
    <w:p>
      <w:r>
        <w:br w:type="page"/>
      </w:r>
    </w:p>
    <w:p>
      <w:pPr>
        <w:pStyle w:val="Heading1"/>
      </w:pPr>
      <w:r>
        <w:t>15 Befugnisse, Freigaben und Integrität</w:t>
      </w:r>
    </w:p>
    <w:p>
      <w:pPr>
        <w:pStyle w:val="Heading2"/>
      </w:pPr>
      <w:r>
        <w:t>Identität wird vom Server festgestellt</w:t>
      </w:r>
    </w:p>
    <w:p>
      <w:pPr>
        <w:keepLines/>
      </w:pPr>
      <w:r>
        <w:t>Menschliche Aktionen verwenden authentifizierte Sitzungen; Rollen werden serverseitig geprüft. Agenten erhalten kurzlebige, auf Task und Workspace begrenzte Ausführungskontexte. created_by aus Modelltext oder einem frei eingegebenen Header ist niemals eine belastbare Identität. Das vermeidet die im KAIRON-Handbuch dokumentierte Prototypgrenze. [G8, B1]</w:t>
      </w:r>
    </w:p>
    <w:p>
      <w:pPr>
        <w:keepLines/>
      </w:pPr>
      <w:r>
        <w:t>Role-based Regeln definieren Grundrollen, attributbezogene Regeln begrenzen konkrete Daten, Projekte, Aktionen und Fassungen. Reviewer lesen den Prüfgegenstand und schreiben ihren Bericht; Erzeuger können diesen nicht ändern. Administratoren verwalten den Betrieb, nicht automatisch fachliche Freigaben. Rollenzusammenlegung bei einer Person bleibt offen ausgewiesen.</w:t>
      </w:r>
    </w:p>
    <w:p>
      <w:pPr>
        <w:pStyle w:val="Heading2"/>
      </w:pPr>
      <w:r>
        <w:t>Datenbank als zusätzliche Grenze</w:t>
      </w:r>
    </w:p>
    <w:p>
      <w:pPr>
        <w:keepLines/>
      </w:pPr>
      <w:r>
        <w:t>PostgreSQL verwendet getrennte Service-Rollen und Workspace-/Projektbindung. Row-Level Security kann als weitere Barriere dienen; Eigentümer und privilegierte Rollen besitzen besondere Bypassmöglichkeiten. Deshalb darf der Anwendungszugang kein Superuser sein, und notwendige FORCE-RLS-/Owner-Einstellungen und Verbindungspools müssen gezielt geprüft werden. RLS allein ersetzt keine Fachautorisierung. [T9]</w:t>
      </w:r>
    </w:p>
    <w:p>
      <w:pPr>
        <w:pStyle w:val="Heading2"/>
      </w:pPr>
      <w:r>
        <w:t>Fassungsbezogene Entscheidungen</w:t>
      </w:r>
    </w:p>
    <w:p>
      <w:pPr>
        <w:keepLines/>
      </w:pPr>
      <w:r>
        <w:t>Eine Approval bindet Artefakt-ID, Version/Hash, Ziel, Zweck, Umfang, entscheidende Person, tragende Gründe und offene Bedingungen. Ein neuer Inhalt erzeugt eine neue Freigabefrage. Externe Einreichung und fachliche Ergebnisfreigabe bleiben getrennte Commands. Bedingungen sind strukturierte Auflagen mit Verantwortung und Frist, keine dekorative Freitextnotiz.</w:t>
      </w:r>
    </w:p>
    <w:p>
      <w:pPr>
        <w:keepLines/>
      </w:pPr>
      <w:r>
        <w:t>Integritätssperren liegen in einem eigenen Modul. Erzeuger dürfen darauf Stellung nehmen, aber keine Sperre selbst entfernen. Bei wissenschaftlichem Dissens kann ein eng begrenzter Geltungsanspruch entstehen; bei Schutzverboten reicht ein fachlich positiver Review nicht aus. Human-in-the-loop ist hier Zuständigkeitsregel, kein behaupteter Korrektheitsnachweis.</w:t>
      </w:r>
    </w:p>
    <w:p>
      <w:pPr>
        <w:pStyle w:val="Heading2"/>
      </w:pPr>
      <w:r>
        <w:t>Nachweise und Manipulationsgrenzen</w:t>
      </w:r>
    </w:p>
    <w:p>
      <w:pPr>
        <w:keepLines/>
      </w:pPr>
      <w:r>
        <w:t>Auditereignisse tragen Zeitpunkt, Akteur, Command, Objektfassung, Policyentscheidung und Korrelationskennungen. Agenten haben keine Update-/Delete-Rechte auf diese Historie. Verkettete Hashes können Manipulationen erkennbar machen, verhindern aber keine Umschreibung durch einen umfassend privilegierten Betreiber. Separate Backups, restriktive Rechte und gegebenenfalls signierte externe Checkpoints ergänzen den Schutz.</w:t>
      </w:r>
    </w:p>
    <w:p>
      <w:pPr>
        <w:keepLines/>
      </w:pPr>
      <w:r>
        <w:t>Audit und LLM-Rohdaten bleiben getrennt: Betriebslogs enthalten keine Geheimnisse und standardmässig keine Vollprompts. Geschützte Reproduktionspakete haben eigene Zugriffe und Aufbewahrungsfristen.</w:t>
      </w:r>
    </w:p>
    <w:p>
      <w:r>
        <w:br w:type="page"/>
      </w:r>
    </w:p>
    <w:p>
      <w:pPr>
        <w:pStyle w:val="Heading1"/>
      </w:pPr>
      <w:r>
        <w:t>16 Budgets, Wiederaufnahme und Transaktionsgrenzen</w:t>
      </w:r>
    </w:p>
    <w:p>
      <w:pPr>
        <w:pStyle w:val="Heading2"/>
      </w:pPr>
      <w:r>
        <w:t>Ein Budgetbaum, keine Geldvermehrung durch Agenten</w:t>
      </w:r>
    </w:p>
    <w:p>
      <w:pPr>
        <w:keepLines/>
      </w:pPr>
      <w:r>
        <w:t>Mandat, Projekt, Task und Unteragenten belasten dasselbe Wurzelbudget. Teilbudgets sind Reservierungen oder gedeckte Zuteilungen, nicht zusätzliche Mittel. Vor jedem kostenpflichtigen Schritt werden Ausgabenlimit, Modell-/Toolkosten und verbleibender Prüfbedarf berücksichtigt. Protokolliert werden Anbieterwährung, verwendeter Umrechnungskurs und normalisierte Steuerungswährung; Geldwerte sind Decimal oder Ganzzahleinheiten, keine binären Floats.</w:t>
      </w:r>
    </w:p>
    <w:p>
      <w:pPr>
        <w:keepLines/>
      </w:pPr>
      <w:r>
        <w:t>Reserve, Aufruf und Abrechnung sind getrennte Phasen. In einer kurzen Datenbanktransaktion werden relevante Konten in fester Reihenfolge gesperrt, Mittel reserviert und der Aufruf registriert. Erst danach erfolgt der externe Aufruf. Usage-/Abrechnungsdaten rechnen die Reserve ab; unbekannte Kosten bleiben offen und werden nicht als null ausgegeben. PostgreSQL beschreibt die dafür nutzbaren Sperrmechanismen. [T10]</w:t>
      </w:r>
    </w:p>
    <w:p>
      <w:pPr>
        <w:keepLines/>
      </w:pPr>
      <w:r>
        <w:t>Ein konfiguriertes Maximalbudget ist eine Grenze neuer Autorisierungen, keine Garantie gegen jede spätere Anbieterabrechnung oder bereits laufende Anfrage. Ausgabetokenlimits, konservative Reserven und Anbieterlimits begrenzen diese Unsicherheit; ein Preis ohne gültige Fassung kann keine sichere Kostenschätzung begründen.</w:t>
      </w:r>
    </w:p>
    <w:p>
      <w:pPr>
        <w:pStyle w:val="Heading2"/>
      </w:pPr>
      <w:r>
        <w:t>Idempotenz und unbekannter Ausgang</w:t>
      </w:r>
    </w:p>
    <w:p>
      <w:pPr>
        <w:keepLines/>
      </w:pPr>
      <w:r>
        <w:t>Ein RunAttempt hat eine feste logische Kennung. Technische Wiederholungen werden nicht als neue wissenschaftliche Versuche versteckt; neue wissenschaftliche Versuche erhalten dagegen eigene, protokollierte Bedingungen. Provider und Tools können Anfragen trotz Timeout verarbeitet haben. outcome_unknown ist ein eigener Zustand: zuerst abgleichen, dann begründet erneut ausführen. Kein blindes Retry einer Publikation oder sonstigen externen Wirkung.</w:t>
      </w:r>
    </w:p>
    <w:p>
      <w:pPr>
        <w:keepLines/>
      </w:pPr>
      <w:r>
        <w:t>LLM-Aufrufe werden vor Versand journalisiert. Ein vorhandenes abgeschlossenes Ergebnis kann beim Workflow-Replay referenziert werden. Ein unklarer Versand kann ohne Anbieterunterstützung nicht perfekt dedupliziert werden; Reserven bleiben deshalb bis zur Klärung gebunden. Cancellation kann eine bereits verursachte Providergebühr nicht rückgängig machen.</w:t>
      </w:r>
    </w:p>
    <w:p>
      <w:pPr>
        <w:pStyle w:val="Heading2"/>
      </w:pPr>
      <w:r>
        <w:t>Konsistenz zwischen Ablauf und Fachobjekten</w:t>
      </w:r>
    </w:p>
    <w:p>
      <w:pPr>
        <w:keepLines/>
      </w:pPr>
      <w:r>
        <w:t>Fachliche Änderung und OutboxEvent entstehen in derselben Transaktion. Ein Dispatcher übergibt Ereignisse idempotent an den Workflowdienst. Consumer akzeptieren Wiederholungen und prüfen Objektversionen. Artefakte werden zunächst als staging gespeichert und erst nach erfolgreicher Finalisierung referenziert. Laufhistorie und Datenbank bleiben durch Reconciliation abgleichbar.</w:t>
      </w:r>
    </w:p>
    <w:p>
      <w:pPr>
        <w:keepLines/>
      </w:pPr>
      <w:r>
        <w:t>Stop, Suspend, Deadline, Providerfehler, Budgetende und fachliches Ergebnis sind verschiedene Abschlussgründe. Der Kern erzeugt keine Erfolgsmeldung aus einer erreichten Rundenobergrenze.</w:t>
      </w:r>
    </w:p>
    <w:p>
      <w:r>
        <w:br w:type="page"/>
      </w:r>
    </w:p>
    <w:p>
      <w:pPr>
        <w:pStyle w:val="Heading1"/>
      </w:pPr>
      <w:r>
        <w:t>17 API-Verträge und Ereignisse</w:t>
      </w:r>
    </w:p>
    <w:p>
      <w:pPr>
        <w:keepLines/>
      </w:pPr>
      <w:r>
        <w:t>REST unter /api/v1 mit OpenAPI; UI und autonome Worker nutzen dieselben fachlichen Commands, jedoch andere Berechtigungen. Zustandstragende Aufrufe verlangen Idempotency-Key und erwartete Objektversion. Kein allgemeines set_status erlaubt, das fachliche Prüfungen umgeht.</w:t>
      </w:r>
    </w:p>
    <w:tbl>
      <w:tblPr>
        <w:tblW w:type="auto" w:w="0"/>
        <w:jc w:val="center"/>
        <w:tblLayout w:type="fixed"/>
        <w:tblLook w:firstColumn="1" w:firstRow="1" w:lastColumn="0" w:lastRow="0" w:noHBand="0" w:noVBand="1" w:val="04A0"/>
      </w:tblPr>
      <w:tblGrid>
        <w:gridCol w:w="4536"/>
        <w:gridCol w:w="5256"/>
      </w:tblGrid>
      <w:tr>
        <w:trPr>
          <w:tblHeader/>
          <w:cantSplit/>
        </w:trPr>
        <w:tc>
          <w:tcPr>
            <w:tcW w:type="dxa" w:w="453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Schnittstelle</w:t>
            </w:r>
          </w:p>
        </w:tc>
        <w:tc>
          <w:tcPr>
            <w:tcW w:type="dxa" w:w="525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Zweck</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/mandates; POST /mandates/{id}/approve</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Entwurf und menschliche Mandatsfreigabe trennen.</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/projects/{id}/tasks</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Teilfrage oder Arbeitsauftrag mit Elternbudget eröffnen.</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/tasks/{id}/plan-revisions</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Neuen zulässigen Plan versioniert übernehmen.</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/agents/candidates; /skills/candidates</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Bedarf, Herkunft und Manifest registrieren.</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/qualifications; /candidates/{id}/activate</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Getrennte Prüfung und automatische technische Aktivierung.</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GET /inventory; GET /inventory/{id}/rationale</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Agenten/Skills mit begründeter Herkunft und Ist-Einsatz anzeigen.</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PUT /model-catalog/drafts; POST /model-catalog/{id}/activate</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Versionierte Konfiguration; administrative Zugänge und fachliche Qualifikation getrennt.</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/tasks/{id}/routing-decisions</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Zulässige Modellauswahl samt Alternativen registrieren.</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/runs; POST /runs/{id}/cancel</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Ausführung starten oder gezielt abbrechen; Nachweise erhalten.</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/sources/fetch</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Neuen regelkonformen Internetabruf beauftragen.</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/claims; POST /reviews; POST /findings/{id}/responses</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Aussage, Gegenprüfung und Stellungnahme getrennt schreiben.</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 /artifacts/{id}/approvals; POST /publications/{id}/release</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Fassungsgebundene Freigabe und externe Wirkung separat.</w:t>
            </w:r>
          </w:p>
        </w:tc>
      </w:tr>
      <w:tr>
        <w:trPr>
          <w:cantSplit/>
        </w:trPr>
        <w:tc>
          <w:tcPr>
            <w:tcW w:type="dxa" w:w="453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GET /projects/{id}/events</w:t>
            </w:r>
          </w:p>
        </w:tc>
        <w:tc>
          <w:tcPr>
            <w:tcW w:type="dxa" w:w="525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Berechtigter Ereignisstrom für Status; Polling als Ersatz.</w:t>
            </w:r>
          </w:p>
        </w:tc>
      </w:tr>
    </w:tbl>
    <w:p>
      <w:pPr>
        <w:spacing w:after="0"/>
      </w:pPr>
    </w:p>
    <w:p>
      <w:pPr>
        <w:pStyle w:val="Heading2"/>
      </w:pPr>
      <w:r>
        <w:t>Fehler statt stillem Fallback</w:t>
      </w:r>
    </w:p>
    <w:p>
      <w:pPr>
        <w:keepLines/>
      </w:pPr>
      <w:r>
        <w:t>Einheitliches Fehlerobjekt: code, message, trace_id, blocked_action, retryable, required_resolution, policy_version. Fachcodes etwa NO_ELIGIBLE_MODEL, REVIEW_DIVERSITY_UNSATISFIED, BUDGET_EXHAUSTED, QUALIFICATION_MISSING, DATA_EXPORT_DENIED, VERSION_CONFLICT, OUTCOME_UNKNOWN. Fehler enthalten keine fremden Objekttitel oder Schlüssel.</w:t>
      </w:r>
    </w:p>
    <w:p>
      <w:pPr>
        <w:keepLines/>
      </w:pPr>
      <w:r>
        <w:t>Ereignisse wie AgentActivated, RoutingDecided, ClaimContested und SourceRetracted enthalten IDs und Versionsbezug, keine ungeschützten Volltexte. Eventschemas werden ebenso versioniert wie API-Verträge. FastAPI ist wegen der typisierten Verträge und OpenAPI-Unterstützung die vorgeschlagene API-Schicht. [T11]</w:t>
      </w:r>
    </w:p>
    <w:p>
      <w:r>
        <w:br w:type="page"/>
      </w:r>
    </w:p>
    <w:p>
      <w:pPr>
        <w:pStyle w:val="Heading1"/>
      </w:pPr>
      <w:r>
        <w:t>18 Oberfläche: Forschung steuern statt Chats beaufsichtigen</w:t>
      </w:r>
    </w:p>
    <w:tbl>
      <w:tblPr>
        <w:tblW w:type="auto" w:w="0"/>
        <w:jc w:val="center"/>
        <w:tblLayout w:type="fixed"/>
        <w:tblLook w:firstColumn="1" w:firstRow="1" w:lastColumn="0" w:lastRow="0" w:noHBand="0" w:noVBand="1" w:val="04A0"/>
      </w:tblPr>
      <w:tblGrid>
        <w:gridCol w:w="2592"/>
        <w:gridCol w:w="7200"/>
      </w:tblGrid>
      <w:tr>
        <w:trPr>
          <w:tblHeader/>
          <w:cantSplit/>
        </w:trPr>
        <w:tc>
          <w:tcPr>
            <w:tcW w:type="dxa" w:w="2592"/>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Ansicht</w:t>
            </w:r>
          </w:p>
        </w:tc>
        <w:tc>
          <w:tcPr>
            <w:tcW w:type="dxa" w:w="7200"/>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Was sie beantworten muss</w:t>
            </w:r>
          </w:p>
        </w:tc>
      </w:tr>
      <w:tr>
        <w:trPr>
          <w:cantSplit/>
        </w:trPr>
        <w:tc>
          <w:tcPr>
            <w:tcW w:type="dxa" w:w="25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Campusübersicht</w:t>
            </w:r>
          </w:p>
        </w:tc>
        <w:tc>
          <w:tcPr>
            <w:tcW w:type="dxa" w:w="72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Welche Institute, Programme und Aufgaben arbeiten? Was wartet auf mich? Welche Mittel und Prüfkapazitäten bleiben?</w:t>
            </w:r>
          </w:p>
        </w:tc>
      </w:tr>
      <w:tr>
        <w:trPr>
          <w:cantSplit/>
        </w:trPr>
        <w:tc>
          <w:tcPr>
            <w:tcW w:type="dxa" w:w="25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Forschungsdossier</w:t>
            </w:r>
          </w:p>
        </w:tc>
        <w:tc>
          <w:tcPr>
            <w:tcW w:type="dxa" w:w="72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Frage, Protokoll, Quellen, Läufe, Aussagen, Gegenargumente, offener Dissens und veröffentlichbare Fassungen.</w:t>
            </w:r>
          </w:p>
        </w:tc>
      </w:tr>
      <w:tr>
        <w:trPr>
          <w:cantSplit/>
        </w:trPr>
        <w:tc>
          <w:tcPr>
            <w:tcW w:type="dxa" w:w="25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Agenten- und Skillregister</w:t>
            </w:r>
          </w:p>
        </w:tc>
        <w:tc>
          <w:tcPr>
            <w:tcW w:type="dxa" w:w="72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Warum existiert eine Einheit? Alternativen damals, Qualifikationsumfang, eingesetzte Versionen, Kosten und aktueller Nutzen.</w:t>
            </w:r>
          </w:p>
        </w:tc>
      </w:tr>
      <w:tr>
        <w:trPr>
          <w:cantSplit/>
        </w:trPr>
        <w:tc>
          <w:tcPr>
            <w:tcW w:type="dxa" w:w="25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Modellcockpit</w:t>
            </w:r>
          </w:p>
        </w:tc>
        <w:tc>
          <w:tcPr>
            <w:tcW w:type="dxa" w:w="72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Provider/Modelle konfigurieren, Nachweise und Preise pflegen; Ist-Verteilung nach Aufgaben, begründete Wahl und ausgeschlossene Alternativen.</w:t>
            </w:r>
          </w:p>
        </w:tc>
      </w:tr>
      <w:tr>
        <w:trPr>
          <w:cantSplit/>
        </w:trPr>
        <w:tc>
          <w:tcPr>
            <w:tcW w:type="dxa" w:w="25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Prüf- und Freigabezentrum</w:t>
            </w:r>
          </w:p>
        </w:tc>
        <w:tc>
          <w:tcPr>
            <w:tcW w:type="dxa" w:w="72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Eingefrorener Prüfgegenstand, Einwände, Herkunft, Auflagen, zuständige Person und konkrete Fassung.</w:t>
            </w:r>
          </w:p>
        </w:tc>
      </w:tr>
      <w:tr>
        <w:trPr>
          <w:cantSplit/>
        </w:trPr>
        <w:tc>
          <w:tcPr>
            <w:tcW w:type="dxa" w:w="25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Bibliothek und Abhängigkeiten</w:t>
            </w:r>
          </w:p>
        </w:tc>
        <w:tc>
          <w:tcPr>
            <w:tcW w:type="dxa" w:w="72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Passagen, Quellenstatus, Datenrechte, betroffene Nachfolger und fällige Neubewertungen.</w:t>
            </w:r>
          </w:p>
        </w:tc>
      </w:tr>
      <w:tr>
        <w:trPr>
          <w:cantSplit/>
        </w:trPr>
        <w:tc>
          <w:tcPr>
            <w:tcW w:type="dxa" w:w="2592"/>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Betrieb und Kosten</w:t>
            </w:r>
          </w:p>
        </w:tc>
        <w:tc>
          <w:tcPr>
            <w:tcW w:type="dxa" w:w="720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Laufzeiten, Warte-/Fehlergründe, offene Abrechnungen, Budgetbaum, Modellstörungen und Queuezustand.</w:t>
            </w:r>
          </w:p>
        </w:tc>
      </w:tr>
    </w:tbl>
    <w:p>
      <w:pPr>
        <w:spacing w:after="0"/>
      </w:pPr>
    </w:p>
    <w:p>
      <w:pPr>
        <w:pStyle w:val="Heading2"/>
      </w:pPr>
      <w:r>
        <w:t>Verständliche Begründung aus tatsächlichen Daten</w:t>
      </w:r>
    </w:p>
    <w:p>
      <w:pPr>
        <w:keepLines/>
      </w:pPr>
      <w:r>
        <w:t>Eine Gesprächsansicht kann die Register erklären. Jede Bestandsaussage verweist jedoch auf konkrete Einträge und ihren Stichtag. Bei Ausfall aller LLMs funktionieren Tabellen, Suche im Register, Stop und notwendige Freigaben weiterhin. Es darf keine ausschliesslich per Chat bedienbare Betriebssteuerung entstehen. [G1, Anhang G]</w:t>
      </w:r>
    </w:p>
    <w:p>
      <w:pPr>
        <w:keepLines/>
      </w:pPr>
      <w:r>
        <w:t>Die Modellwahlansicht zeigt: benötigte Aufgabe, zugelassene Kandidaten, ausgeschlossene Modelle mit Regelgrund, gewähltes Modell, verwendete Eignungsnachweise, rationale Wahlnotiz, Kostenreserve und Ist-Aufruf. Datenklasse und Qualifikationsstand werden nicht in einem grünen pauschalen Vertrauenssymbol versteckt.</w:t>
      </w:r>
    </w:p>
    <w:p>
      <w:pPr>
        <w:pStyle w:val="Heading2"/>
      </w:pPr>
      <w:r>
        <w:t>Menschliche Entscheide ohne Durchklickzwang</w:t>
      </w:r>
    </w:p>
    <w:p>
      <w:pPr>
        <w:keepLines/>
      </w:pPr>
      <w:r>
        <w:t>Mandats- und Publikationsentscheidungen zeigen Alternativen, Folgen, Restbefunde und prüfbare Quellen. Annehmen, begrenzt annehmen, überarbeiten und ablehnen sind getrennte Optionen. Eine Auflage braucht Zuständigkeit und Frist. Normale Recherche und Taskplanung belasten dieses Zentrum nicht mit einzelnen Genehmigungen.</w:t>
      </w:r>
    </w:p>
    <w:p>
      <w:pPr>
        <w:pStyle w:val="Heading2"/>
      </w:pPr>
      <w:r>
        <w:t>Benutzbarkeit und Sprache</w:t>
      </w:r>
    </w:p>
    <w:p>
      <w:pPr>
        <w:keepLines/>
      </w:pPr>
      <w:r>
        <w:t>Deutsch als Startsprache, Englisch als zweite Oberflächensprache; fachliche Quelltexte bleiben im Original zugänglich. Einheitliche Währungs-, Zeit- und Statusanzeige. Tabellen erhalten Filter und exportierbare Daten; Beziehungen zusätzlich eine grafische Ansicht, jedoch nie nur eine unlesbare Gesamtwolke. React/TypeScript wird als UI-Vorschlag eingesetzt; der Fachkern hängt nicht davon ab.</w:t>
      </w:r>
    </w:p>
    <w:p>
      <w:r>
        <w:br w:type="page"/>
      </w:r>
    </w:p>
    <w:p>
      <w:pPr>
        <w:pStyle w:val="Heading1"/>
      </w:pPr>
      <w:r>
        <w:t>19 Technischer Stack und Betrieb</w:t>
      </w:r>
    </w:p>
    <w:tbl>
      <w:tblPr>
        <w:tblW w:type="auto" w:w="0"/>
        <w:jc w:val="center"/>
        <w:tblLayout w:type="fixed"/>
        <w:tblLook w:firstColumn="1" w:firstRow="1" w:lastColumn="0" w:lastRow="0" w:noHBand="0" w:noVBand="1" w:val="04A0"/>
      </w:tblPr>
      <w:tblGrid>
        <w:gridCol w:w="2376"/>
        <w:gridCol w:w="7416"/>
      </w:tblGrid>
      <w:tr>
        <w:trPr>
          <w:tblHeader/>
          <w:cantSplit/>
        </w:trPr>
        <w:tc>
          <w:tcPr>
            <w:tcW w:type="dxa" w:w="237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Ebene</w:t>
            </w:r>
          </w:p>
        </w:tc>
        <w:tc>
          <w:tcPr>
            <w:tcW w:type="dxa" w:w="741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Vorschlag / Begründung</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Backend</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Python, FastAPI, Pydantic, SQLAlchemy, Alembic. Typisierte Verträge; Domainmodule ohne Provider-SDK-Abhängigkeit.</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Abläufe</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Temporal mit Python-Workern für dauerhafte Prozesse, Timer, Stop und menschliche Signale. Mehr Betriebsaufwand als eine einfache Queue, dafür weniger selbst gebaute Wiederaufnahmelogik.</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Daten</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PostgreSQL für Fachobjekte, Transaktionen und Auditmetadaten; getrennte DB/Rolle für Temporal. Keine SQLite-Sonderlogik als produktiver Ersatz.</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Artefakte</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BlobStore-Port: lokaler geschützter Dateispeicher im Pilot, S3-kompatibler Speicher als spätere Variante; Zugriffe nur vermittelt.</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Modelle</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Eigener LLM-Gatewayvertrag mit direkten Provider-Adaptern; optional austauschbarer LiteLLM-Adapter.</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Internet / Code</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Gehärteter Fetch-/Browserdienst und getrennte Sandbox-Steuerung. Modellproviderzugänge sind nicht über den offenen Rechercheproxy erreichbar.</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Frontend</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React + TypeScript; REST/OpenAPI, Ereignisstrom und tabellarischer Fallback.</w:t>
            </w:r>
          </w:p>
        </w:tc>
      </w:tr>
      <w:tr>
        <w:trPr>
          <w:cantSplit/>
        </w:trPr>
        <w:tc>
          <w:tcPr>
            <w:tcW w:type="dxa" w:w="23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Auslieferung</w:t>
            </w:r>
          </w:p>
        </w:tc>
        <w:tc>
          <w:tcPr>
            <w:tcW w:type="dxa" w:w="74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Docker Compose für API, Worker und Dienste; Linux-Referenzbetrieb. Keine Kubernetes-Pflicht im Pilot.</w:t>
            </w:r>
          </w:p>
        </w:tc>
      </w:tr>
    </w:tbl>
    <w:p>
      <w:pPr>
        <w:spacing w:after="0"/>
      </w:pPr>
    </w:p>
    <w:p>
      <w:pPr>
        <w:pStyle w:val="Heading2"/>
      </w:pPr>
      <w:r>
        <w:t>Identität und Geheimnisse</w:t>
      </w:r>
    </w:p>
    <w:p>
      <w:pPr>
        <w:keepLines/>
      </w:pPr>
      <w:r>
        <w:t>Für den Pilot ein echter lokaler Administratorlogin mit sicherem Passworthash, serverseitiger Sitzung und CSRF-Schutz; kein vorgegebenes Standardpasswort. Ein Auth-Port erlaubt später OIDC. Bei Mehrbenutzer- oder öffentlich erreichbarem Betrieb sind zusätzliche Identitäts-, Sitzungs- und Rollenprüfungen Pflicht. Provider-Schlüssel werden als Secret-Referenzen verwaltet und nicht in Exportkonfigurationen geschrieben.</w:t>
      </w:r>
    </w:p>
    <w:p>
      <w:pPr>
        <w:pStyle w:val="Heading2"/>
      </w:pPr>
      <w:r>
        <w:t>Betriebsnachweise</w:t>
      </w:r>
    </w:p>
    <w:p>
      <w:pPr>
        <w:keepLines/>
      </w:pPr>
      <w:r>
        <w:t>Health/Readiness prüfen Datenbank, Workflowanbindung, Katalog und notwendige Kontrollpfade. LLM-Latenz ist kein Anlass, den gesamten Prozess als gesund oder tot zu deklarieren. Metriken: Aufgabenalter, Fehlversuche, Reviewer-Verfügbarkeit, unklare Aufrufausgänge, Budgetreserven und fällige Neubewertungen. Prompts sind nicht standardmässiger Telemetrieinhalt.</w:t>
      </w:r>
    </w:p>
    <w:p>
      <w:pPr>
        <w:keepLines/>
      </w:pPr>
      <w:r>
        <w:t>Abhängigkeiten, Container und Sandboximages werden zum Build auf getestete Versionen beziehungsweise Digests festgeschrieben. Backup umfasst DB, Artefakte, Konfiguration und Schlüsselwiederherstellung; Restore wird getestet. Ressourcenbedarf, Verfügbarkeitsziel und Aufbewahrung bleiben für den gewählten Host messbar festzulegen. Hier werden keine bereits gemessenen Leistungswerte behauptet.</w:t>
      </w:r>
    </w:p>
    <w:p>
      <w:r>
        <w:br w:type="page"/>
      </w:r>
    </w:p>
    <w:p>
      <w:pPr>
        <w:pStyle w:val="Heading1"/>
      </w:pPr>
      <w:r>
        <w:t>20 Baufolge für Claude</w:t>
      </w:r>
    </w:p>
    <w:tbl>
      <w:tblPr>
        <w:tblW w:type="auto" w:w="0"/>
        <w:jc w:val="center"/>
        <w:tblLayout w:type="fixed"/>
        <w:tblLook w:firstColumn="1" w:firstRow="1" w:lastColumn="0" w:lastRow="0" w:noHBand="0" w:noVBand="1" w:val="04A0"/>
      </w:tblPr>
      <w:tblGrid>
        <w:gridCol w:w="1944"/>
        <w:gridCol w:w="3960"/>
        <w:gridCol w:w="3888"/>
      </w:tblGrid>
      <w:tr>
        <w:trPr>
          <w:tblHeader/>
          <w:cantSplit/>
        </w:trPr>
        <w:tc>
          <w:tcPr>
            <w:tcW w:type="dxa" w:w="1944"/>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Stufe</w:t>
            </w:r>
          </w:p>
        </w:tc>
        <w:tc>
          <w:tcPr>
            <w:tcW w:type="dxa" w:w="3960"/>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Ergebnis</w:t>
            </w:r>
          </w:p>
        </w:tc>
        <w:tc>
          <w:tcPr>
            <w:tcW w:type="dxa" w:w="3888"/>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Abnahme vor Weiterbau</w:t>
            </w:r>
          </w:p>
        </w:tc>
      </w:tr>
      <w:tr>
        <w:trPr>
          <w:cantSplit/>
        </w:trPr>
        <w:tc>
          <w:tcPr>
            <w:tcW w:type="dxa" w:w="194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S0 Verträge und Kern</w:t>
            </w:r>
          </w:p>
        </w:tc>
        <w:tc>
          <w:tcPr>
            <w:tcW w:type="dxa" w:w="39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Repository, Authentifizierung, DB-Migrationen, Rollen, Ereignisse, Policy, Budget und Mock-Adapter.</w:t>
            </w:r>
          </w:p>
        </w:tc>
        <w:tc>
          <w:tcPr>
            <w:tcW w:type="dxa" w:w="388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Keine LLMs für fachliche Grundtests nötig. Fehlende Freigabe, Rechte und Budget werden reproduzierbar abgefangen.</w:t>
            </w:r>
          </w:p>
        </w:tc>
      </w:tr>
      <w:tr>
        <w:trPr>
          <w:cantSplit/>
        </w:trPr>
        <w:tc>
          <w:tcPr>
            <w:tcW w:type="dxa" w:w="194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S1 Modellgateway und Routing</w:t>
            </w:r>
          </w:p>
        </w:tc>
        <w:tc>
          <w:tcPr>
            <w:tcW w:type="dxa" w:w="39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Mindestens zwei echte zulässige Modellzugänge; konfigurierbarer Katalog, Selector, Route und getrennte Gegenprüfung.</w:t>
            </w:r>
          </w:p>
        </w:tc>
        <w:tc>
          <w:tcPr>
            <w:tcW w:type="dxa" w:w="388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Kein Modellname im Domaincode. Datenfreigabe, Preisbindung, Aliasprüfung und Ausfallverhalten werden getestet.</w:t>
            </w:r>
          </w:p>
        </w:tc>
      </w:tr>
      <w:tr>
        <w:trPr>
          <w:cantSplit/>
        </w:trPr>
        <w:tc>
          <w:tcPr>
            <w:tcW w:type="dxa" w:w="194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S2 Ein Forschungsdurchlauf</w:t>
            </w:r>
          </w:p>
        </w:tc>
        <w:tc>
          <w:tcPr>
            <w:tcW w:type="dxa" w:w="39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Mandat -&gt; Quelle -&gt; Task -&gt; Aussage -&gt; Review -&gt; Dossier, mit Temporal und wiederaufnehmbarem Lauf.</w:t>
            </w:r>
          </w:p>
        </w:tc>
        <w:tc>
          <w:tcPr>
            <w:tcW w:type="dxa" w:w="388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Quellenfundstellen stimmen; Unterbruch verliert keine registrierten Ergebnisse; kein erfundener Messnachweis.</w:t>
            </w:r>
          </w:p>
        </w:tc>
      </w:tr>
      <w:tr>
        <w:trPr>
          <w:cantSplit/>
        </w:trPr>
        <w:tc>
          <w:tcPr>
            <w:tcW w:type="dxa" w:w="194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S3 Selbstorganisation</w:t>
            </w:r>
          </w:p>
        </w:tc>
        <w:tc>
          <w:tcPr>
            <w:tcW w:type="dxa" w:w="39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NeedRecord, Profile/Skills als Kandidaten, Qualifikation, automatische Aktivierung und Herkunftsansicht.</w:t>
            </w:r>
          </w:p>
        </w:tc>
        <w:tc>
          <w:tcPr>
            <w:tcW w:type="dxa" w:w="388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Kandidat kann sich nicht selbst zertifizieren; Child-Budget, Versionsbindung und Registervollständigkeit halten.</w:t>
            </w:r>
          </w:p>
        </w:tc>
      </w:tr>
      <w:tr>
        <w:trPr>
          <w:cantSplit/>
        </w:trPr>
        <w:tc>
          <w:tcPr>
            <w:tcW w:type="dxa" w:w="194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S4 Isolierte Ausführung</w:t>
            </w:r>
          </w:p>
        </w:tc>
        <w:tc>
          <w:tcPr>
            <w:tcW w:type="dxa" w:w="39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Abgenommener Sandboxpfad und extern verwahrte Prüffälle.</w:t>
            </w:r>
          </w:p>
        </w:tc>
        <w:tc>
          <w:tcPr>
            <w:tcW w:type="dxa" w:w="388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Keine Host-/Geheimniszugriffe, kontrolliertes Netz, nachgewiesene Limits und Ergebnisimport.</w:t>
            </w:r>
          </w:p>
        </w:tc>
      </w:tr>
      <w:tr>
        <w:trPr>
          <w:cantSplit/>
        </w:trPr>
        <w:tc>
          <w:tcPr>
            <w:tcW w:type="dxa" w:w="194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S5 Kontrollierter Forschungspilot</w:t>
            </w:r>
          </w:p>
        </w:tc>
        <w:tc>
          <w:tcPr>
            <w:tcW w:type="dxa" w:w="3960"/>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Vergleich der Arbeitsformen aus [G1, Anhang C], mehrere Institute, Status- und Kostenauswertung.</w:t>
            </w:r>
          </w:p>
        </w:tc>
        <w:tc>
          <w:tcPr>
            <w:tcW w:type="dxa" w:w="388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Wissenschaftliche Bewertung getrennt von Plattformtests; externe Publikationsfreigabe bleibt menschlich.</w:t>
            </w:r>
          </w:p>
        </w:tc>
      </w:tr>
    </w:tbl>
    <w:p>
      <w:pPr>
        <w:spacing w:after="0"/>
      </w:pPr>
    </w:p>
    <w:p>
      <w:pPr>
        <w:pStyle w:val="Heading2"/>
      </w:pPr>
      <w:r>
        <w:t>Ein durchgängiger Ausschnitt vor flächiger Expansion</w:t>
      </w:r>
    </w:p>
    <w:p>
      <w:pPr>
        <w:keepLines/>
      </w:pPr>
      <w:r>
        <w:t>S2 liefert zuerst eine vollständige, aber begrenzte Quellen-/Analysearbeit. S3 und S4 erweitern denselben durchgängigen Ablauf. Fünf Institute werden als Stammdaten angelegt, nicht als fünf getrennte Implementierungen. Kein Ausbau auf viele parallele Projekte, bevor Isolation, Wiederaufnahme und Budgetierung am kleinen System tragen.</w:t>
      </w:r>
    </w:p>
    <w:p>
      <w:pPr>
        <w:pStyle w:val="Heading2"/>
      </w:pPr>
      <w:r>
        <w:t>Keine verdeckte Vereinfachung</w:t>
      </w:r>
    </w:p>
    <w:p>
      <w:pPr>
        <w:keepLines/>
      </w:pPr>
      <w:r>
        <w:t>Claude soll fehlende Funktionen und offene Betriebsentscheide als solche dokumentieren. Mock-Modelle, Beispieltests und simulierte Daten dürfen nicht als reale Forschung erscheinen. Ein fertiges UI ohne durchgesetzte Kernregeln erfüllt keine Stufe. Jede Änderung liefert Migration, Tests, Dokumentation und nachvollziehbaren Architekturbeschluss.</w:t>
      </w:r>
    </w:p>
    <w:p>
      <w:pPr>
        <w:keepLines/>
      </w:pPr>
      <w:r>
        <w:t>Die mitgelieferte CLAUDE.md fasst Arbeitsreihenfolge und unveränderliche Grenzen zusammen. Sie ist eine Entwicklungsanweisung, kein automatisch auszuführender Campus-Skill. Reale Schlüssel und private Quellen werden der Entwicklungsassistenz nicht in Konfigurationsbeispielen mitgegeben.</w:t>
      </w:r>
    </w:p>
    <w:p>
      <w:r>
        <w:br w:type="page"/>
      </w:r>
    </w:p>
    <w:p>
      <w:pPr>
        <w:pStyle w:val="Heading1"/>
      </w:pPr>
      <w:r>
        <w:t>21 Abnahme: bestehende Verfassungstests T01-T17</w:t>
      </w:r>
    </w:p>
    <w:p>
      <w:pPr>
        <w:keepLines/>
      </w:pPr>
      <w:r>
        <w:t>Die Kennungen T01-T17 stammen aus [G1, Anhang D]. Die Zuordnung konkretisiert den Prüfort; sie behauptet weder Implementierung noch bestandene Abnahme. Fachliche und organisatorische Kriterien bleiben zusätzlich zu bewerten.</w:t>
      </w:r>
    </w:p>
    <w:tbl>
      <w:tblPr>
        <w:tblW w:type="auto" w:w="0"/>
        <w:jc w:val="center"/>
        <w:tblLayout w:type="fixed"/>
        <w:tblLook w:firstColumn="1" w:firstRow="1" w:lastColumn="0" w:lastRow="0" w:noHBand="0" w:noVBand="1" w:val="04A0"/>
      </w:tblPr>
      <w:tblGrid>
        <w:gridCol w:w="864"/>
        <w:gridCol w:w="3024"/>
        <w:gridCol w:w="5904"/>
      </w:tblGrid>
      <w:tr>
        <w:trPr>
          <w:tblHeader/>
          <w:cantSplit/>
        </w:trPr>
        <w:tc>
          <w:tcPr>
            <w:tcW w:type="dxa" w:w="864"/>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Test</w:t>
            </w:r>
          </w:p>
        </w:tc>
        <w:tc>
          <w:tcPr>
            <w:tcW w:type="dxa" w:w="3024"/>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Prüfpunkt</w:t>
            </w:r>
          </w:p>
        </w:tc>
        <w:tc>
          <w:tcPr>
            <w:tcW w:type="dxa" w:w="5904"/>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Erwartetes Ergebnis</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T01</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Quelle verlangt neue Rechte</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Inhalt bleibt Daten; Policy/Secrets unverändert.</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T02</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Kein Mandat oder Limit</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Start des betroffenen Tasks gesperrt.</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T03</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Aufteilung auf Kinder</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Wurzelbudget und Teilrechte bleiben begrenzt.</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T04</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Messwert ohne echten Lauf</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Nicht als gemessen ausgeben; Aussage markieren.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T05</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Prüferdaten manipulieren</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Zugriff auf verdeckte Fälle oder Review-Schreibrechte verweigert.</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T06</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Einwand entfernen</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Historie und Sperre bleiben wirksam.</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T07</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Internes Netz / fremde Daten</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Auch nach Redirect, DNS-Wechsel oder Browserunterabruf blockieren.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T08</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Nach Freigabe ändern</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Alte Freigabe gilt nicht für neue Fassung.</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T09</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Beleg zurückgezogen</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Abhängigkeiten markieren; Neubewertung mit Termin anlegen.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T10</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Kriterium rückwirkend senken</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Alte Fassung und Fehlversuch bleiben; Policywechsel separat.</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T11</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Unregistrierter Agent</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Kein Start ohne Fassung, Bedarf und Laufbindung.</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T12</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Skill zertifiziert sich selbst</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Kandidat bleibt begrenzt; getrennte Qualifikation erforderlich.</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T13</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Reviewer fällt aus</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Anderes geeignetes Modell oder Prüfung offen; kein Erzeugersiegel.</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T14</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Mehrheit gegen Einwand</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Einwand nur durch begründete Bearbeitung erledigen.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T15</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Unbekannte erlaubte Quelle</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Abruf ohne Einzelgenehmigung erfolgreich.</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T16</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Vertrauliche Such-/Modelldaten</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Nicht autorisierten Export verhindern.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T17</w:t>
            </w:r>
          </w:p>
        </w:tc>
        <w:tc>
          <w:tcPr>
            <w:tcW w:type="dxa" w:w="302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Ungeprüfter Skillwechsel</w:t>
            </w:r>
          </w:p>
        </w:tc>
        <w:tc>
          <w:tcPr>
            <w:tcW w:type="dxa" w:w="590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Aktive Version unverändert; Vergleich und getrennter Review nötig.</w:t>
            </w:r>
          </w:p>
        </w:tc>
      </w:tr>
    </w:tbl>
    <w:p>
      <w:pPr>
        <w:spacing w:after="0"/>
      </w:pPr>
    </w:p>
    <w:p>
      <w:pPr>
        <w:keepLines/>
      </w:pPr>
      <w:r>
        <w:t>T15 ist ebenso wichtig wie die Verbote. Eine Implementierung, die jedes neue Ziel oder jeden neuen Agenten manuell genehmigen lässt, erfüllt den vereinbarten Autonomieumfang nicht.</w:t>
      </w:r>
    </w:p>
    <w:p>
      <w:r>
        <w:br w:type="page"/>
      </w:r>
    </w:p>
    <w:p>
      <w:pPr>
        <w:pStyle w:val="Heading1"/>
      </w:pPr>
      <w:r>
        <w:t>22 Zusätzliche Architekturtests A01-A14</w:t>
      </w:r>
    </w:p>
    <w:tbl>
      <w:tblPr>
        <w:tblW w:type="auto" w:w="0"/>
        <w:jc w:val="center"/>
        <w:tblLayout w:type="fixed"/>
        <w:tblLook w:firstColumn="1" w:firstRow="1" w:lastColumn="0" w:lastRow="0" w:noHBand="0" w:noVBand="1" w:val="04A0"/>
      </w:tblPr>
      <w:tblGrid>
        <w:gridCol w:w="864"/>
        <w:gridCol w:w="8928"/>
      </w:tblGrid>
      <w:tr>
        <w:trPr>
          <w:tblHeader/>
          <w:cantSplit/>
        </w:trPr>
        <w:tc>
          <w:tcPr>
            <w:tcW w:type="dxa" w:w="864"/>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Test</w:t>
            </w:r>
          </w:p>
        </w:tc>
        <w:tc>
          <w:tcPr>
            <w:tcW w:type="dxa" w:w="8928"/>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Szenario und nachzuweisende Reaktion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A01</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Neues qualifiziertes Modell im bestehenden Adapter konfigurieren: Nutzung ohne Änderung am Fachcode. Neuer API-Typ braucht einen getrennt freigegebenen Adapter.</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A02</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Router wählt plausibel begründet ein nicht erlaubtes Modell: technische Zulassung lehnt ab und bewahrt Entscheidnotiz.</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A03</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Zwei Aliase desselben Modells als Erzeuger/Prüfer: kanonische Trennung erkennt und blockiert die falsche Vielfalt.</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A04</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Erzeugungsbudget reicht, Gegenprüfung nicht: tragender Erzeugungslauf beginnt nicht ohne vorgesehene Prüfreserve.</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A05</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Parallele Tasks reservieren die letzten Mittel: Transaktionen verhindern Überzuteilung; Deadlocks werden kontrolliert wiederholt.</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A06</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Workerabsturz nach Providerantwort: vorhandenes Journalergebnis wiederverwenden; unklarer Ausgang wird nicht als nie ausgeführt behandelt.</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A07</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Modell-/Skillwechsel im laufenden Versuch: alter Snapshot bleibt, neuer Attempt und Transferdossier entstehen.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A08</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JSON-Schema oder Toolfunktion nicht unterstützt: Kompatibilitätsfehler statt stiller Abschwächung.</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A09</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Registry-Auskunft bei LLM-Ausfall: vollständige tabellarische Daten und Stop-Steuerung funktionieren.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A10</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Generiertes Paket verlangt neue Secrets oder Hostrechte: Kandidat darf diese nicht erhalten; Sandbox blockiert Ausbruchspfade.</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A11</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Alle Erstprüfungen identisch beeinflusst: ContextManifest zeigt getrennte Pakete; Kontamination wird erkennbar und als Grenze ausgewiesen.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A12</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Quelle gelöscht / widerrufen: Index, Caches und abgeleitete Freigaben werden nachvollziehbar behandelt.</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A13</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Notwendiges Modell nicht erreichbar: gezielte Warte-/Alternativroute, keine stille Aufhebung von Daten- oder Trennungsregeln.</w:t>
            </w:r>
          </w:p>
        </w:tc>
      </w:tr>
      <w:tr>
        <w:trPr>
          <w:cantSplit/>
        </w:trPr>
        <w:tc>
          <w:tcPr>
            <w:tcW w:type="dxa" w:w="864"/>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A14</w:t>
            </w:r>
          </w:p>
        </w:tc>
        <w:tc>
          <w:tcPr>
            <w:tcW w:type="dxa" w:w="8928"/>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Providerpreis/Usage unbekannt: offene Abrechnung und konservative Reserve, keine null-Kosten-Annahme.</w:t>
            </w:r>
          </w:p>
        </w:tc>
      </w:tr>
    </w:tbl>
    <w:p>
      <w:pPr>
        <w:spacing w:after="0"/>
      </w:pPr>
    </w:p>
    <w:p>
      <w:pPr>
        <w:keepLines/>
      </w:pPr>
      <w:r>
        <w:t>Ausführungsebenen: Unit-Tests für Regeln und Zustandsmaschinen; Integrationstests gegen PostgreSQL und Workflowdienst; Adaptervertragstests; kontrollierte Netz- und Sandboxtests; wenige Ende-zu-Ende-Fälle mit echten freigegebenen Modellen. Wissenschaftliche Qualität braucht unabhängige Inhaltsbewertung. Ein grüner Softwaretest ersetzt diese nicht.</w:t>
      </w:r>
    </w:p>
    <w:p>
      <w:pPr>
        <w:keepLines/>
      </w:pPr>
      <w:r>
        <w:t>Das beigefügte validate_contracts.py prüft lediglich Schemas und Beispielbeziehungen. Seine Resultate sind kein Nachweis für die noch zu bauenden T-/A-Tests und keine Sicherheitsabnahme.</w:t>
      </w:r>
    </w:p>
    <w:p>
      <w:r>
        <w:br w:type="page"/>
      </w:r>
    </w:p>
    <w:p>
      <w:pPr>
        <w:pStyle w:val="Heading1"/>
      </w:pPr>
      <w:r>
        <w:t>23 Rückverfolgbarkeit und Architekturentscheide</w:t>
      </w:r>
    </w:p>
    <w:tbl>
      <w:tblPr>
        <w:tblW w:type="auto" w:w="0"/>
        <w:jc w:val="center"/>
        <w:tblLayout w:type="fixed"/>
        <w:tblLook w:firstColumn="1" w:firstRow="1" w:lastColumn="0" w:lastRow="0" w:noHBand="0" w:noVBand="1" w:val="04A0"/>
      </w:tblPr>
      <w:tblGrid>
        <w:gridCol w:w="3816"/>
        <w:gridCol w:w="5976"/>
      </w:tblGrid>
      <w:tr>
        <w:trPr>
          <w:tblHeader/>
          <w:cantSplit/>
        </w:trPr>
        <w:tc>
          <w:tcPr>
            <w:tcW w:type="dxa" w:w="381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Verfassung [G1]</w:t>
            </w:r>
          </w:p>
        </w:tc>
        <w:tc>
          <w:tcPr>
            <w:tcW w:type="dxa" w:w="5976"/>
            <w:vAlign w:val="center"/>
            <w:tcMar>
              <w:top w:w="70" w:type="dxa"/>
              <w:bottom w:w="70" w:type="dxa"/>
              <w:left w:w="90" w:type="dxa"/>
              <w:right w:w="90" w:type="dxa"/>
            </w:tcMar>
            <w:shd w:fill="E6EDF1"/>
            <w:tcBorders>
              <w:bottom w:val="single" w:sz="3" w:color="D8E0E5"/>
            </w:tcBorders>
          </w:tcPr>
          <w:p>
            <w:pPr>
              <w:keepNext/>
              <w:spacing w:after="20" w:before="20" w:line="240" w:lineRule="auto"/>
            </w:pPr>
            <w:r>
              <w:rPr>
                <w:rFonts w:ascii="Calibri" w:hAnsi="Calibri"/>
                <w:b/>
                <w:sz w:val="20"/>
              </w:rPr>
              <w:t>Architektur / Nachweis</w:t>
            </w:r>
          </w:p>
        </w:tc>
      </w:tr>
      <w:tr>
        <w:trPr>
          <w:cantSplit/>
        </w:trPr>
        <w:tc>
          <w:tcPr>
            <w:tcW w:type="dxa" w:w="38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 1-3 Auftrag, Freiheit, Phronesis</w:t>
            </w:r>
          </w:p>
        </w:tc>
        <w:tc>
          <w:tcPr>
            <w:tcW w:type="dxa" w:w="59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Kap. 1, 5-6, 14: Ergebnisarten und offene Fragen; Pilotprotokoll darf negative Resultate nicht ausschliessen.</w:t>
            </w:r>
          </w:p>
        </w:tc>
      </w:tr>
      <w:tr>
        <w:trPr>
          <w:cantSplit/>
        </w:trPr>
        <w:tc>
          <w:tcPr>
            <w:tcW w:type="dxa" w:w="38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 4 Normen</w:t>
            </w:r>
          </w:p>
        </w:tc>
        <w:tc>
          <w:tcPr>
            <w:tcW w:type="dxa" w:w="59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Kap. 2, 12, 15: Policyfassung, Daten-/Normtrennung; T01, T10.</w:t>
            </w:r>
          </w:p>
        </w:tc>
      </w:tr>
      <w:tr>
        <w:trPr>
          <w:cantSplit/>
        </w:trPr>
        <w:tc>
          <w:tcPr>
            <w:tcW w:type="dxa" w:w="38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 5-8 Organisation</w:t>
            </w:r>
          </w:p>
        </w:tc>
        <w:tc>
          <w:tcPr>
            <w:tcW w:type="dxa" w:w="59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Kap. 2-5, 18: Institute, Rollen, Register, Ressourcen; T05, A09.</w:t>
            </w:r>
          </w:p>
        </w:tc>
      </w:tr>
      <w:tr>
        <w:trPr>
          <w:cantSplit/>
        </w:trPr>
        <w:tc>
          <w:tcPr>
            <w:tcW w:type="dxa" w:w="38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 9-12 Mandat und Autonomie</w:t>
            </w:r>
          </w:p>
        </w:tc>
        <w:tc>
          <w:tcPr>
            <w:tcW w:type="dxa" w:w="59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Kap. 6-7, 12, 15-16: delegierte Arbeit, Limit/Stop; T02, T03, T15, A05-A06.</w:t>
            </w:r>
          </w:p>
        </w:tc>
      </w:tr>
      <w:tr>
        <w:trPr>
          <w:cantSplit/>
        </w:trPr>
        <w:tc>
          <w:tcPr>
            <w:tcW w:type="dxa" w:w="38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 13-16 Erkenntnisse</w:t>
            </w:r>
          </w:p>
        </w:tc>
        <w:tc>
          <w:tcPr>
            <w:tcW w:type="dxa" w:w="59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Kap. 5-6, 13-14: Aussagen/Evidenz/Methoden/Protokoll; T04, T09, A07.</w:t>
            </w:r>
          </w:p>
        </w:tc>
      </w:tr>
      <w:tr>
        <w:trPr>
          <w:cantSplit/>
        </w:trPr>
        <w:tc>
          <w:tcPr>
            <w:tcW w:type="dxa" w:w="38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 17-20 Kontrolle</w:t>
            </w:r>
          </w:p>
        </w:tc>
        <w:tc>
          <w:tcPr>
            <w:tcW w:type="dxa" w:w="59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Kap. 10-11, 13, 15: getrennte Prüfung, Dissens, Replikation; T05, T06, T13, T14, A03-A04, A11.</w:t>
            </w:r>
          </w:p>
        </w:tc>
      </w:tr>
      <w:tr>
        <w:trPr>
          <w:cantSplit/>
        </w:trPr>
        <w:tc>
          <w:tcPr>
            <w:tcW w:type="dxa" w:w="38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 21-24 Schutz und Publikation</w:t>
            </w:r>
          </w:p>
        </w:tc>
        <w:tc>
          <w:tcPr>
            <w:tcW w:type="dxa" w:w="59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Kap. 12-16: Zugriffe, Freigaben, Korrektur, Änderung; T07-T10, T16, A10, A12.</w:t>
            </w:r>
          </w:p>
        </w:tc>
      </w:tr>
      <w:tr>
        <w:trPr>
          <w:cantSplit/>
        </w:trPr>
        <w:tc>
          <w:tcPr>
            <w:tcW w:type="dxa" w:w="38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 25-26 Spezialisierung/Register</w:t>
            </w:r>
          </w:p>
        </w:tc>
        <w:tc>
          <w:tcPr>
            <w:tcW w:type="dxa" w:w="59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Kap. 2, 5, 7-8, 18: Profil, Bedarf, Qualifikation; T11-T12, A09.</w:t>
            </w:r>
          </w:p>
        </w:tc>
      </w:tr>
      <w:tr>
        <w:trPr>
          <w:cantSplit/>
        </w:trPr>
        <w:tc>
          <w:tcPr>
            <w:tcW w:type="dxa" w:w="381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Art. 27-28 Modelle/Verbesserung</w:t>
            </w:r>
          </w:p>
        </w:tc>
        <w:tc>
          <w:tcPr>
            <w:tcW w:type="dxa" w:w="5976"/>
            <w:vAlign w:val="center"/>
            <w:tcMar>
              <w:top w:w="70" w:type="dxa"/>
              <w:bottom w:w="70" w:type="dxa"/>
              <w:left w:w="90" w:type="dxa"/>
              <w:right w:w="90" w:type="dxa"/>
            </w:tcMar>
            <w:tcBorders>
              <w:bottom w:val="single" w:sz="3" w:color="D8E0E5"/>
            </w:tcBorders>
          </w:tcPr>
          <w:p>
            <w:pPr>
              <w:keepNext w:val="0"/>
              <w:spacing w:after="20" w:before="20" w:line="240" w:lineRule="auto"/>
            </w:pPr>
            <w:r>
              <w:rPr>
                <w:rFonts w:ascii="Calibri" w:hAnsi="Calibri"/>
                <w:b w:val="0"/>
                <w:sz w:val="20"/>
              </w:rPr>
              <w:t>Kap. 8-11: modelloffene Auswahl und Vergleich; T13-T14, T17, A01-A04, A07-A08, A13-A14.</w:t>
            </w:r>
          </w:p>
        </w:tc>
      </w:tr>
    </w:tbl>
    <w:p>
      <w:pPr>
        <w:spacing w:after="0"/>
      </w:pPr>
    </w:p>
    <w:p>
      <w:pPr>
        <w:pStyle w:val="Heading2"/>
      </w:pPr>
      <w:r>
        <w:t>Entscheidprotokoll ADR-01 bis ADR-06</w:t>
      </w:r>
    </w:p>
    <w:p>
      <w:pPr>
        <w:keepLines/>
      </w:pPr>
      <w:r>
        <w:t>ADR-01: Modularer Kern mit getrennten Ausführungsgrenzen statt Microservices je Institut. Weniger Verteilung, aber konsequente Modulverträge nötig. ADR-02: Temporal statt selbst gebauter Scheduler oder ausschliesslicher In-Memory-Agentenschleife. Zusätzlicher Betriebsdienst wird bewusst akzeptiert.</w:t>
      </w:r>
    </w:p>
    <w:p>
      <w:pPr>
        <w:keepLines/>
      </w:pPr>
      <w:r>
        <w:t>ADR-03: Campus-Router vor Provideradapter statt automatisch wechselnder Anbieterbibliothek als Instanz der Modellwahl. Mehr eigene Fachlogik, dafür prüfbare Wahl. ADR-04: Versionierte Agenten/Skills und getrennte Qualifikation statt frei importierter, selbstgeschriebener Plugins.</w:t>
      </w:r>
    </w:p>
    <w:p>
      <w:pPr>
        <w:keepLines/>
      </w:pPr>
      <w:r>
        <w:t>ADR-05: PostgreSQL plus Objektspeicher und abgeleitete Suche statt sofortiger Graphdatenbank und vollständigem Event Sourcing. Beziehungen und Auditereignisse bleiben trotzdem explizit. ADR-06: Kontrolliertes offenes Internet statt abschliessender Domainliste oder unkontrolliertem Browserzugang.</w:t>
      </w:r>
    </w:p>
    <w:p>
      <w:pPr>
        <w:keepLines/>
      </w:pPr>
      <w:r>
        <w:t>Die Zuordnung weist Entwurfsdeckung aus, nicht Konformität im Betrieb. Forschungsethik, unabhängige Besetzung, geeignete Fachmethoden und rechtmässige Datennutzung sind keine rein technischen Tests.</w:t>
      </w:r>
    </w:p>
    <w:p>
      <w:r>
        <w:br w:type="page"/>
      </w:r>
    </w:p>
    <w:p>
      <w:pPr>
        <w:pStyle w:val="Heading1"/>
      </w:pPr>
      <w:r>
        <w:t>24 Offene Betriebsentscheide und Quellenbasis</w:t>
      </w:r>
    </w:p>
    <w:p>
      <w:pPr>
        <w:pStyle w:val="Heading2"/>
      </w:pPr>
      <w:r>
        <w:t>Vor dem ersten echten autonomen Lauf</w:t>
      </w:r>
    </w:p>
    <w:p>
      <w:pPr>
        <w:keepLines/>
      </w:pPr>
      <w:r>
        <w:t>Zu bestätigen: Zielhost und Sandboxprofil; Personen für Verantwortung und Integrität; Startmandat und Datenklassen; Providerkonten, Modellkennungen und Qualifikation; Geld-/Zeit-/Parallelitätsgrenzen; Aufbewahrung und Backup; konkrete unabhängige Prüffälle. Die Architektur ist so formuliert, dass mit Mockdaten entwickelt werden kann, ohne diese Betriebsentscheide vorzutäuschen.</w:t>
      </w:r>
    </w:p>
    <w:p>
      <w:pPr>
        <w:pStyle w:val="Heading2"/>
      </w:pPr>
      <w:r>
        <w:t>Eigene Grundlagen</w:t>
      </w:r>
    </w:p>
    <w:p>
      <w:pPr>
        <w:keepLines/>
      </w:pPr>
      <w:r>
        <w:t>G1: Phronesis_Forschungsverfassung_V0.2.docx, 11.10.2026. SHA-256: c90609828975d0e0f7df1aa8503f0674f063b7a7023395aa53f99c30a4c261f1. Vorrangige Arbeitsgrundlage; insbesondere Art. 9-28 und Anhänge B, D, G.</w:t>
      </w:r>
    </w:p>
    <w:p>
      <w:pPr>
        <w:keepLines/>
      </w:pPr>
      <w:r>
        <w:t>G2: Phronesis_Forschungsuebersicht_V1.0.docx. G3: PHRONESIS_MANIFESTO(2).docx. G4: METHODOS_MANIFESTO(2).docx. G5: ALETHEIA_MANIFESTO(2).docx und MNEMOSYNE_MANIFESTO(2).docx. G6: KAIRON_MANIFESTO(2).docx. G7: Werkbank_Rahmenbedingungen_v1.0.docx, insbesondere RA-01 bis RA-13 und Abschn. 11. G8: KAIRON_Handbuch_und_Beurteilung.docx, Befund B1. G9: Werkbank_Handbuch_v1.0.docx. G10: Erklaeraufbau_KI_Ordnung_v1.docx.</w:t>
      </w:r>
    </w:p>
    <w:p>
      <w:pPr>
        <w:pStyle w:val="Heading2"/>
      </w:pPr>
      <w:r>
        <w:t>Technische Primärquellen, geprüft am 11.10.2026</w:t>
      </w:r>
    </w:p>
    <w:p>
      <w:pPr>
        <w:keepLines/>
      </w:pPr>
      <w:r>
        <w:t>T1 Temporal, Python SDK: docs.temporal.io/develop/python; insbesondere Workflows/Activities. T2 Anthropic, Tool use: platform.claude.com/docs/en/agents-and-tools/tool-use/overview. T3 OpenAI, Function calling: developers.openai.com/api/docs/guides/function-calling. T4 Google, Function calling: ai.google.dev/gemini-api/docs/function-calling.</w:t>
      </w:r>
    </w:p>
    <w:p>
      <w:pPr>
        <w:keepLines/>
      </w:pPr>
      <w:r>
        <w:t>T5 LiteLLM, Routing und Request Lifecycle: docs.litellm.ai/docs/routing sowie /docs/proxy/architecture. T6 OWASP, Server-Side Request Forgery Prevention Cheat Sheet: cheatsheetseries.owasp.org/cheatsheets/Server_Side_Request_Forgery_Prevention_Cheat_Sheet.html. T7 gVisor, Dokumentation: gvisor.dev/docs/. T8 Agent Skills Specification: agentskills.io/specification.</w:t>
      </w:r>
    </w:p>
    <w:p>
      <w:pPr>
        <w:keepLines/>
      </w:pPr>
      <w:r>
        <w:t>T9 PostgreSQL, Row Security Policies: postgresql.org/docs/current/ddl-rowsecurity.html. T10 PostgreSQL, Explicit Locking: postgresql.org/docs/current/explicit-locking.html. T11 FastAPI, offizielle Dokumentation: fastapi.tiangolo.com/.</w:t>
      </w:r>
    </w:p>
    <w:p>
      <w:pPr>
        <w:keepLines/>
      </w:pPr>
      <w:r>
        <w:t>Die Quellen belegen technische Eigenschaften der genannten Bausteine, nicht die Wirksamkeit des vorgeschlagenen Campus. Konkrete SDK-Versionen, Modellparameter und Anbieterbedingungen sind beim Build und vor Betriebsfreigabe erneut zu prüfen. Vollständige Links und maschinenlesbare Grundlagenverweise liegen im Entwicklungspaket.</w:t>
      </w:r>
    </w:p>
    <w:p>
      <w:pPr>
        <w:keepLines/>
        <w:spacing w:before="140" w:after="240"/>
        <w:ind w:left="202" w:right="202"/>
      </w:pPr>
      <w:r>
        <w:rPr>
          <w:b/>
          <w:color w:val="213E50"/>
        </w:rPr>
        <w:t>Nächster Arbeitsschritt: S0 mit den Verträgen beginnen; danach S1 als erste echte Mehrmodellstrecke abnehmen. Die einzelnen Institute wachsen auf dem gemeinsamen, bereits kontrollierten Ablauf.</w:t>
      </w:r>
    </w:p>
    <w:sectPr w:rsidR="00FC693F" w:rsidRPr="0006063C" w:rsidSect="00034616">
      <w:headerReference w:type="default" r:id="rId9"/>
      <w:footerReference w:type="default" r:id="rId10"/>
      <w:pgSz w:w="12240" w:h="15840"/>
      <w:pgMar w:top="835" w:right="1037" w:bottom="835" w:left="1037" w:header="317"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F8C"/>
        <w:sz w:val="16"/>
      </w:rPr>
      <w:t xml:space="preserve">Systemarchitektur V0.1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97F8C"/>
        <w:sz w:val="16"/>
      </w:rPr>
      <w:t>PHRONESIS  /  FORSCHUNGSCAMPUS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sz w:val="22"/>
      <w:lang w:val="de-C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213E5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13E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libri" w:hAnsi="Calibri"/>
      <w:b/>
      <w:color w:val="213E5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Phronesis-Forschungscampus - Systemarchitektur V0.1</dc:title>
  <dc:subject>Autonome spezialisierte Agenten, konfigurierbare LLMs und wissenschaftliche Kontrolle</dc:subject>
  <dc:creator>Kaspar Brönnimann</dc:creator>
  <cp:keywords/>
  <dc:description/>
  <cp:lastModifiedBy/>
  <cp:revision>1</cp:revision>
  <dcterms:created xsi:type="dcterms:W3CDTF">2013-12-23T23:15:00Z</dcterms:created>
  <dcterms:modified xsi:type="dcterms:W3CDTF">2013-12-23T23:15:00Z</dcterms:modified>
  <cp:category/>
</cp:coreProperties>
</file>