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
      </w:pPr>
      <w:r>
        <w:t>PHRONESIS  /  FORSCHUNGS- UND PUBLIKATIONSPLANUNG</w:t>
      </w:r>
    </w:p>
    <w:p>
      <w:pPr>
        <w:pStyle w:val="Title"/>
      </w:pPr>
      <w:r>
        <w:t>Forschungsübersicht</w:t>
      </w:r>
    </w:p>
    <w:p>
      <w:pPr>
        <w:pStyle w:val="Lead"/>
      </w:pPr>
      <w:r>
        <w:t>Urteilskraft, rechtliche Autorität und institutionelles Lernen in einer von KI geprägten Welt</w:t>
      </w:r>
    </w:p>
    <w:p>
      <w:pPr>
        <w:pStyle w:val="Subtitle"/>
      </w:pPr>
      <w:r>
        <w:t>Kaspar Brönnimann | V1.0 | 11. Oktober 2026</w:t>
      </w:r>
    </w:p>
    <w:p>
      <w:pPr>
        <w:pStyle w:val="Heading2"/>
      </w:pPr>
      <w:r>
        <w:t>Die gemeinsame Leitfrage</w:t>
      </w:r>
    </w:p>
    <w:p>
      <w:pPr>
        <w:pStyle w:val="Lead"/>
      </w:pPr>
      <w:r>
        <w:t>Wie lassen sich menschliches Urteilen, begründete Verantwortung und institutionelles Lernen unter Bedingungen zunehmender Automatisierung gestalten, rechtlich legitimieren und überprüfen?</w:t>
      </w:r>
    </w:p>
    <w:p>
      <w:r>
        <w:t>Phronesis ist der normative Ausgangspunkt. Das Forschungsprogramm verbindet Philosophie und Erkenntnistheorie, Projektmanagement und Systemgestaltung sowie Rechtswissenschaften. Die Leitideen werden dabei selbst zum Gegenstand kritischer Prüfung, nicht zu vorausgesetzten Forschungsergebnissen. [G2]</w:t>
      </w:r>
    </w:p>
    <w:p>
      <w:pPr>
        <w:pStyle w:val="Heading2"/>
      </w:pPr>
      <w:r>
        <w:t>Sechs zusammenhängende Forschungslinien</w:t>
      </w:r>
    </w:p>
    <w:tbl>
      <w:tblPr>
        <w:tblW w:type="auto" w:w="0"/>
        <w:jc w:val="center"/>
        <w:tblLayout w:type="fixed"/>
        <w:tblLook w:firstColumn="1" w:firstRow="1" w:lastColumn="0" w:lastRow="0" w:noHBand="0" w:noVBand="1" w:val="04A0"/>
      </w:tblPr>
      <w:tblGrid>
        <w:gridCol w:w="533"/>
        <w:gridCol w:w="2189"/>
        <w:gridCol w:w="4838"/>
        <w:gridCol w:w="2520"/>
      </w:tblGrid>
      <w:tr>
        <w:trPr>
          <w:tblHeader/>
          <w:cantSplit/>
        </w:trPr>
        <w:tc>
          <w:tcPr>
            <w:tcW w:type="dxa" w:w="533"/>
            <w:vAlign w:val="center"/>
            <w:shd w:fill="EAF0F3"/>
            <w:tcMar>
              <w:top w:w="75" w:type="dxa"/>
              <w:bottom w:w="75" w:type="dxa"/>
              <w:left w:w="95" w:type="dxa"/>
              <w:right w:w="95" w:type="dxa"/>
            </w:tcMar>
            <w:tcBorders>
              <w:bottom w:val="single" w:sz="4" w:color="CDD7DE"/>
            </w:tcBorders>
          </w:tcPr>
          <w:p>
            <w:pPr>
              <w:pStyle w:val="TableBody"/>
              <w:keepNext/>
            </w:pPr>
            <w:r>
              <w:rPr>
                <w:b/>
                <w:color w:val="18364A"/>
              </w:rPr>
              <w:t>ID</w:t>
            </w:r>
          </w:p>
        </w:tc>
        <w:tc>
          <w:tcPr>
            <w:tcW w:type="dxa" w:w="2189"/>
            <w:vAlign w:val="center"/>
            <w:shd w:fill="EAF0F3"/>
            <w:tcMar>
              <w:top w:w="75" w:type="dxa"/>
              <w:bottom w:w="75" w:type="dxa"/>
              <w:left w:w="95" w:type="dxa"/>
              <w:right w:w="95" w:type="dxa"/>
            </w:tcMar>
            <w:tcBorders>
              <w:bottom w:val="single" w:sz="4" w:color="CDD7DE"/>
            </w:tcBorders>
          </w:tcPr>
          <w:p>
            <w:pPr>
              <w:pStyle w:val="TableBody"/>
              <w:keepNext/>
            </w:pPr>
            <w:r>
              <w:rPr>
                <w:b/>
                <w:color w:val="18364A"/>
              </w:rPr>
              <w:t>Gegenstand</w:t>
            </w:r>
          </w:p>
        </w:tc>
        <w:tc>
          <w:tcPr>
            <w:tcW w:type="dxa" w:w="4838"/>
            <w:vAlign w:val="center"/>
            <w:shd w:fill="EAF0F3"/>
            <w:tcMar>
              <w:top w:w="75" w:type="dxa"/>
              <w:bottom w:w="75" w:type="dxa"/>
              <w:left w:w="95" w:type="dxa"/>
              <w:right w:w="95" w:type="dxa"/>
            </w:tcMar>
            <w:tcBorders>
              <w:bottom w:val="single" w:sz="4" w:color="CDD7DE"/>
            </w:tcBorders>
          </w:tcPr>
          <w:p>
            <w:pPr>
              <w:pStyle w:val="TableBody"/>
              <w:keepNext/>
            </w:pPr>
            <w:r>
              <w:rPr>
                <w:b/>
                <w:color w:val="18364A"/>
              </w:rPr>
              <w:t>Zentrale Frage</w:t>
            </w:r>
          </w:p>
        </w:tc>
        <w:tc>
          <w:tcPr>
            <w:tcW w:type="dxa" w:w="2520"/>
            <w:vAlign w:val="center"/>
            <w:shd w:fill="EAF0F3"/>
            <w:tcMar>
              <w:top w:w="75" w:type="dxa"/>
              <w:bottom w:w="75" w:type="dxa"/>
              <w:left w:w="95" w:type="dxa"/>
              <w:right w:w="95" w:type="dxa"/>
            </w:tcMar>
            <w:tcBorders>
              <w:bottom w:val="single" w:sz="4" w:color="CDD7DE"/>
            </w:tcBorders>
          </w:tcPr>
          <w:p>
            <w:pPr>
              <w:pStyle w:val="TableBody"/>
              <w:keepNext/>
            </w:pPr>
            <w:r>
              <w:rPr>
                <w:b/>
                <w:color w:val="18364A"/>
              </w:rPr>
              <w:t>Stand</w:t>
            </w:r>
          </w:p>
        </w:tc>
      </w:tr>
      <w:tr>
        <w:trPr>
          <w:cantSplit/>
        </w:trPr>
        <w:tc>
          <w:tcPr>
            <w:tcW w:type="dxa" w:w="533"/>
            <w:vAlign w:val="center"/>
            <w:tcMar>
              <w:top w:w="75" w:type="dxa"/>
              <w:bottom w:w="75" w:type="dxa"/>
              <w:left w:w="95" w:type="dxa"/>
              <w:right w:w="95" w:type="dxa"/>
            </w:tcMar>
            <w:tcBorders>
              <w:bottom w:val="single" w:sz="4" w:color="CDD7DE"/>
            </w:tcBorders>
          </w:tcPr>
          <w:p>
            <w:pPr>
              <w:pStyle w:val="TableBody"/>
              <w:jc w:val="center"/>
            </w:pPr>
            <w:r>
              <w:rPr>
                <w:sz w:val="20"/>
              </w:rPr>
              <w:t>A</w:t>
            </w:r>
          </w:p>
        </w:tc>
        <w:tc>
          <w:tcPr>
            <w:tcW w:type="dxa" w:w="2189"/>
            <w:vAlign w:val="center"/>
            <w:tcMar>
              <w:top w:w="75" w:type="dxa"/>
              <w:bottom w:w="75" w:type="dxa"/>
              <w:left w:w="95" w:type="dxa"/>
              <w:right w:w="95" w:type="dxa"/>
            </w:tcMar>
            <w:tcBorders>
              <w:bottom w:val="single" w:sz="4" w:color="CDD7DE"/>
            </w:tcBorders>
          </w:tcPr>
          <w:p>
            <w:pPr>
              <w:pStyle w:val="TableBody"/>
            </w:pPr>
            <w:r>
              <w:rPr>
                <w:sz w:val="20"/>
              </w:rPr>
              <w:t>Urteilsgelegenheiten und Lernen</w:t>
            </w:r>
          </w:p>
        </w:tc>
        <w:tc>
          <w:tcPr>
            <w:tcW w:type="dxa" w:w="4838"/>
            <w:vAlign w:val="center"/>
            <w:tcMar>
              <w:top w:w="75" w:type="dxa"/>
              <w:bottom w:w="75" w:type="dxa"/>
              <w:left w:w="95" w:type="dxa"/>
              <w:right w:w="95" w:type="dxa"/>
            </w:tcMar>
            <w:tcBorders>
              <w:bottom w:val="single" w:sz="4" w:color="CDD7DE"/>
            </w:tcBorders>
          </w:tcPr>
          <w:p>
            <w:pPr>
              <w:pStyle w:val="TableBody"/>
            </w:pPr>
            <w:r>
              <w:rPr>
                <w:sz w:val="20"/>
              </w:rPr>
              <w:t>Wo bleibt eigenständiges Urteilen möglich, wer nutzt es und mit welcher Wirkung?</w:t>
            </w:r>
          </w:p>
        </w:tc>
        <w:tc>
          <w:tcPr>
            <w:tcW w:type="dxa" w:w="2520"/>
            <w:vAlign w:val="center"/>
            <w:tcMar>
              <w:top w:w="75" w:type="dxa"/>
              <w:bottom w:w="75" w:type="dxa"/>
              <w:left w:w="95" w:type="dxa"/>
              <w:right w:w="95" w:type="dxa"/>
            </w:tcMar>
            <w:tcBorders>
              <w:bottom w:val="single" w:sz="4" w:color="CDD7DE"/>
            </w:tcBorders>
          </w:tcPr>
          <w:p>
            <w:pPr>
              <w:pStyle w:val="TableBody"/>
            </w:pPr>
            <w:r>
              <w:rPr>
                <w:sz w:val="20"/>
              </w:rPr>
              <w:t>Paper liegt vor; Wirkung offen</w:t>
            </w:r>
          </w:p>
        </w:tc>
      </w:tr>
      <w:tr>
        <w:trPr>
          <w:cantSplit/>
        </w:trPr>
        <w:tc>
          <w:tcPr>
            <w:tcW w:type="dxa" w:w="533"/>
            <w:vAlign w:val="center"/>
            <w:tcMar>
              <w:top w:w="75" w:type="dxa"/>
              <w:bottom w:w="75" w:type="dxa"/>
              <w:left w:w="95" w:type="dxa"/>
              <w:right w:w="95" w:type="dxa"/>
            </w:tcMar>
            <w:tcBorders>
              <w:bottom w:val="single" w:sz="4" w:color="CDD7DE"/>
            </w:tcBorders>
          </w:tcPr>
          <w:p>
            <w:pPr>
              <w:pStyle w:val="TableBody"/>
              <w:jc w:val="center"/>
            </w:pPr>
            <w:r>
              <w:rPr>
                <w:sz w:val="20"/>
              </w:rPr>
              <w:t>B</w:t>
            </w:r>
          </w:p>
        </w:tc>
        <w:tc>
          <w:tcPr>
            <w:tcW w:type="dxa" w:w="2189"/>
            <w:vAlign w:val="center"/>
            <w:tcMar>
              <w:top w:w="75" w:type="dxa"/>
              <w:bottom w:w="75" w:type="dxa"/>
              <w:left w:w="95" w:type="dxa"/>
              <w:right w:w="95" w:type="dxa"/>
            </w:tcMar>
            <w:tcBorders>
              <w:bottom w:val="single" w:sz="4" w:color="CDD7DE"/>
            </w:tcBorders>
          </w:tcPr>
          <w:p>
            <w:pPr>
              <w:pStyle w:val="TableBody"/>
            </w:pPr>
            <w:r>
              <w:rPr>
                <w:sz w:val="20"/>
              </w:rPr>
              <w:t>Wirksame Governance</w:t>
            </w:r>
          </w:p>
        </w:tc>
        <w:tc>
          <w:tcPr>
            <w:tcW w:type="dxa" w:w="4838"/>
            <w:vAlign w:val="center"/>
            <w:tcMar>
              <w:top w:w="75" w:type="dxa"/>
              <w:bottom w:w="75" w:type="dxa"/>
              <w:left w:w="95" w:type="dxa"/>
              <w:right w:w="95" w:type="dxa"/>
            </w:tcMar>
            <w:tcBorders>
              <w:bottom w:val="single" w:sz="4" w:color="CDD7DE"/>
            </w:tcBorders>
          </w:tcPr>
          <w:p>
            <w:pPr>
              <w:pStyle w:val="TableBody"/>
            </w:pPr>
            <w:r>
              <w:rPr>
                <w:sz w:val="20"/>
              </w:rPr>
              <w:t>Wie werden Anforderungen zu wirksamen Mechanismen statt bloss zu Feldern und Statuswerten?</w:t>
            </w:r>
          </w:p>
        </w:tc>
        <w:tc>
          <w:tcPr>
            <w:tcW w:type="dxa" w:w="2520"/>
            <w:vAlign w:val="center"/>
            <w:tcMar>
              <w:top w:w="75" w:type="dxa"/>
              <w:bottom w:w="75" w:type="dxa"/>
              <w:left w:w="95" w:type="dxa"/>
              <w:right w:w="95" w:type="dxa"/>
            </w:tcMar>
            <w:tcBorders>
              <w:bottom w:val="single" w:sz="4" w:color="CDD7DE"/>
            </w:tcBorders>
          </w:tcPr>
          <w:p>
            <w:pPr>
              <w:pStyle w:val="TableBody"/>
            </w:pPr>
            <w:r>
              <w:rPr>
                <w:sz w:val="20"/>
              </w:rPr>
              <w:t>Befunde und Hypothese vorhanden</w:t>
            </w:r>
          </w:p>
        </w:tc>
      </w:tr>
      <w:tr>
        <w:trPr>
          <w:cantSplit/>
        </w:trPr>
        <w:tc>
          <w:tcPr>
            <w:tcW w:type="dxa" w:w="533"/>
            <w:vAlign w:val="center"/>
            <w:tcMar>
              <w:top w:w="75" w:type="dxa"/>
              <w:bottom w:w="75" w:type="dxa"/>
              <w:left w:w="95" w:type="dxa"/>
              <w:right w:w="95" w:type="dxa"/>
            </w:tcMar>
            <w:tcBorders>
              <w:bottom w:val="single" w:sz="4" w:color="CDD7DE"/>
            </w:tcBorders>
          </w:tcPr>
          <w:p>
            <w:pPr>
              <w:pStyle w:val="TableBody"/>
              <w:jc w:val="center"/>
            </w:pPr>
            <w:r>
              <w:rPr>
                <w:sz w:val="20"/>
              </w:rPr>
              <w:t>C</w:t>
            </w:r>
          </w:p>
        </w:tc>
        <w:tc>
          <w:tcPr>
            <w:tcW w:type="dxa" w:w="2189"/>
            <w:vAlign w:val="center"/>
            <w:tcMar>
              <w:top w:w="75" w:type="dxa"/>
              <w:bottom w:w="75" w:type="dxa"/>
              <w:left w:w="95" w:type="dxa"/>
              <w:right w:w="95" w:type="dxa"/>
            </w:tcMar>
            <w:tcBorders>
              <w:bottom w:val="single" w:sz="4" w:color="CDD7DE"/>
            </w:tcBorders>
          </w:tcPr>
          <w:p>
            <w:pPr>
              <w:pStyle w:val="TableBody"/>
            </w:pPr>
            <w:r>
              <w:rPr>
                <w:sz w:val="20"/>
              </w:rPr>
              <w:t>KI-gestütztes Erzeugen und Prüfen</w:t>
            </w:r>
          </w:p>
        </w:tc>
        <w:tc>
          <w:tcPr>
            <w:tcW w:type="dxa" w:w="4838"/>
            <w:vAlign w:val="center"/>
            <w:tcMar>
              <w:top w:w="75" w:type="dxa"/>
              <w:bottom w:w="75" w:type="dxa"/>
              <w:left w:w="95" w:type="dxa"/>
              <w:right w:w="95" w:type="dxa"/>
            </w:tcMar>
            <w:tcBorders>
              <w:bottom w:val="single" w:sz="4" w:color="CDD7DE"/>
            </w:tcBorders>
          </w:tcPr>
          <w:p>
            <w:pPr>
              <w:pStyle w:val="TableBody"/>
            </w:pPr>
            <w:r>
              <w:rPr>
                <w:sz w:val="20"/>
              </w:rPr>
              <w:t>Wann verbessert die Trennung von Erzeuger und Prüfer die tatsächliche Qualität?</w:t>
            </w:r>
          </w:p>
        </w:tc>
        <w:tc>
          <w:tcPr>
            <w:tcW w:type="dxa" w:w="2520"/>
            <w:vAlign w:val="center"/>
            <w:tcMar>
              <w:top w:w="75" w:type="dxa"/>
              <w:bottom w:w="75" w:type="dxa"/>
              <w:left w:w="95" w:type="dxa"/>
              <w:right w:w="95" w:type="dxa"/>
            </w:tcMar>
            <w:tcBorders>
              <w:bottom w:val="single" w:sz="4" w:color="CDD7DE"/>
            </w:tcBorders>
          </w:tcPr>
          <w:p>
            <w:pPr>
              <w:pStyle w:val="TableBody"/>
            </w:pPr>
            <w:r>
              <w:rPr>
                <w:sz w:val="20"/>
              </w:rPr>
              <w:t>Dokumentierte Beobachtungen</w:t>
            </w:r>
          </w:p>
        </w:tc>
      </w:tr>
      <w:tr>
        <w:trPr>
          <w:cantSplit/>
        </w:trPr>
        <w:tc>
          <w:tcPr>
            <w:tcW w:type="dxa" w:w="533"/>
            <w:vAlign w:val="center"/>
            <w:tcMar>
              <w:top w:w="75" w:type="dxa"/>
              <w:bottom w:w="75" w:type="dxa"/>
              <w:left w:w="95" w:type="dxa"/>
              <w:right w:w="95" w:type="dxa"/>
            </w:tcMar>
            <w:tcBorders>
              <w:bottom w:val="single" w:sz="4" w:color="CDD7DE"/>
            </w:tcBorders>
          </w:tcPr>
          <w:p>
            <w:pPr>
              <w:pStyle w:val="TableBody"/>
              <w:jc w:val="center"/>
            </w:pPr>
            <w:r>
              <w:rPr>
                <w:sz w:val="20"/>
              </w:rPr>
              <w:t>D</w:t>
            </w:r>
          </w:p>
        </w:tc>
        <w:tc>
          <w:tcPr>
            <w:tcW w:type="dxa" w:w="2189"/>
            <w:vAlign w:val="center"/>
            <w:tcMar>
              <w:top w:w="75" w:type="dxa"/>
              <w:bottom w:w="75" w:type="dxa"/>
              <w:left w:w="95" w:type="dxa"/>
              <w:right w:w="95" w:type="dxa"/>
            </w:tcMar>
            <w:tcBorders>
              <w:bottom w:val="single" w:sz="4" w:color="CDD7DE"/>
            </w:tcBorders>
          </w:tcPr>
          <w:p>
            <w:pPr>
              <w:pStyle w:val="TableBody"/>
            </w:pPr>
            <w:r>
              <w:rPr>
                <w:sz w:val="20"/>
              </w:rPr>
              <w:t>Rechtliche Autorität</w:t>
            </w:r>
          </w:p>
        </w:tc>
        <w:tc>
          <w:tcPr>
            <w:tcW w:type="dxa" w:w="4838"/>
            <w:vAlign w:val="center"/>
            <w:tcMar>
              <w:top w:w="75" w:type="dxa"/>
              <w:bottom w:w="75" w:type="dxa"/>
              <w:left w:w="95" w:type="dxa"/>
              <w:right w:w="95" w:type="dxa"/>
            </w:tcMar>
            <w:tcBorders>
              <w:bottom w:val="single" w:sz="4" w:color="CDD7DE"/>
            </w:tcBorders>
          </w:tcPr>
          <w:p>
            <w:pPr>
              <w:pStyle w:val="TableBody"/>
            </w:pPr>
            <w:r>
              <w:rPr>
                <w:sz w:val="20"/>
              </w:rPr>
              <w:t>Wann ist menschliche Mitwirkung erforderlich, wirksam und rechtlich legitimiert?</w:t>
            </w:r>
          </w:p>
        </w:tc>
        <w:tc>
          <w:tcPr>
            <w:tcW w:type="dxa" w:w="2520"/>
            <w:vAlign w:val="center"/>
            <w:tcMar>
              <w:top w:w="75" w:type="dxa"/>
              <w:bottom w:w="75" w:type="dxa"/>
              <w:left w:w="95" w:type="dxa"/>
              <w:right w:w="95" w:type="dxa"/>
            </w:tcMar>
            <w:tcBorders>
              <w:bottom w:val="single" w:sz="4" w:color="CDD7DE"/>
            </w:tcBorders>
          </w:tcPr>
          <w:p>
            <w:pPr>
              <w:pStyle w:val="TableBody"/>
            </w:pPr>
            <w:r>
              <w:rPr>
                <w:sz w:val="20"/>
              </w:rPr>
              <w:t>Forschungsansatz</w:t>
            </w:r>
          </w:p>
        </w:tc>
      </w:tr>
      <w:tr>
        <w:trPr>
          <w:cantSplit/>
        </w:trPr>
        <w:tc>
          <w:tcPr>
            <w:tcW w:type="dxa" w:w="533"/>
            <w:vAlign w:val="center"/>
            <w:tcMar>
              <w:top w:w="75" w:type="dxa"/>
              <w:bottom w:w="75" w:type="dxa"/>
              <w:left w:w="95" w:type="dxa"/>
              <w:right w:w="95" w:type="dxa"/>
            </w:tcMar>
            <w:tcBorders>
              <w:bottom w:val="single" w:sz="4" w:color="CDD7DE"/>
            </w:tcBorders>
          </w:tcPr>
          <w:p>
            <w:pPr>
              <w:pStyle w:val="TableBody"/>
              <w:jc w:val="center"/>
            </w:pPr>
            <w:r>
              <w:rPr>
                <w:sz w:val="20"/>
              </w:rPr>
              <w:t>E</w:t>
            </w:r>
          </w:p>
        </w:tc>
        <w:tc>
          <w:tcPr>
            <w:tcW w:type="dxa" w:w="2189"/>
            <w:vAlign w:val="center"/>
            <w:tcMar>
              <w:top w:w="75" w:type="dxa"/>
              <w:bottom w:w="75" w:type="dxa"/>
              <w:left w:w="95" w:type="dxa"/>
              <w:right w:w="95" w:type="dxa"/>
            </w:tcMar>
            <w:tcBorders>
              <w:bottom w:val="single" w:sz="4" w:color="CDD7DE"/>
            </w:tcBorders>
          </w:tcPr>
          <w:p>
            <w:pPr>
              <w:pStyle w:val="TableBody"/>
            </w:pPr>
            <w:r>
              <w:rPr>
                <w:sz w:val="20"/>
              </w:rPr>
              <w:t>Recht im Code und Schutzrechte</w:t>
            </w:r>
          </w:p>
        </w:tc>
        <w:tc>
          <w:tcPr>
            <w:tcW w:type="dxa" w:w="4838"/>
            <w:vAlign w:val="center"/>
            <w:tcMar>
              <w:top w:w="75" w:type="dxa"/>
              <w:bottom w:w="75" w:type="dxa"/>
              <w:left w:w="95" w:type="dxa"/>
              <w:right w:w="95" w:type="dxa"/>
            </w:tcMar>
            <w:tcBorders>
              <w:bottom w:val="single" w:sz="4" w:color="CDD7DE"/>
            </w:tcBorders>
          </w:tcPr>
          <w:p>
            <w:pPr>
              <w:pStyle w:val="TableBody"/>
            </w:pPr>
            <w:r>
              <w:rPr>
                <w:sz w:val="20"/>
              </w:rPr>
              <w:t>Wo verengt Software rechtliche Möglichkeiten, und welche Nachweise und Rechte sichern dagegen ab?</w:t>
            </w:r>
          </w:p>
        </w:tc>
        <w:tc>
          <w:tcPr>
            <w:tcW w:type="dxa" w:w="2520"/>
            <w:vAlign w:val="center"/>
            <w:tcMar>
              <w:top w:w="75" w:type="dxa"/>
              <w:bottom w:w="75" w:type="dxa"/>
              <w:left w:w="95" w:type="dxa"/>
              <w:right w:w="95" w:type="dxa"/>
            </w:tcMar>
            <w:tcBorders>
              <w:bottom w:val="single" w:sz="4" w:color="CDD7DE"/>
            </w:tcBorders>
          </w:tcPr>
          <w:p>
            <w:pPr>
              <w:pStyle w:val="TableBody"/>
            </w:pPr>
            <w:r>
              <w:rPr>
                <w:sz w:val="20"/>
              </w:rPr>
              <w:t>Forschungsansatz</w:t>
            </w:r>
          </w:p>
        </w:tc>
      </w:tr>
      <w:tr>
        <w:trPr>
          <w:cantSplit/>
        </w:trPr>
        <w:tc>
          <w:tcPr>
            <w:tcW w:type="dxa" w:w="533"/>
            <w:vAlign w:val="center"/>
            <w:tcMar>
              <w:top w:w="75" w:type="dxa"/>
              <w:bottom w:w="75" w:type="dxa"/>
              <w:left w:w="95" w:type="dxa"/>
              <w:right w:w="95" w:type="dxa"/>
            </w:tcMar>
            <w:tcBorders>
              <w:bottom w:val="single" w:sz="4" w:color="CDD7DE"/>
            </w:tcBorders>
          </w:tcPr>
          <w:p>
            <w:pPr>
              <w:pStyle w:val="TableBody"/>
              <w:jc w:val="center"/>
            </w:pPr>
            <w:r>
              <w:rPr>
                <w:sz w:val="20"/>
              </w:rPr>
              <w:t>F</w:t>
            </w:r>
          </w:p>
        </w:tc>
        <w:tc>
          <w:tcPr>
            <w:tcW w:type="dxa" w:w="2189"/>
            <w:vAlign w:val="center"/>
            <w:tcMar>
              <w:top w:w="75" w:type="dxa"/>
              <w:bottom w:w="75" w:type="dxa"/>
              <w:left w:w="95" w:type="dxa"/>
              <w:right w:w="95" w:type="dxa"/>
            </w:tcMar>
            <w:tcBorders>
              <w:bottom w:val="single" w:sz="4" w:color="CDD7DE"/>
            </w:tcBorders>
          </w:tcPr>
          <w:p>
            <w:pPr>
              <w:pStyle w:val="TableBody"/>
            </w:pPr>
            <w:r>
              <w:rPr>
                <w:sz w:val="20"/>
              </w:rPr>
              <w:t>Lernfähige Rechtsetzung</w:t>
            </w:r>
          </w:p>
        </w:tc>
        <w:tc>
          <w:tcPr>
            <w:tcW w:type="dxa" w:w="4838"/>
            <w:vAlign w:val="center"/>
            <w:tcMar>
              <w:top w:w="75" w:type="dxa"/>
              <w:bottom w:w="75" w:type="dxa"/>
              <w:left w:w="95" w:type="dxa"/>
              <w:right w:w="95" w:type="dxa"/>
            </w:tcMar>
            <w:tcBorders>
              <w:bottom w:val="single" w:sz="4" w:color="CDD7DE"/>
            </w:tcBorders>
          </w:tcPr>
          <w:p>
            <w:pPr>
              <w:pStyle w:val="TableBody"/>
            </w:pPr>
            <w:r>
              <w:rPr>
                <w:sz w:val="20"/>
              </w:rPr>
              <w:t>Wie kann Gesetzgebung lernen, ohne Zuständigkeit, Rechtssicherheit und Legitimation auszuhöhlen?</w:t>
            </w:r>
          </w:p>
        </w:tc>
        <w:tc>
          <w:tcPr>
            <w:tcW w:type="dxa" w:w="2520"/>
            <w:vAlign w:val="center"/>
            <w:tcMar>
              <w:top w:w="75" w:type="dxa"/>
              <w:bottom w:w="75" w:type="dxa"/>
              <w:left w:w="95" w:type="dxa"/>
              <w:right w:w="95" w:type="dxa"/>
            </w:tcMar>
            <w:tcBorders>
              <w:bottom w:val="single" w:sz="4" w:color="CDD7DE"/>
            </w:tcBorders>
          </w:tcPr>
          <w:p>
            <w:pPr>
              <w:pStyle w:val="TableBody"/>
            </w:pPr>
            <w:r>
              <w:rPr>
                <w:sz w:val="20"/>
              </w:rPr>
              <w:t>Forschungsansatz</w:t>
            </w:r>
          </w:p>
        </w:tc>
      </w:tr>
    </w:tbl>
    <w:p>
      <w:pPr>
        <w:pStyle w:val="Small"/>
      </w:pPr>
      <w:r/>
    </w:p>
    <w:p>
      <w:pPr>
        <w:pStyle w:val="Small"/>
      </w:pPr>
      <w:r/>
      <w:r>
        <w:rPr>
          <w:b/>
        </w:rPr>
        <w:t>Aktueller Anker:</w:t>
      </w:r>
      <w:r>
        <w:t xml:space="preserve"> IPMA-Paper V0.7.2, korrigierte Autoren- und Begutachtungsfassung. </w:t>
      </w:r>
      <w:r>
        <w:rPr>
          <w:b/>
        </w:rPr>
        <w:t>Empfohlener nächster Schritt:</w:t>
      </w:r>
      <w:r>
        <w:t xml:space="preserve"> Instrumentenprüfung in A und ein eng abgegrenztes juristisches Exposé in D oder E.</w:t>
      </w:r>
    </w:p>
    <w:p>
      <w:pPr>
        <w:pStyle w:val="Small"/>
      </w:pPr>
      <w:r>
        <w:t>Die Gliederung und Reihenfolge sind Planungsvorschläge. Die Forschungslinien sind keine bereits beauftragten Einzelstudien; eine Linie kann mehrere eigenständige Arbeiten tragen.</w:t>
      </w:r>
    </w:p>
    <w:p>
      <w:pPr>
        <w:spacing w:before="0" w:after="0" w:line="240" w:lineRule="auto"/>
      </w:pPr>
      <w:r>
        <w:br w:type="page"/>
      </w:r>
    </w:p>
    <w:p>
      <w:pPr>
        <w:pStyle w:val="Heading1"/>
      </w:pPr>
      <w:r>
        <w:t>1  Rahmen und vorhandene Grundlagen</w:t>
      </w:r>
    </w:p>
    <w:p>
      <w:pPr>
        <w:pStyle w:val="Heading2"/>
      </w:pPr>
      <w:r>
        <w:t>Haltung, Gegenstand und Nachweis auseinanderhalten</w:t>
      </w:r>
    </w:p>
    <w:p>
      <w:r>
        <w:t>Das Phronesis-Manifest stellt Transparenz, ausgesprochene Unsicherheit, menschliche Verantwortung und die Unterscheidung zwischen Beobachtetem und Vermutetem in den Mittelpunkt. Es versteht Phronesis als Haltung, nicht als Software. Für die Forschung liefert das Fragen und normative Ausgangspunkte; die Begründung dieser Positionen und ihre Grenzen bleiben untersuchbar. [G2]</w:t>
      </w:r>
    </w:p>
    <w:p>
      <w:r>
        <w:t>Die Denkdimensionen sind von ihren technischen Umsetzungen zu unterscheiden. In den Manifesten werden sie teilweise als Werkzeuge bezeichnet. Für die Forschungsplanung zählt jeweils die Frage, die sie erschliessen - nicht der Produktname.</w:t>
      </w:r>
    </w:p>
    <w:tbl>
      <w:tblPr>
        <w:tblW w:type="auto" w:w="0"/>
        <w:jc w:val="center"/>
        <w:tblLayout w:type="fixed"/>
        <w:tblLook w:firstColumn="1" w:firstRow="1" w:lastColumn="0" w:lastRow="0" w:noHBand="0" w:noVBand="1" w:val="04A0"/>
      </w:tblPr>
      <w:tblGrid>
        <w:gridCol w:w="1699"/>
        <w:gridCol w:w="4190"/>
        <w:gridCol w:w="4190"/>
      </w:tblGrid>
      <w:tr>
        <w:trPr>
          <w:tblHeader/>
          <w:cantSplit/>
        </w:trPr>
        <w:tc>
          <w:tcPr>
            <w:tcW w:type="dxa" w:w="1699"/>
            <w:vAlign w:val="center"/>
            <w:shd w:fill="EAF0F3"/>
            <w:tcMar>
              <w:top w:w="75" w:type="dxa"/>
              <w:bottom w:w="75" w:type="dxa"/>
              <w:left w:w="95" w:type="dxa"/>
              <w:right w:w="95" w:type="dxa"/>
            </w:tcMar>
            <w:tcBorders>
              <w:bottom w:val="single" w:sz="4" w:color="CDD7DE"/>
            </w:tcBorders>
          </w:tcPr>
          <w:p>
            <w:pPr>
              <w:pStyle w:val="TableBody"/>
              <w:keepNext/>
            </w:pPr>
            <w:r>
              <w:rPr>
                <w:b/>
                <w:color w:val="18364A"/>
              </w:rPr>
              <w:t>Perspektive / Umsetzung</w:t>
            </w:r>
          </w:p>
        </w:tc>
        <w:tc>
          <w:tcPr>
            <w:tcW w:type="dxa" w:w="4190"/>
            <w:vAlign w:val="center"/>
            <w:shd w:fill="EAF0F3"/>
            <w:tcMar>
              <w:top w:w="75" w:type="dxa"/>
              <w:bottom w:w="75" w:type="dxa"/>
              <w:left w:w="95" w:type="dxa"/>
              <w:right w:w="95" w:type="dxa"/>
            </w:tcMar>
            <w:tcBorders>
              <w:bottom w:val="single" w:sz="4" w:color="CDD7DE"/>
            </w:tcBorders>
          </w:tcPr>
          <w:p>
            <w:pPr>
              <w:pStyle w:val="TableBody"/>
              <w:keepNext/>
            </w:pPr>
            <w:r>
              <w:rPr>
                <w:b/>
                <w:color w:val="18364A"/>
              </w:rPr>
              <w:t>Rolle im Rahmen</w:t>
            </w:r>
          </w:p>
        </w:tc>
        <w:tc>
          <w:tcPr>
            <w:tcW w:type="dxa" w:w="4190"/>
            <w:vAlign w:val="center"/>
            <w:shd w:fill="EAF0F3"/>
            <w:tcMar>
              <w:top w:w="75" w:type="dxa"/>
              <w:bottom w:w="75" w:type="dxa"/>
              <w:left w:w="95" w:type="dxa"/>
              <w:right w:w="95" w:type="dxa"/>
            </w:tcMar>
            <w:tcBorders>
              <w:bottom w:val="single" w:sz="4" w:color="CDD7DE"/>
            </w:tcBorders>
          </w:tcPr>
          <w:p>
            <w:pPr>
              <w:pStyle w:val="TableBody"/>
              <w:keepNext/>
            </w:pPr>
            <w:r>
              <w:rPr>
                <w:b/>
                <w:color w:val="18364A"/>
              </w:rPr>
              <w:t>Mögliche Forschungsanschlüsse</w:t>
            </w:r>
          </w:p>
        </w:tc>
      </w:tr>
      <w:tr>
        <w:trPr>
          <w:cantSplit/>
        </w:trPr>
        <w:tc>
          <w:tcPr>
            <w:tcW w:type="dxa" w:w="1699"/>
            <w:vAlign w:val="center"/>
            <w:tcMar>
              <w:top w:w="75" w:type="dxa"/>
              <w:bottom w:w="75" w:type="dxa"/>
              <w:left w:w="95" w:type="dxa"/>
              <w:right w:w="95" w:type="dxa"/>
            </w:tcMar>
            <w:tcBorders>
              <w:bottom w:val="single" w:sz="4" w:color="CDD7DE"/>
            </w:tcBorders>
          </w:tcPr>
          <w:p>
            <w:pPr>
              <w:pStyle w:val="TableBody"/>
            </w:pPr>
            <w:r>
              <w:rPr>
                <w:sz w:val="20"/>
              </w:rPr>
              <w:t>Aletheia</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Veränderungen wahrnehmen, Quellen und Gewissheitsgrade unterscheiden.</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Beobachtung versus Bewertung; Einfluss vorgeschlagener Einordnungen.</w:t>
            </w:r>
          </w:p>
        </w:tc>
      </w:tr>
      <w:tr>
        <w:trPr>
          <w:cantSplit/>
        </w:trPr>
        <w:tc>
          <w:tcPr>
            <w:tcW w:type="dxa" w:w="1699"/>
            <w:vAlign w:val="center"/>
            <w:tcMar>
              <w:top w:w="75" w:type="dxa"/>
              <w:bottom w:w="75" w:type="dxa"/>
              <w:left w:w="95" w:type="dxa"/>
              <w:right w:w="95" w:type="dxa"/>
            </w:tcMar>
            <w:tcBorders>
              <w:bottom w:val="single" w:sz="4" w:color="CDD7DE"/>
            </w:tcBorders>
          </w:tcPr>
          <w:p>
            <w:pPr>
              <w:pStyle w:val="TableBody"/>
            </w:pPr>
            <w:r>
              <w:rPr>
                <w:sz w:val="20"/>
              </w:rPr>
              <w:t>Mnemosyne</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Wissen nutzbar halten und Identitäten schützen.</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Nachprüfbarer Schutz; zulässige Nutzung und Umgang mit abgeleitetem Wissen.</w:t>
            </w:r>
          </w:p>
        </w:tc>
      </w:tr>
      <w:tr>
        <w:trPr>
          <w:cantSplit/>
        </w:trPr>
        <w:tc>
          <w:tcPr>
            <w:tcW w:type="dxa" w:w="1699"/>
            <w:vAlign w:val="center"/>
            <w:tcMar>
              <w:top w:w="75" w:type="dxa"/>
              <w:bottom w:w="75" w:type="dxa"/>
              <w:left w:w="95" w:type="dxa"/>
              <w:right w:w="95" w:type="dxa"/>
            </w:tcMar>
            <w:tcBorders>
              <w:bottom w:val="single" w:sz="4" w:color="CDD7DE"/>
            </w:tcBorders>
          </w:tcPr>
          <w:p>
            <w:pPr>
              <w:pStyle w:val="TableBody"/>
            </w:pPr>
            <w:r>
              <w:rPr>
                <w:sz w:val="20"/>
              </w:rPr>
              <w:t>Methodos</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Vom Gespräch zum nachvollziehbaren, methodengerechten Ergebnis.</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Lücken erfragen statt erfinden; Formulierung versus sachliche Festlegung.</w:t>
            </w:r>
          </w:p>
        </w:tc>
      </w:tr>
      <w:tr>
        <w:trPr>
          <w:cantSplit/>
        </w:trPr>
        <w:tc>
          <w:tcPr>
            <w:tcW w:type="dxa" w:w="1699"/>
            <w:vAlign w:val="center"/>
            <w:tcMar>
              <w:top w:w="75" w:type="dxa"/>
              <w:bottom w:w="75" w:type="dxa"/>
              <w:left w:w="95" w:type="dxa"/>
              <w:right w:w="95" w:type="dxa"/>
            </w:tcMar>
            <w:tcBorders>
              <w:bottom w:val="single" w:sz="4" w:color="CDD7DE"/>
            </w:tcBorders>
          </w:tcPr>
          <w:p>
            <w:pPr>
              <w:pStyle w:val="TableBody"/>
            </w:pPr>
            <w:r>
              <w:rPr>
                <w:sz w:val="20"/>
              </w:rPr>
              <w:t>Kairon / KAIRON</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Entscheidungen mit Annahmen, Gründen, Dissens und Folgen verbinden.</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Wirksame Neubewertung; Zurechnung und Beobachtung von Entscheidungsfolgen.</w:t>
            </w:r>
          </w:p>
        </w:tc>
      </w:tr>
      <w:tr>
        <w:trPr>
          <w:cantSplit/>
        </w:trPr>
        <w:tc>
          <w:tcPr>
            <w:tcW w:type="dxa" w:w="1699"/>
            <w:vAlign w:val="center"/>
            <w:tcMar>
              <w:top w:w="75" w:type="dxa"/>
              <w:bottom w:w="75" w:type="dxa"/>
              <w:left w:w="95" w:type="dxa"/>
              <w:right w:w="95" w:type="dxa"/>
            </w:tcMar>
            <w:tcBorders>
              <w:bottom w:val="single" w:sz="4" w:color="CDD7DE"/>
            </w:tcBorders>
          </w:tcPr>
          <w:p>
            <w:pPr>
              <w:pStyle w:val="TableBody"/>
            </w:pPr>
            <w:r>
              <w:rPr>
                <w:sz w:val="20"/>
              </w:rPr>
              <w:t>Werkbank</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Erzeugung und Prüfung von Artefakten entlang dokumentierter Vorgaben.</w:t>
            </w:r>
          </w:p>
        </w:tc>
        <w:tc>
          <w:tcPr>
            <w:tcW w:type="dxa" w:w="4190"/>
            <w:vAlign w:val="center"/>
            <w:tcMar>
              <w:top w:w="75" w:type="dxa"/>
              <w:bottom w:w="75" w:type="dxa"/>
              <w:left w:w="95" w:type="dxa"/>
              <w:right w:w="95" w:type="dxa"/>
            </w:tcMar>
            <w:tcBorders>
              <w:bottom w:val="single" w:sz="4" w:color="CDD7DE"/>
            </w:tcBorders>
          </w:tcPr>
          <w:p>
            <w:pPr>
              <w:pStyle w:val="TableBody"/>
            </w:pPr>
            <w:r>
              <w:rPr>
                <w:sz w:val="20"/>
              </w:rPr>
              <w:t>Prüfertrennung; Freigaben, Restbefunde, Versionen und belastbare Nachweise.</w:t>
            </w:r>
          </w:p>
        </w:tc>
      </w:tr>
    </w:tbl>
    <w:p>
      <w:pPr>
        <w:pStyle w:val="Small"/>
      </w:pPr>
      <w:r/>
    </w:p>
    <w:p>
      <w:pPr>
        <w:pStyle w:val="Small"/>
      </w:pPr>
      <w:r>
        <w:t>Grundlagen: fünf Manifeste [G2], KAIRON-Handbuch [G3], Werkbank-Handbuch [G4] und Rahmenbedingungen [G5]. Das Erklärdokument verbindet Werte, Prinzipien, technische Regeln und Nachweise und trennt diese Ableitung von der Erzählrichtung eines Vortrags. [G6]</w:t>
      </w:r>
    </w:p>
    <w:p>
      <w:pPr>
        <w:pStyle w:val="Heading2"/>
      </w:pPr>
      <w:r>
        <w:t>Was der vorhandene Bestand bereits leistet</w:t>
      </w:r>
    </w:p>
    <w:p>
      <w:r/>
      <w:r>
        <w:rPr>
          <w:b/>
        </w:rPr>
        <w:t>KAIRON ist ein Entwicklungsprototyp</w:t>
      </w:r>
      <w:r>
        <w:t>, kein Produktivsystem. Der im Handbuch beschriebene Stand verwendet eine regelbasierte Deutungsschicht; er ist nicht mit einer KI-basierten Entscheidungsautomatisierung gleichzusetzen. [G3, S. 3]</w:t>
      </w:r>
    </w:p>
    <w:p>
      <w:r>
        <w:t>Manifeste und Architekturregeln formulieren Ansprüche. Handbücher dokumentieren bestimmte Entwicklungsstände und Beobachtungen. Das Paper begrenzt seine wissenschaftliche Evaluation auf ausgewählte Mechanismen. Diese Dokumentarten begründen unterschiedliche Aussagen; sie sind keine austauschbaren Wirksamkeitsnachweise. [G1, Abschn. 5.1; G5, Abschn. 11]</w:t>
      </w:r>
    </w:p>
    <w:p>
      <w:pPr>
        <w:pStyle w:val="Small"/>
      </w:pPr>
      <w:r>
        <w:t>Die Werkbank-Unterlagen enthalten zudem unterschiedliche Aussagen zum abgeschotteten Netzzugang. Dieser Implementierungsstand ist vor einer darauf gestützten Studie oder Vorführung zu klären. [G4, S. 16; G5, Abschn. 8.3 und 11]</w:t>
      </w:r>
    </w:p>
    <w:p>
      <w:pPr>
        <w:spacing w:before="0" w:after="0" w:line="240" w:lineRule="auto"/>
      </w:pPr>
      <w:r>
        <w:br w:type="page"/>
      </w:r>
    </w:p>
    <w:p>
      <w:pPr>
        <w:pStyle w:val="Heading1"/>
      </w:pPr>
      <w:r>
        <w:t>2  Ausgangspaper und Forschungslinie A</w:t>
      </w:r>
    </w:p>
    <w:p>
      <w:pPr>
        <w:pStyle w:val="Heading2"/>
      </w:pPr>
      <w:r>
        <w:t>P0 - Where Judgement Is Reserved</w:t>
      </w:r>
    </w:p>
    <w:p>
      <w:r/>
      <w:r>
        <w:rPr>
          <w:b/>
        </w:rPr>
        <w:t>Vollständiger Titel:</w:t>
      </w:r>
      <w:r>
        <w:t xml:space="preserve"> Where Judgement Is Reserved: A Design-Science Account of Practical Wisdom in AI-Supported Project Decisions. </w:t>
      </w:r>
      <w:r>
        <w:rPr>
          <w:b/>
        </w:rPr>
        <w:t>Stand:</w:t>
      </w:r>
      <w:r>
        <w:t xml:space="preserve"> V0.7.2, Nummerierung korrigiert; Autoren- und anonymisierte Begutachtungsfassung liegen vor. Eine Einreichung oder Annahme ist im vorliegenden Arbeitsstand nicht dokumentiert. [G1]</w:t>
      </w:r>
    </w:p>
    <w:p>
      <w:r/>
      <w:r>
        <w:rPr>
          <w:b/>
        </w:rPr>
        <w:t>Beitrag:</w:t>
      </w:r>
      <w:r>
        <w:t xml:space="preserve"> Structural reservation mit den Bedingungen priority, non-degeneracy und consequentiality; die Judgement Occasion Rate (JOR) als struktureller Abdeckungsindikator; der Silent-Narrowing-Test gegen unbemerkte Einschränkung erforderlicher Urteilsgelegenheiten. Die Zählung ist an geeignete Entscheidungsereignisse, Zeitfenster und eine Version der Eignungsregeln gebunden. [G1, Abschn. 3.4-3.5]</w:t>
      </w:r>
    </w:p>
    <w:p>
      <w:r/>
      <w:r>
        <w:rPr>
          <w:b/>
        </w:rPr>
        <w:t>Evaluation:</w:t>
      </w:r>
      <w:r>
        <w:t xml:space="preserve"> Gezielte statische Selbstinspektion und ausgewählte Quellcodevergleiche. Der gemeinsame Befund ist die Trennung zwischen Repräsentation und Aktivierung: Ein Einwand, eine Beobachtung oder eine Annahme kann erfasst sein, ohne eine wirksame Entscheidungsfolge auszulösen. Die Tools-first-Hypothese ist eine zu prüfende Deutung, kein nachgewiesener Kausalmechanismus. [G1, Abschn. 5]</w:t>
      </w:r>
    </w:p>
    <w:p>
      <w:r/>
      <w:r>
        <w:rPr>
          <w:b/>
        </w:rPr>
        <w:t>Noch nicht gezeigt:</w:t>
      </w:r>
      <w:r>
        <w:t xml:space="preserve"> zuverlässige Klassifikation im Betrieb, tatsächliche Nutzung reservierter Gelegenheiten oder langfristiger Fähigkeitserhalt. Die im Handbuch berichteten Softwaretests sind davon getrennt. [G1, Abschn. 5.1 und 6.4; G3, Abschn. 8]</w:t>
      </w:r>
    </w:p>
    <w:p>
      <w:pPr>
        <w:pStyle w:val="Heading2"/>
      </w:pPr>
      <w:r>
        <w:t>A - Urteilsgelegenheiten, Nutzung und Lernen</w:t>
      </w:r>
    </w:p>
    <w:p>
      <w:r/>
      <w:r>
        <w:rPr>
          <w:b/>
        </w:rPr>
        <w:t>Leitfrage.</w:t>
      </w:r>
      <w:r>
        <w:t xml:space="preserve"> Wie werden eigenständige Urteilsgelegenheiten zuverlässig erfasst, wer kann sie tatsächlich nutzen und welche Folgen hat dies für Urteilspraxis und aufgabenbezogene Fähigkeiten?</w:t>
      </w:r>
    </w:p>
    <w:p>
      <w:r/>
      <w:r>
        <w:rPr>
          <w:b/>
        </w:rPr>
        <w:t>Erster Anschluss.</w:t>
      </w:r>
      <w:r>
        <w:t xml:space="preserve"> Einen Kodierleitfaden und einen begrenzten Fallkorpus entwickeln. Unabhängige Personen beurteilen Eignung und die drei Reservierungsbedingungen. Unterschiede, fehlende Nachweise und Grenzfälle werden dokumentiert. Ergebnis wäre eine Untersuchung der Anwendbarkeit und Zuverlässigkeit des Instruments, nicht bereits seiner Wirkung.</w:t>
      </w:r>
    </w:p>
    <w:p>
      <w:r/>
      <w:r>
        <w:rPr>
          <w:b/>
        </w:rPr>
        <w:t>Spätere Vertiefung.</w:t>
      </w:r>
      <w:r>
        <w:t xml:space="preserve"> Nach einer belastbaren Erhebung können Arbeitsbelastung, Hierarchie, Verteilung der Gelegenheiten, tatsächliche Ausübung und Rückmeldung untersucht werden. Eine längerfristige Studie müsste Kompetenzveränderungen separat messen und Ausgangsfähigkeiten berücksichtigen. [G1, Abschn. 6.4]</w:t>
      </w:r>
    </w:p>
    <w:p>
      <w:r/>
      <w:r>
        <w:rPr>
          <w:b/>
        </w:rPr>
        <w:t>Mögliche Publikationen.</w:t>
      </w:r>
      <w:r>
        <w:t xml:space="preserve"> Zuerst eine Instrumentenstudie; danach eine gesonderte Untersuchung von Nutzung und Verteilung; bei geeigneter Datenlage eine Längsschnittarbeit zu Lernen und Fähigkeitserhalt.</w:t>
      </w:r>
    </w:p>
    <w:p>
      <w:pPr>
        <w:pStyle w:val="Lead"/>
      </w:pPr>
      <w:r/>
      <w:r>
        <w:rPr>
          <w:b/>
        </w:rPr>
        <w:t>Zentrale Trennung:</w:t>
      </w:r>
      <w:r>
        <w:t xml:space="preserve"> strukturell vorhanden ≠ zugänglich ≠ wirksam genutzt ≠ langfristig fähigkeitserhaltend. Eine hohe JOR ist weder ein Kompetenznachweis noch ein Nachweis rechtmässiger Einzelentscheidungen.</w:t>
      </w:r>
    </w:p>
    <w:p>
      <w:pPr>
        <w:spacing w:before="0" w:after="0" w:line="240" w:lineRule="auto"/>
      </w:pPr>
      <w:r>
        <w:br w:type="page"/>
      </w:r>
    </w:p>
    <w:p>
      <w:pPr>
        <w:pStyle w:val="Heading1"/>
      </w:pPr>
      <w:r>
        <w:t>3  Forschungslinien B und C</w:t>
      </w:r>
    </w:p>
    <w:p>
      <w:pPr>
        <w:pStyle w:val="Heading2"/>
      </w:pPr>
      <w:r>
        <w:t>B - Vom Governance-Anspruch zum wirksamen Mechanismus</w:t>
      </w:r>
    </w:p>
    <w:p>
      <w:r/>
      <w:r>
        <w:rPr>
          <w:b/>
        </w:rPr>
        <w:t>Leitfrage.</w:t>
      </w:r>
      <w:r>
        <w:t xml:space="preserve"> Unter welchen Bedingungen werden anspruchsvolle Governance-Vorgaben durch vertraute, aber schwächere Implementierungen ersetzt - und welche Gestaltung verhindert dies?</w:t>
      </w:r>
    </w:p>
    <w:p>
      <w:r>
        <w:t>Die Tools-first-Hypothese aus dem Paper liefert den Ausgangspunkt: Ein Kommentar tritt an die Stelle fortbestehenden Dissenses, ein Rückweg an die Stelle fälliger Neubewertung oder ein gespeichertes Kontextobjekt an die Stelle kontextabhängiger Aktivierung. Die Quellgeschichte dokumentiert eine Reihenfolge; sie erklärt noch nicht Entwicklungsaufwand, Prioritäten oder Motive. [G1, Abschn. 5.2-5.3]</w:t>
      </w:r>
    </w:p>
    <w:p>
      <w:r/>
      <w:r>
        <w:rPr>
          <w:b/>
        </w:rPr>
        <w:t>Mögliches Vorgehen.</w:t>
      </w:r>
      <w:r>
        <w:t xml:space="preserve"> Anforderung, Begründung, Spezifikation, Codepfad und Nachweis systematisch verknüpfen. Mehrere Umsetzungen oder Entwicklungsverläufe vergleichen; auch bewusst anders umgesetzte oder gescheiterte Fälle einbeziehen. Zeitdruck, Priorisierung und veränderte Anforderungen als alternative Erklärungen prüfen.</w:t>
      </w:r>
    </w:p>
    <w:p>
      <w:r/>
      <w:r>
        <w:rPr>
          <w:b/>
        </w:rPr>
        <w:t>Möglicher neuer Beitrag.</w:t>
      </w:r>
      <w:r>
        <w:t xml:space="preserve"> Eine empirisch gestützte Erklärung oder eine geprüfte Gestaltungsmethode für die Lücke zwischen Repräsentation und Wirkung. Ein grösseres Architekturdiagramm allein wäre noch kein solcher Beitrag.</w:t>
      </w:r>
    </w:p>
    <w:p>
      <w:r/>
      <w:r>
        <w:rPr>
          <w:b/>
        </w:rPr>
        <w:t>Material und Stand.</w:t>
      </w:r>
      <w:r>
        <w:t xml:space="preserve"> KAIRON, Architekturregeln und Negativraum sind Ausgangsmaterial. Die Fallauswahl und das Vergleichsdesign sind offen. [G3; G5, Abschn. 4-5]</w:t>
      </w:r>
    </w:p>
    <w:p>
      <w:pPr>
        <w:pStyle w:val="Heading2"/>
      </w:pPr>
      <w:r>
        <w:t>C - Qualität von KI-gestützter Erzeugung und Prüfung</w:t>
      </w:r>
    </w:p>
    <w:p>
      <w:r/>
      <w:r>
        <w:rPr>
          <w:b/>
        </w:rPr>
        <w:t>Leitfrage.</w:t>
      </w:r>
      <w:r>
        <w:t xml:space="preserve"> Wann verbessern getrennte Erzeuger und Prüfer die Qualität eines Artefakts, und welche Rolle spielen geteilte Fehlermuster, Informationszugang und Abnahmekriterien?</w:t>
      </w:r>
    </w:p>
    <w:p>
      <w:r>
        <w:t>Die Werkbank dokumentiert einen Vergleich von Selbstprüfung und getrennter Prüfung sowie das Problem, dass sinkende Befundzahlen auch durch Auslassen oder Zusammenfassen entstehen können. Diese Beobachtungen motivieren eine Studie; die Anzahl gefundener Mängel ist noch kein allgemeines Qualitätsmass. [G4, S. 11-13; G5, Abschn. 9]</w:t>
      </w:r>
    </w:p>
    <w:p>
      <w:r/>
      <w:r>
        <w:rPr>
          <w:b/>
        </w:rPr>
        <w:t>Mögliches Vorgehen.</w:t>
      </w:r>
      <w:r>
        <w:t xml:space="preserve"> Identische Prüfgegenstände und vorab definierte Kriterien verwenden. Selbstprüfung, getrennte Instanzen und gegebenenfalls unterschiedliche Modelle vergleichen. Befunde unabhängig auf Richtigkeit und Schwere beurteilen; Fehlalarme, übersehene Fehler, gemeinsamen Fehleranteil und Aufwand erfassen.</w:t>
      </w:r>
    </w:p>
    <w:p>
      <w:r/>
      <w:r>
        <w:rPr>
          <w:b/>
        </w:rPr>
        <w:t>Möglicher neuer Beitrag.</w:t>
      </w:r>
      <w:r>
        <w:t xml:space="preserve"> Eine Evaluation von Prüfqualität und Grenzen der Prüfertrennung. Konvergenz, schweigender Prüfer und korrekter Gegenstand bleiben drei verschiedene Dinge.</w:t>
      </w:r>
    </w:p>
    <w:p>
      <w:r/>
      <w:r>
        <w:rPr>
          <w:b/>
        </w:rPr>
        <w:t>Material und Stand.</w:t>
      </w:r>
      <w:r>
        <w:t xml:space="preserve"> Werkbank-Läufe, Artefakte, Prüfprotokolle und dokumentierte Entwicklungsbeobachtungen. Ein kontrolliertes Evaluationsdesign und unabhängige Bewertung fehlen noch.</w:t>
      </w:r>
    </w:p>
    <w:p>
      <w:pPr>
        <w:spacing w:before="0" w:after="0" w:line="240" w:lineRule="auto"/>
      </w:pPr>
      <w:r>
        <w:br w:type="page"/>
      </w:r>
    </w:p>
    <w:p>
      <w:pPr>
        <w:pStyle w:val="Heading1"/>
      </w:pPr>
      <w:r>
        <w:t>4  Forschungslinien D und E</w:t>
      </w:r>
    </w:p>
    <w:p>
      <w:pPr>
        <w:pStyle w:val="Heading2"/>
      </w:pPr>
      <w:r>
        <w:t>D - Rechtliche Autorität und menschliche Mitwirkung</w:t>
      </w:r>
    </w:p>
    <w:p>
      <w:r/>
      <w:r>
        <w:rPr>
          <w:b/>
        </w:rPr>
        <w:t>Leitfrage.</w:t>
      </w:r>
      <w:r>
        <w:t xml:space="preserve"> Welche Qualität menschlicher Mitwirkung ist rechtlich erforderlich, wenn automatisierte Systeme Entscheidungen vorbereiten, prägen oder treffen - und warum?</w:t>
      </w:r>
    </w:p>
    <w:p>
      <w:r/>
      <w:r>
        <w:rPr>
          <w:b/>
        </w:rPr>
        <w:t>Rechtstheorie und Rechtsphilosophie:</w:t>
      </w:r>
      <w:r>
        <w:t xml:space="preserve"> Unterscheiden zwischen zutreffender Prognose, gerechtfertigter Rechtsentscheidung, legitimer Zuständigkeit und zurechenbarer Verantwortung. Prüfen, ob menschliche Beteiligung mit besserer Leistung, öffentlicher Rechtfertigung, demokratischer Legitimation oder der Stellung der Betroffenen begründet wird. Diese Begründungen müssen nicht zu denselben Automatisierungsgrenzen führen.</w:t>
      </w:r>
    </w:p>
    <w:p>
      <w:r/>
      <w:r>
        <w:rPr>
          <w:b/>
        </w:rPr>
        <w:t>Konkrete Rechtsanwendung:</w:t>
      </w:r>
      <w:r>
        <w:t xml:space="preserve"> Einen bestimmten schweizerischen Entscheidungsbereich auswählen und geltende Anforderungen an Information, Anhörung, Begründung, Überprüfung und Rechtsschutz untersuchen. Art. 21 DSG ist ein Recherchestartpunkt für automatisierte Einzelentscheidungen, einschliesslich seiner Voraussetzungen und Ausnahmen. [R2]</w:t>
      </w:r>
    </w:p>
    <w:p>
      <w:r/>
      <w:r>
        <w:rPr>
          <w:b/>
        </w:rPr>
        <w:t>Methode und Beitrag.</w:t>
      </w:r>
      <w:r>
        <w:t xml:space="preserve"> Rechtsdogmatische Analyse und begründete normative Argumentation; gezielte Rechtsvergleichung nur dort, wo sie die Frage klärt. Möglicher Beitrag: Kriterien für substanzielle statt nur formale menschliche Mitwirkung.</w:t>
      </w:r>
    </w:p>
    <w:p>
      <w:r/>
      <w:r>
        <w:rPr>
          <w:b/>
        </w:rPr>
        <w:t>Grenze:</w:t>
      </w:r>
      <w:r>
        <w:t xml:space="preserve"> Die priority-Bedingung des Papers ist nicht automatisch geltendes Recht. Berufliche Übung allein begründet noch keinen Vorrang menschlicher Entscheidung gegenüber den Interessen Betroffener.</w:t>
      </w:r>
    </w:p>
    <w:p>
      <w:pPr>
        <w:pStyle w:val="Heading2"/>
      </w:pPr>
      <w:r>
        <w:t>E - Recht im Code, Nachweise und Schutzrechte</w:t>
      </w:r>
    </w:p>
    <w:p>
      <w:r/>
      <w:r>
        <w:rPr>
          <w:b/>
        </w:rPr>
        <w:t>Leitfrage.</w:t>
      </w:r>
      <w:r>
        <w:t xml:space="preserve"> Wo wird aus technischer Umsetzung eine rechtlich relevante Festlegung, und wie bleiben deren Urheber, Begründung und Folgen überprüfbar?</w:t>
      </w:r>
    </w:p>
    <w:p>
      <w:r>
        <w:t xml:space="preserve">Im Zentrum steht die Kette </w:t>
      </w:r>
      <w:r>
        <w:rPr>
          <w:b/>
        </w:rPr>
        <w:t>Rechtsnorm → Auslegung → Spezifikation → Konfiguration → Einzelfallentscheidung</w:t>
      </w:r>
      <w:r>
        <w:t>. Untersuchbar sind die Behandlung rechtlich zulässiger Ausnahmen, ausgeschlossene Eingaben, verdeckte Bewertungsregeln und Bedeutungsänderungen bei neuen Versionen. BGE 141 III 173, E. 3.2.1, bietet einen konkreten Ausgangspunkt zu technisch geprägten Anforderungen an Betreibungsbegehren. [R3]</w:t>
      </w:r>
    </w:p>
    <w:p>
      <w:r>
        <w:t xml:space="preserve">Drei Teilfragen bleiben getrennt bearbeitbar: </w:t>
      </w:r>
      <w:r>
        <w:rPr>
          <w:b/>
        </w:rPr>
        <w:t>Verfahrensschutz</w:t>
      </w:r>
      <w:r>
        <w:t xml:space="preserve"> gegen stille Verengung; </w:t>
      </w:r>
      <w:r>
        <w:rPr>
          <w:b/>
        </w:rPr>
        <w:t>Beweis und Zurechnung</w:t>
      </w:r>
      <w:r>
        <w:t xml:space="preserve"> bei Protokollen, Freigaben und Identitäten; </w:t>
      </w:r>
      <w:r>
        <w:rPr>
          <w:b/>
        </w:rPr>
        <w:t>Datenschutz und abgeleitetes Wissen</w:t>
      </w:r>
      <w:r>
        <w:t>, wenn Grundlagen berichtigt, ihre Nutzung beendet oder Einwilligungen widerrufen werden. Nicht jeder dieser Vorgänge hat dieselben Rechtsfolgen.</w:t>
      </w:r>
    </w:p>
    <w:p>
      <w:r/>
      <w:r>
        <w:rPr>
          <w:b/>
        </w:rPr>
        <w:t>Methode und Beitrag.</w:t>
      </w:r>
      <w:r>
        <w:t xml:space="preserve"> Begrenzte Fallanalysen mit rechtsdogmatischer Prüfung; gegebenenfalls eine technische Nachweiskette als Untersuchungsgegenstand. Der erste Artikel sollte nur eine der Teilfragen behandeln. Ein gespeicherter Name und ein technisches Protokoll sind nicht ohne Weiteres ein vollständiger Zurechnungsnachweis. [G3, Befund B1]</w:t>
      </w:r>
    </w:p>
    <w:p>
      <w:pPr>
        <w:pStyle w:val="Small"/>
      </w:pPr>
      <w:r/>
      <w:r>
        <w:rPr>
          <w:b/>
        </w:rPr>
        <w:t>Stand D/E:</w:t>
      </w:r>
      <w:r>
        <w:t xml:space="preserve"> Forschungsansätze, noch keine fertigen juristischen Manuskripte. Die konkrete Rechtsordnung, das Verfahren und der Geltungsanspruch sind pro Arbeit festzulegen.</w:t>
      </w:r>
    </w:p>
    <w:p>
      <w:pPr>
        <w:spacing w:before="0" w:after="0" w:line="240" w:lineRule="auto"/>
      </w:pPr>
      <w:r>
        <w:br w:type="page"/>
      </w:r>
    </w:p>
    <w:p>
      <w:pPr>
        <w:pStyle w:val="Heading1"/>
      </w:pPr>
      <w:r>
        <w:t>5  Forschungslinie F und geografischer Zuschnitt</w:t>
      </w:r>
    </w:p>
    <w:p>
      <w:pPr>
        <w:pStyle w:val="Heading2"/>
      </w:pPr>
      <w:r>
        <w:t>F - Agile und lernfähige Rechtsetzung</w:t>
      </w:r>
    </w:p>
    <w:p>
      <w:r/>
      <w:r>
        <w:rPr>
          <w:b/>
        </w:rPr>
        <w:t>Leitfrage.</w:t>
      </w:r>
      <w:r>
        <w:t xml:space="preserve"> Wie kann Gesetzgebung aus Erfahrungen lernen, ohne Rechtssicherheit, demokratische Zuständigkeiten und wirksame Beteiligung durch technische Vorentscheidungen auszuhöhlen?</w:t>
      </w:r>
    </w:p>
    <w:p>
      <w:r>
        <w:t xml:space="preserve">Für die Begriffsarbeit sind drei Ebenen zu unterscheiden: </w:t>
      </w:r>
      <w:r>
        <w:rPr>
          <w:b/>
        </w:rPr>
        <w:t>agile Arbeit am Entwurf</w:t>
      </w:r>
      <w:r>
        <w:t xml:space="preserve">, </w:t>
      </w:r>
      <w:r>
        <w:rPr>
          <w:b/>
        </w:rPr>
        <w:t>experimentelle Rechtsetzung</w:t>
      </w:r>
      <w:r>
        <w:t xml:space="preserve"> in einem rechtlich begrenzten Erprobungsrahmen und </w:t>
      </w:r>
      <w:r>
        <w:rPr>
          <w:b/>
        </w:rPr>
        <w:t>lernende Rechtsetzung</w:t>
      </w:r>
      <w:r>
        <w:t xml:space="preserve"> mit Evaluation und erneuter Entscheidung. Diese Unterscheidung ist eine Arbeitsgliederung, keine Behauptung einer einheitlich etablierten Definition.</w:t>
      </w:r>
    </w:p>
    <w:p>
      <w:r>
        <w:t>Der schweizerische Diskussionsbezug ist konkret: Michael Montavon behandelte am Forum für Rechtsetzung vom 25. April 2024 experimentelle Gesetzgebung und einen "agilen" Rechtsetzungsprozess. Seine Darstellung thematisiert auch Reversibilität, technische Vorfestlegung und späte parlamentarische Beteiligung. Art. 170 BV und seine Umsetzung bilden einen weiteren Ausgangspunkt zur Wirksamkeitsüberprüfung. [R4; R5]</w:t>
      </w:r>
    </w:p>
    <w:p>
      <w:r/>
      <w:r>
        <w:rPr>
          <w:b/>
        </w:rPr>
        <w:t>Mögliches Vorgehen.</w:t>
      </w:r>
      <w:r>
        <w:t xml:space="preserve"> Ausgewählte Experimentier- und Evaluationsklauseln vergleichen. Lernziel, Dauer, Reichweite, Zuständigkeit, Beteiligung, Rückkehrmöglichkeit und Folgen der Evaluation untersuchen. Anschliessend anhand dokumentierter Fälle prüfen, ob eine Evaluation tatsächlich eine erneute politische Entscheidung erreicht.</w:t>
      </w:r>
    </w:p>
    <w:p>
      <w:r/>
      <w:r>
        <w:rPr>
          <w:b/>
        </w:rPr>
        <w:t>Möglicher neuer Beitrag.</w:t>
      </w:r>
      <w:r>
        <w:t xml:space="preserve"> Eine rechtlich begründete Ordnung institutioneller Lernprozesse oder ein belastbarer Vergleich ihrer Umsetzung. Ein technischer Prüfauslöser, eine Evaluationspflicht und die Änderung eines Gesetzes bleiben verschiedene Vorgänge.</w:t>
      </w:r>
    </w:p>
    <w:p>
      <w:pPr>
        <w:pStyle w:val="Small"/>
      </w:pPr>
      <w:r/>
      <w:r>
        <w:rPr>
          <w:b/>
        </w:rPr>
        <w:t>Stand:</w:t>
      </w:r>
      <w:r>
        <w:t xml:space="preserve"> Eigenständiger Forschungsansatz. Der erwähnte NZZ-Artikel liegt noch nicht vor; ihm wird deshalb kein bestimmter Inhalt zugeschrieben. Die Untersuchung kann zunächst ohne KI erfolgen und danach die besonderen Folgen der Automatisierung herausarbeiten.</w:t>
      </w:r>
    </w:p>
    <w:p>
      <w:pPr>
        <w:pStyle w:val="Heading2"/>
      </w:pPr>
      <w:r>
        <w:t>Schweiz, Europa oder weltweit?</w:t>
      </w:r>
    </w:p>
    <w:tbl>
      <w:tblPr>
        <w:tblW w:type="auto" w:w="0"/>
        <w:jc w:val="center"/>
        <w:tblLayout w:type="fixed"/>
        <w:tblLook w:firstColumn="1" w:firstRow="1" w:lastColumn="0" w:lastRow="0" w:noHBand="0" w:noVBand="1" w:val="04A0"/>
      </w:tblPr>
      <w:tblGrid>
        <w:gridCol w:w="1440"/>
        <w:gridCol w:w="4320"/>
        <w:gridCol w:w="4320"/>
      </w:tblGrid>
      <w:tr>
        <w:trPr>
          <w:tblHeader/>
          <w:cantSplit/>
        </w:trPr>
        <w:tc>
          <w:tcPr>
            <w:tcW w:type="dxa" w:w="1440"/>
            <w:vAlign w:val="center"/>
            <w:shd w:fill="EAF0F3"/>
            <w:tcMar>
              <w:top w:w="75" w:type="dxa"/>
              <w:bottom w:w="75" w:type="dxa"/>
              <w:left w:w="95" w:type="dxa"/>
              <w:right w:w="95" w:type="dxa"/>
            </w:tcMar>
            <w:tcBorders>
              <w:bottom w:val="single" w:sz="4" w:color="CDD7DE"/>
            </w:tcBorders>
          </w:tcPr>
          <w:p>
            <w:pPr>
              <w:pStyle w:val="TableBody"/>
              <w:keepNext/>
            </w:pPr>
            <w:r>
              <w:rPr>
                <w:b/>
                <w:color w:val="18364A"/>
              </w:rPr>
              <w:t>Ebene</w:t>
            </w:r>
          </w:p>
        </w:tc>
        <w:tc>
          <w:tcPr>
            <w:tcW w:type="dxa" w:w="4320"/>
            <w:vAlign w:val="center"/>
            <w:shd w:fill="EAF0F3"/>
            <w:tcMar>
              <w:top w:w="75" w:type="dxa"/>
              <w:bottom w:w="75" w:type="dxa"/>
              <w:left w:w="95" w:type="dxa"/>
              <w:right w:w="95" w:type="dxa"/>
            </w:tcMar>
            <w:tcBorders>
              <w:bottom w:val="single" w:sz="4" w:color="CDD7DE"/>
            </w:tcBorders>
          </w:tcPr>
          <w:p>
            <w:pPr>
              <w:pStyle w:val="TableBody"/>
              <w:keepNext/>
            </w:pPr>
            <w:r>
              <w:rPr>
                <w:b/>
                <w:color w:val="18364A"/>
              </w:rPr>
              <w:t>Empfohlene Funktion</w:t>
            </w:r>
          </w:p>
        </w:tc>
        <w:tc>
          <w:tcPr>
            <w:tcW w:type="dxa" w:w="4320"/>
            <w:vAlign w:val="center"/>
            <w:shd w:fill="EAF0F3"/>
            <w:tcMar>
              <w:top w:w="75" w:type="dxa"/>
              <w:bottom w:w="75" w:type="dxa"/>
              <w:left w:w="95" w:type="dxa"/>
              <w:right w:w="95" w:type="dxa"/>
            </w:tcMar>
            <w:tcBorders>
              <w:bottom w:val="single" w:sz="4" w:color="CDD7DE"/>
            </w:tcBorders>
          </w:tcPr>
          <w:p>
            <w:pPr>
              <w:pStyle w:val="TableBody"/>
              <w:keepNext/>
            </w:pPr>
            <w:r>
              <w:rPr>
                <w:b/>
                <w:color w:val="18364A"/>
              </w:rPr>
              <w:t>Abgrenzung</w:t>
            </w:r>
          </w:p>
        </w:tc>
      </w:tr>
      <w:tr>
        <w:trPr>
          <w:cantSplit/>
        </w:trPr>
        <w:tc>
          <w:tcPr>
            <w:tcW w:type="dxa" w:w="1440"/>
            <w:vAlign w:val="center"/>
            <w:tcMar>
              <w:top w:w="75" w:type="dxa"/>
              <w:bottom w:w="75" w:type="dxa"/>
              <w:left w:w="95" w:type="dxa"/>
              <w:right w:w="95" w:type="dxa"/>
            </w:tcMar>
            <w:tcBorders>
              <w:bottom w:val="single" w:sz="4" w:color="CDD7DE"/>
            </w:tcBorders>
          </w:tcPr>
          <w:p>
            <w:pPr>
              <w:pStyle w:val="TableBody"/>
            </w:pPr>
            <w:r>
              <w:rPr>
                <w:sz w:val="20"/>
              </w:rPr>
              <w:t>Schweiz</w:t>
            </w:r>
          </w:p>
        </w:tc>
        <w:tc>
          <w:tcPr>
            <w:tcW w:type="dxa" w:w="4320"/>
            <w:vAlign w:val="center"/>
            <w:tcMar>
              <w:top w:w="75" w:type="dxa"/>
              <w:bottom w:w="75" w:type="dxa"/>
              <w:left w:w="95" w:type="dxa"/>
              <w:right w:w="95" w:type="dxa"/>
            </w:tcMar>
            <w:tcBorders>
              <w:bottom w:val="single" w:sz="4" w:color="CDD7DE"/>
            </w:tcBorders>
          </w:tcPr>
          <w:p>
            <w:pPr>
              <w:pStyle w:val="TableBody"/>
            </w:pPr>
            <w:r>
              <w:rPr>
                <w:sz w:val="20"/>
              </w:rPr>
              <w:t>Ausgangspunkt für erste rechtsdogmatische Arbeiten und konkrete Verfahren.</w:t>
            </w:r>
          </w:p>
        </w:tc>
        <w:tc>
          <w:tcPr>
            <w:tcW w:type="dxa" w:w="4320"/>
            <w:vAlign w:val="center"/>
            <w:tcMar>
              <w:top w:w="75" w:type="dxa"/>
              <w:bottom w:w="75" w:type="dxa"/>
              <w:left w:w="95" w:type="dxa"/>
              <w:right w:w="95" w:type="dxa"/>
            </w:tcMar>
            <w:tcBorders>
              <w:bottom w:val="single" w:sz="4" w:color="CDD7DE"/>
            </w:tcBorders>
          </w:tcPr>
          <w:p>
            <w:pPr>
              <w:pStyle w:val="TableBody"/>
            </w:pPr>
            <w:r>
              <w:rPr>
                <w:sz w:val="20"/>
              </w:rPr>
              <w:t>Jeweils Bund/Kanton, Rechtsgebiet und Verfahrensart bestimmen.</w:t>
            </w:r>
          </w:p>
        </w:tc>
      </w:tr>
      <w:tr>
        <w:trPr>
          <w:cantSplit/>
        </w:trPr>
        <w:tc>
          <w:tcPr>
            <w:tcW w:type="dxa" w:w="1440"/>
            <w:vAlign w:val="center"/>
            <w:tcMar>
              <w:top w:w="75" w:type="dxa"/>
              <w:bottom w:w="75" w:type="dxa"/>
              <w:left w:w="95" w:type="dxa"/>
              <w:right w:w="95" w:type="dxa"/>
            </w:tcMar>
            <w:tcBorders>
              <w:bottom w:val="single" w:sz="4" w:color="CDD7DE"/>
            </w:tcBorders>
          </w:tcPr>
          <w:p>
            <w:pPr>
              <w:pStyle w:val="TableBody"/>
            </w:pPr>
            <w:r>
              <w:rPr>
                <w:sz w:val="20"/>
              </w:rPr>
              <w:t>Europa</w:t>
            </w:r>
          </w:p>
        </w:tc>
        <w:tc>
          <w:tcPr>
            <w:tcW w:type="dxa" w:w="4320"/>
            <w:vAlign w:val="center"/>
            <w:tcMar>
              <w:top w:w="75" w:type="dxa"/>
              <w:bottom w:w="75" w:type="dxa"/>
              <w:left w:w="95" w:type="dxa"/>
              <w:right w:w="95" w:type="dxa"/>
            </w:tcMar>
            <w:tcBorders>
              <w:bottom w:val="single" w:sz="4" w:color="CDD7DE"/>
            </w:tcBorders>
          </w:tcPr>
          <w:p>
            <w:pPr>
              <w:pStyle w:val="TableBody"/>
            </w:pPr>
            <w:r>
              <w:rPr>
                <w:sz w:val="20"/>
              </w:rPr>
              <w:t>Gezielte Vergleichsebene für eine klar umrissene Rechtsfrage.</w:t>
            </w:r>
          </w:p>
        </w:tc>
        <w:tc>
          <w:tcPr>
            <w:tcW w:type="dxa" w:w="4320"/>
            <w:vAlign w:val="center"/>
            <w:tcMar>
              <w:top w:w="75" w:type="dxa"/>
              <w:bottom w:w="75" w:type="dxa"/>
              <w:left w:w="95" w:type="dxa"/>
              <w:right w:w="95" w:type="dxa"/>
            </w:tcMar>
            <w:tcBorders>
              <w:bottom w:val="single" w:sz="4" w:color="CDD7DE"/>
            </w:tcBorders>
          </w:tcPr>
          <w:p>
            <w:pPr>
              <w:pStyle w:val="TableBody"/>
            </w:pPr>
            <w:r>
              <w:rPr>
                <w:sz w:val="20"/>
              </w:rPr>
              <w:t>EU-Recht, Europarat und einzelne nationale Rechtsordnungen nicht gleichsetzen.</w:t>
            </w:r>
          </w:p>
        </w:tc>
      </w:tr>
      <w:tr>
        <w:trPr>
          <w:cantSplit/>
        </w:trPr>
        <w:tc>
          <w:tcPr>
            <w:tcW w:type="dxa" w:w="1440"/>
            <w:vAlign w:val="center"/>
            <w:tcMar>
              <w:top w:w="75" w:type="dxa"/>
              <w:bottom w:w="75" w:type="dxa"/>
              <w:left w:w="95" w:type="dxa"/>
              <w:right w:w="95" w:type="dxa"/>
            </w:tcMar>
            <w:tcBorders>
              <w:bottom w:val="single" w:sz="4" w:color="CDD7DE"/>
            </w:tcBorders>
          </w:tcPr>
          <w:p>
            <w:pPr>
              <w:pStyle w:val="TableBody"/>
            </w:pPr>
            <w:r>
              <w:rPr>
                <w:sz w:val="20"/>
              </w:rPr>
              <w:t>International</w:t>
            </w:r>
          </w:p>
        </w:tc>
        <w:tc>
          <w:tcPr>
            <w:tcW w:type="dxa" w:w="4320"/>
            <w:vAlign w:val="center"/>
            <w:tcMar>
              <w:top w:w="75" w:type="dxa"/>
              <w:bottom w:w="75" w:type="dxa"/>
              <w:left w:w="95" w:type="dxa"/>
              <w:right w:w="95" w:type="dxa"/>
            </w:tcMar>
            <w:tcBorders>
              <w:bottom w:val="single" w:sz="4" w:color="CDD7DE"/>
            </w:tcBorders>
          </w:tcPr>
          <w:p>
            <w:pPr>
              <w:pStyle w:val="TableBody"/>
            </w:pPr>
            <w:r>
              <w:rPr>
                <w:sz w:val="20"/>
              </w:rPr>
              <w:t>Horizont für Begriffsarbeit, Rechtstheorie und vergleichende Erklärungen.</w:t>
            </w:r>
          </w:p>
        </w:tc>
        <w:tc>
          <w:tcPr>
            <w:tcW w:type="dxa" w:w="4320"/>
            <w:vAlign w:val="center"/>
            <w:tcMar>
              <w:top w:w="75" w:type="dxa"/>
              <w:bottom w:w="75" w:type="dxa"/>
              <w:left w:w="95" w:type="dxa"/>
              <w:right w:w="95" w:type="dxa"/>
            </w:tcMar>
            <w:tcBorders>
              <w:bottom w:val="single" w:sz="4" w:color="CDD7DE"/>
            </w:tcBorders>
          </w:tcPr>
          <w:p>
            <w:pPr>
              <w:pStyle w:val="TableBody"/>
            </w:pPr>
            <w:r>
              <w:rPr>
                <w:sz w:val="20"/>
              </w:rPr>
              <w:t>Keine Weltrechtsübersicht ohne begründete Fallauswahl.</w:t>
            </w:r>
          </w:p>
        </w:tc>
      </w:tr>
    </w:tbl>
    <w:p>
      <w:pPr>
        <w:pStyle w:val="Small"/>
      </w:pPr>
      <w:r/>
    </w:p>
    <w:p>
      <w:pPr>
        <w:pStyle w:val="Lead"/>
      </w:pPr>
      <w:r/>
      <w:r>
        <w:rPr>
          <w:b/>
        </w:rPr>
        <w:t>Empfehlung, noch keine geografische Festlegung:</w:t>
      </w:r>
      <w:r>
        <w:t xml:space="preserve"> Schweizer Ausgangspunkt, gezielte europäische Rechtsvergleichung, international anschlussfähige Fragen. Die Forschungsfrage bestimmt den Vergleich, nicht umgekehrt.</w:t>
      </w:r>
    </w:p>
    <w:p>
      <w:pPr>
        <w:spacing w:before="0" w:after="0" w:line="240" w:lineRule="auto"/>
      </w:pPr>
      <w:r>
        <w:br w:type="page"/>
      </w:r>
    </w:p>
    <w:p>
      <w:pPr>
        <w:pStyle w:val="Heading1"/>
      </w:pPr>
      <w:r>
        <w:t>6  Publikationsfolge und Arbeitssteuerung</w:t>
      </w:r>
    </w:p>
    <w:p>
      <w:r>
        <w:t>Empfehlung: zunächst ein Manuskript abschliessen und höchstens einen Anschluss aktiv entwickeln. Die Reihenfolge ist kein Terminversprechen und kein Auftrag für sechs parallele Papers.</w:t>
      </w:r>
    </w:p>
    <w:tbl>
      <w:tblPr>
        <w:tblW w:type="auto" w:w="0"/>
        <w:jc w:val="center"/>
        <w:tblLayout w:type="fixed"/>
        <w:tblLook w:firstColumn="1" w:firstRow="1" w:lastColumn="0" w:lastRow="0" w:noHBand="0" w:noVBand="1" w:val="04A0"/>
      </w:tblPr>
      <w:tblGrid>
        <w:gridCol w:w="1411"/>
        <w:gridCol w:w="3283"/>
        <w:gridCol w:w="5386"/>
      </w:tblGrid>
      <w:tr>
        <w:trPr>
          <w:tblHeader/>
          <w:cantSplit/>
        </w:trPr>
        <w:tc>
          <w:tcPr>
            <w:tcW w:type="dxa" w:w="1411"/>
            <w:vAlign w:val="center"/>
            <w:shd w:fill="EAF0F3"/>
            <w:tcMar>
              <w:top w:w="75" w:type="dxa"/>
              <w:bottom w:w="75" w:type="dxa"/>
              <w:left w:w="95" w:type="dxa"/>
              <w:right w:w="95" w:type="dxa"/>
            </w:tcMar>
            <w:tcBorders>
              <w:bottom w:val="single" w:sz="4" w:color="CDD7DE"/>
            </w:tcBorders>
          </w:tcPr>
          <w:p>
            <w:pPr>
              <w:pStyle w:val="TableBody"/>
              <w:keepNext/>
            </w:pPr>
            <w:r>
              <w:rPr>
                <w:b/>
                <w:color w:val="18364A"/>
              </w:rPr>
              <w:t>Schritt</w:t>
            </w:r>
          </w:p>
        </w:tc>
        <w:tc>
          <w:tcPr>
            <w:tcW w:type="dxa" w:w="3283"/>
            <w:vAlign w:val="center"/>
            <w:shd w:fill="EAF0F3"/>
            <w:tcMar>
              <w:top w:w="75" w:type="dxa"/>
              <w:bottom w:w="75" w:type="dxa"/>
              <w:left w:w="95" w:type="dxa"/>
              <w:right w:w="95" w:type="dxa"/>
            </w:tcMar>
            <w:tcBorders>
              <w:bottom w:val="single" w:sz="4" w:color="CDD7DE"/>
            </w:tcBorders>
          </w:tcPr>
          <w:p>
            <w:pPr>
              <w:pStyle w:val="TableBody"/>
              <w:keepNext/>
            </w:pPr>
            <w:r>
              <w:rPr>
                <w:b/>
                <w:color w:val="18364A"/>
              </w:rPr>
              <w:t>Vorhaben</w:t>
            </w:r>
          </w:p>
        </w:tc>
        <w:tc>
          <w:tcPr>
            <w:tcW w:type="dxa" w:w="5386"/>
            <w:vAlign w:val="center"/>
            <w:shd w:fill="EAF0F3"/>
            <w:tcMar>
              <w:top w:w="75" w:type="dxa"/>
              <w:bottom w:w="75" w:type="dxa"/>
              <w:left w:w="95" w:type="dxa"/>
              <w:right w:w="95" w:type="dxa"/>
            </w:tcMar>
            <w:tcBorders>
              <w:bottom w:val="single" w:sz="4" w:color="CDD7DE"/>
            </w:tcBorders>
          </w:tcPr>
          <w:p>
            <w:pPr>
              <w:pStyle w:val="TableBody"/>
              <w:keepNext/>
            </w:pPr>
            <w:r>
              <w:rPr>
                <w:b/>
                <w:color w:val="18364A"/>
              </w:rPr>
              <w:t>Entscheidender nächster Nachweis / Entscheid</w:t>
            </w:r>
          </w:p>
        </w:tc>
      </w:tr>
      <w:tr>
        <w:trPr>
          <w:cantSplit/>
        </w:trPr>
        <w:tc>
          <w:tcPr>
            <w:tcW w:type="dxa" w:w="1411"/>
            <w:vAlign w:val="center"/>
            <w:tcMar>
              <w:top w:w="75" w:type="dxa"/>
              <w:bottom w:w="75" w:type="dxa"/>
              <w:left w:w="95" w:type="dxa"/>
              <w:right w:w="95" w:type="dxa"/>
            </w:tcMar>
            <w:tcBorders>
              <w:bottom w:val="single" w:sz="4" w:color="CDD7DE"/>
            </w:tcBorders>
          </w:tcPr>
          <w:p>
            <w:pPr>
              <w:pStyle w:val="TableBody"/>
            </w:pPr>
            <w:r>
              <w:rPr>
                <w:sz w:val="20"/>
              </w:rPr>
              <w:t>Jetzt</w:t>
            </w:r>
          </w:p>
        </w:tc>
        <w:tc>
          <w:tcPr>
            <w:tcW w:type="dxa" w:w="3283"/>
            <w:vAlign w:val="center"/>
            <w:tcMar>
              <w:top w:w="75" w:type="dxa"/>
              <w:bottom w:w="75" w:type="dxa"/>
              <w:left w:w="95" w:type="dxa"/>
              <w:right w:w="95" w:type="dxa"/>
            </w:tcMar>
            <w:tcBorders>
              <w:bottom w:val="single" w:sz="4" w:color="CDD7DE"/>
            </w:tcBorders>
          </w:tcPr>
          <w:p>
            <w:pPr>
              <w:pStyle w:val="TableBody"/>
            </w:pPr>
            <w:r>
              <w:rPr>
                <w:sz w:val="20"/>
              </w:rPr>
              <w:t>P0: IPMA-Manuskript abschliessen</w:t>
            </w:r>
          </w:p>
        </w:tc>
        <w:tc>
          <w:tcPr>
            <w:tcW w:type="dxa" w:w="5386"/>
            <w:vAlign w:val="center"/>
            <w:tcMar>
              <w:top w:w="75" w:type="dxa"/>
              <w:bottom w:w="75" w:type="dxa"/>
              <w:left w:w="95" w:type="dxa"/>
              <w:right w:w="95" w:type="dxa"/>
            </w:tcMar>
            <w:tcBorders>
              <w:bottom w:val="single" w:sz="4" w:color="CDD7DE"/>
            </w:tcBorders>
          </w:tcPr>
          <w:p>
            <w:pPr>
              <w:pStyle w:val="TableBody"/>
            </w:pPr>
            <w:r>
              <w:rPr>
                <w:sz w:val="20"/>
              </w:rPr>
              <w:t>Endkontrolle und Einreichung; Präsentation modular vorbereiten. Manuskript und Vortrag bleiben beim abgegrenzten Beitrag.</w:t>
            </w:r>
          </w:p>
        </w:tc>
      </w:tr>
      <w:tr>
        <w:trPr>
          <w:cantSplit/>
        </w:trPr>
        <w:tc>
          <w:tcPr>
            <w:tcW w:type="dxa" w:w="1411"/>
            <w:vAlign w:val="center"/>
            <w:tcMar>
              <w:top w:w="75" w:type="dxa"/>
              <w:bottom w:w="75" w:type="dxa"/>
              <w:left w:w="95" w:type="dxa"/>
              <w:right w:w="95" w:type="dxa"/>
            </w:tcMar>
            <w:tcBorders>
              <w:bottom w:val="single" w:sz="4" w:color="CDD7DE"/>
            </w:tcBorders>
          </w:tcPr>
          <w:p>
            <w:pPr>
              <w:pStyle w:val="TableBody"/>
            </w:pPr>
            <w:r>
              <w:rPr>
                <w:sz w:val="20"/>
              </w:rPr>
              <w:t>Danach</w:t>
            </w:r>
          </w:p>
        </w:tc>
        <w:tc>
          <w:tcPr>
            <w:tcW w:type="dxa" w:w="3283"/>
            <w:vAlign w:val="center"/>
            <w:tcMar>
              <w:top w:w="75" w:type="dxa"/>
              <w:bottom w:w="75" w:type="dxa"/>
              <w:left w:w="95" w:type="dxa"/>
              <w:right w:w="95" w:type="dxa"/>
            </w:tcMar>
            <w:tcBorders>
              <w:bottom w:val="single" w:sz="4" w:color="CDD7DE"/>
            </w:tcBorders>
          </w:tcPr>
          <w:p>
            <w:pPr>
              <w:pStyle w:val="TableBody"/>
            </w:pPr>
            <w:r>
              <w:rPr>
                <w:sz w:val="20"/>
              </w:rPr>
              <w:t>A: Instrumentenprüfung</w:t>
            </w:r>
          </w:p>
        </w:tc>
        <w:tc>
          <w:tcPr>
            <w:tcW w:type="dxa" w:w="5386"/>
            <w:vAlign w:val="center"/>
            <w:tcMar>
              <w:top w:w="75" w:type="dxa"/>
              <w:bottom w:w="75" w:type="dxa"/>
              <w:left w:w="95" w:type="dxa"/>
              <w:right w:w="95" w:type="dxa"/>
            </w:tcMar>
            <w:tcBorders>
              <w:bottom w:val="single" w:sz="4" w:color="CDD7DE"/>
            </w:tcBorders>
          </w:tcPr>
          <w:p>
            <w:pPr>
              <w:pStyle w:val="TableBody"/>
            </w:pPr>
            <w:r>
              <w:rPr>
                <w:sz w:val="20"/>
              </w:rPr>
              <w:t>Kodierleitfaden, Fallauswahl und unabhängige Beurteilung festlegen.</w:t>
            </w:r>
          </w:p>
        </w:tc>
      </w:tr>
      <w:tr>
        <w:trPr>
          <w:cantSplit/>
        </w:trPr>
        <w:tc>
          <w:tcPr>
            <w:tcW w:type="dxa" w:w="1411"/>
            <w:vAlign w:val="center"/>
            <w:tcMar>
              <w:top w:w="75" w:type="dxa"/>
              <w:bottom w:w="75" w:type="dxa"/>
              <w:left w:w="95" w:type="dxa"/>
              <w:right w:w="95" w:type="dxa"/>
            </w:tcMar>
            <w:tcBorders>
              <w:bottom w:val="single" w:sz="4" w:color="CDD7DE"/>
            </w:tcBorders>
          </w:tcPr>
          <w:p>
            <w:pPr>
              <w:pStyle w:val="TableBody"/>
            </w:pPr>
            <w:r>
              <w:rPr>
                <w:sz w:val="20"/>
              </w:rPr>
              <w:t>Parallel vorbereiten</w:t>
            </w:r>
          </w:p>
        </w:tc>
        <w:tc>
          <w:tcPr>
            <w:tcW w:type="dxa" w:w="3283"/>
            <w:vAlign w:val="center"/>
            <w:tcMar>
              <w:top w:w="75" w:type="dxa"/>
              <w:bottom w:w="75" w:type="dxa"/>
              <w:left w:w="95" w:type="dxa"/>
              <w:right w:w="95" w:type="dxa"/>
            </w:tcMar>
            <w:tcBorders>
              <w:bottom w:val="single" w:sz="4" w:color="CDD7DE"/>
            </w:tcBorders>
          </w:tcPr>
          <w:p>
            <w:pPr>
              <w:pStyle w:val="TableBody"/>
            </w:pPr>
            <w:r>
              <w:rPr>
                <w:sz w:val="20"/>
              </w:rPr>
              <w:t>D oder E: erster juristischer Artikel</w:t>
            </w:r>
          </w:p>
        </w:tc>
        <w:tc>
          <w:tcPr>
            <w:tcW w:type="dxa" w:w="5386"/>
            <w:vAlign w:val="center"/>
            <w:tcMar>
              <w:top w:w="75" w:type="dxa"/>
              <w:bottom w:w="75" w:type="dxa"/>
              <w:left w:w="95" w:type="dxa"/>
              <w:right w:w="95" w:type="dxa"/>
            </w:tcMar>
            <w:tcBorders>
              <w:bottom w:val="single" w:sz="4" w:color="CDD7DE"/>
            </w:tcBorders>
          </w:tcPr>
          <w:p>
            <w:pPr>
              <w:pStyle w:val="TableBody"/>
            </w:pPr>
            <w:r>
              <w:rPr>
                <w:sz w:val="20"/>
              </w:rPr>
              <w:t>Ein Exposé mit Rechtsfrage, Verfahren, Quellenbasis und angestrebtem Beitrag auswählen.</w:t>
            </w:r>
          </w:p>
        </w:tc>
      </w:tr>
      <w:tr>
        <w:trPr>
          <w:cantSplit/>
        </w:trPr>
        <w:tc>
          <w:tcPr>
            <w:tcW w:type="dxa" w:w="1411"/>
            <w:vAlign w:val="center"/>
            <w:tcMar>
              <w:top w:w="75" w:type="dxa"/>
              <w:bottom w:w="75" w:type="dxa"/>
              <w:left w:w="95" w:type="dxa"/>
              <w:right w:w="95" w:type="dxa"/>
            </w:tcMar>
            <w:tcBorders>
              <w:bottom w:val="single" w:sz="4" w:color="CDD7DE"/>
            </w:tcBorders>
          </w:tcPr>
          <w:p>
            <w:pPr>
              <w:pStyle w:val="TableBody"/>
            </w:pPr>
            <w:r>
              <w:rPr>
                <w:sz w:val="20"/>
              </w:rPr>
              <w:t>Nach Datenzugang</w:t>
            </w:r>
          </w:p>
        </w:tc>
        <w:tc>
          <w:tcPr>
            <w:tcW w:type="dxa" w:w="3283"/>
            <w:vAlign w:val="center"/>
            <w:tcMar>
              <w:top w:w="75" w:type="dxa"/>
              <w:bottom w:w="75" w:type="dxa"/>
              <w:left w:w="95" w:type="dxa"/>
              <w:right w:w="95" w:type="dxa"/>
            </w:tcMar>
            <w:tcBorders>
              <w:bottom w:val="single" w:sz="4" w:color="CDD7DE"/>
            </w:tcBorders>
          </w:tcPr>
          <w:p>
            <w:pPr>
              <w:pStyle w:val="TableBody"/>
            </w:pPr>
            <w:r>
              <w:rPr>
                <w:sz w:val="20"/>
              </w:rPr>
              <w:t>B oder C: vergleichende Untersuchung</w:t>
            </w:r>
          </w:p>
        </w:tc>
        <w:tc>
          <w:tcPr>
            <w:tcW w:type="dxa" w:w="5386"/>
            <w:vAlign w:val="center"/>
            <w:tcMar>
              <w:top w:w="75" w:type="dxa"/>
              <w:bottom w:w="75" w:type="dxa"/>
              <w:left w:w="95" w:type="dxa"/>
              <w:right w:w="95" w:type="dxa"/>
            </w:tcMar>
            <w:tcBorders>
              <w:bottom w:val="single" w:sz="4" w:color="CDD7DE"/>
            </w:tcBorders>
          </w:tcPr>
          <w:p>
            <w:pPr>
              <w:pStyle w:val="TableBody"/>
            </w:pPr>
            <w:r>
              <w:rPr>
                <w:sz w:val="20"/>
              </w:rPr>
              <w:t>Vergleichsdesign, unabhängige Prüfung und dokumentierte Artefakte sichern.</w:t>
            </w:r>
          </w:p>
        </w:tc>
      </w:tr>
      <w:tr>
        <w:trPr>
          <w:cantSplit/>
        </w:trPr>
        <w:tc>
          <w:tcPr>
            <w:tcW w:type="dxa" w:w="1411"/>
            <w:vAlign w:val="center"/>
            <w:tcMar>
              <w:top w:w="75" w:type="dxa"/>
              <w:bottom w:w="75" w:type="dxa"/>
              <w:left w:w="95" w:type="dxa"/>
              <w:right w:w="95" w:type="dxa"/>
            </w:tcMar>
            <w:tcBorders>
              <w:bottom w:val="single" w:sz="4" w:color="CDD7DE"/>
            </w:tcBorders>
          </w:tcPr>
          <w:p>
            <w:pPr>
              <w:pStyle w:val="TableBody"/>
            </w:pPr>
            <w:r>
              <w:rPr>
                <w:sz w:val="20"/>
              </w:rPr>
              <w:t>Eigenständig vertiefen</w:t>
            </w:r>
          </w:p>
        </w:tc>
        <w:tc>
          <w:tcPr>
            <w:tcW w:type="dxa" w:w="3283"/>
            <w:vAlign w:val="center"/>
            <w:tcMar>
              <w:top w:w="75" w:type="dxa"/>
              <w:bottom w:w="75" w:type="dxa"/>
              <w:left w:w="95" w:type="dxa"/>
              <w:right w:w="95" w:type="dxa"/>
            </w:tcMar>
            <w:tcBorders>
              <w:bottom w:val="single" w:sz="4" w:color="CDD7DE"/>
            </w:tcBorders>
          </w:tcPr>
          <w:p>
            <w:pPr>
              <w:pStyle w:val="TableBody"/>
            </w:pPr>
            <w:r>
              <w:rPr>
                <w:sz w:val="20"/>
              </w:rPr>
              <w:t>F: lernfähige Rechtsetzung</w:t>
            </w:r>
          </w:p>
        </w:tc>
        <w:tc>
          <w:tcPr>
            <w:tcW w:type="dxa" w:w="5386"/>
            <w:vAlign w:val="center"/>
            <w:tcMar>
              <w:top w:w="75" w:type="dxa"/>
              <w:bottom w:w="75" w:type="dxa"/>
              <w:left w:w="95" w:type="dxa"/>
              <w:right w:w="95" w:type="dxa"/>
            </w:tcMar>
            <w:tcBorders>
              <w:bottom w:val="single" w:sz="4" w:color="CDD7DE"/>
            </w:tcBorders>
          </w:tcPr>
          <w:p>
            <w:pPr>
              <w:pStyle w:val="TableBody"/>
            </w:pPr>
            <w:r>
              <w:rPr>
                <w:sz w:val="20"/>
              </w:rPr>
              <w:t>NZZ-Impuls klären; Begriffe und begrenzten Normen-/Fallkorpus bestimmen.</w:t>
            </w:r>
          </w:p>
        </w:tc>
      </w:tr>
      <w:tr>
        <w:trPr>
          <w:cantSplit/>
        </w:trPr>
        <w:tc>
          <w:tcPr>
            <w:tcW w:type="dxa" w:w="1411"/>
            <w:vAlign w:val="center"/>
            <w:tcMar>
              <w:top w:w="75" w:type="dxa"/>
              <w:bottom w:w="75" w:type="dxa"/>
              <w:left w:w="95" w:type="dxa"/>
              <w:right w:w="95" w:type="dxa"/>
            </w:tcMar>
            <w:tcBorders>
              <w:bottom w:val="single" w:sz="4" w:color="CDD7DE"/>
            </w:tcBorders>
          </w:tcPr>
          <w:p>
            <w:pPr>
              <w:pStyle w:val="TableBody"/>
            </w:pPr>
            <w:r>
              <w:rPr>
                <w:sz w:val="20"/>
              </w:rPr>
              <w:t>Langfristig</w:t>
            </w:r>
          </w:p>
        </w:tc>
        <w:tc>
          <w:tcPr>
            <w:tcW w:type="dxa" w:w="3283"/>
            <w:vAlign w:val="center"/>
            <w:tcMar>
              <w:top w:w="75" w:type="dxa"/>
              <w:bottom w:w="75" w:type="dxa"/>
              <w:left w:w="95" w:type="dxa"/>
              <w:right w:w="95" w:type="dxa"/>
            </w:tcMar>
            <w:tcBorders>
              <w:bottom w:val="single" w:sz="4" w:color="CDD7DE"/>
            </w:tcBorders>
          </w:tcPr>
          <w:p>
            <w:pPr>
              <w:pStyle w:val="TableBody"/>
            </w:pPr>
            <w:r>
              <w:rPr>
                <w:sz w:val="20"/>
              </w:rPr>
              <w:t>A: Nutzung und Fähigkeitserhalt</w:t>
            </w:r>
          </w:p>
        </w:tc>
        <w:tc>
          <w:tcPr>
            <w:tcW w:type="dxa" w:w="5386"/>
            <w:vAlign w:val="center"/>
            <w:tcMar>
              <w:top w:w="75" w:type="dxa"/>
              <w:bottom w:w="75" w:type="dxa"/>
              <w:left w:w="95" w:type="dxa"/>
              <w:right w:w="95" w:type="dxa"/>
            </w:tcMar>
            <w:tcBorders>
              <w:bottom w:val="single" w:sz="4" w:color="CDD7DE"/>
            </w:tcBorders>
          </w:tcPr>
          <w:p>
            <w:pPr>
              <w:pStyle w:val="TableBody"/>
            </w:pPr>
            <w:r>
              <w:rPr>
                <w:sz w:val="20"/>
              </w:rPr>
              <w:t>Pilotzugang, wiederholte Erhebung, Feedbackqualität und angemessene Vergleichsbedingungen.</w:t>
            </w:r>
          </w:p>
        </w:tc>
      </w:tr>
    </w:tbl>
    <w:p>
      <w:pPr>
        <w:pStyle w:val="Small"/>
      </w:pPr>
      <w:r/>
    </w:p>
    <w:p>
      <w:pPr>
        <w:pStyle w:val="Small"/>
      </w:pPr>
      <w:r/>
      <w:r>
        <w:rPr>
          <w:b/>
        </w:rPr>
        <w:t>Bestätigte IPMA-Termine:</w:t>
      </w:r>
      <w:r>
        <w:t xml:space="preserve"> Einreichfrist 10. Dezember 2026; Mitteilung über die Annahme 15. Februar 2027; Konferenz 19.-21. Mai 2027. Zielbereich: Track 6. Diese Termine sind keine Annahmezusage. [R1]</w:t>
      </w:r>
    </w:p>
    <w:p>
      <w:pPr>
        <w:pStyle w:val="Heading2"/>
      </w:pPr>
      <w:r>
        <w:t>Methodische Leitplanken</w:t>
      </w:r>
    </w:p>
    <w:p>
      <w:r/>
      <w:r>
        <w:rPr>
          <w:b/>
        </w:rPr>
        <w:t>Geltendes Recht, rechtspolitischen Vorschlag und empirischen Befund getrennt ausweisen.</w:t>
      </w:r>
      <w:r>
        <w:t xml:space="preserve"> Eine rechtsphilosophische Arbeit braucht eine tragfähige Argumentation; eine Wirkungsaussage ein geeignetes empirisches Design. Nicht jede Publikation muss einen Prototyp oder eine Nutzerstudie enthalten.</w:t>
      </w:r>
    </w:p>
    <w:p>
      <w:r/>
      <w:r>
        <w:rPr>
          <w:b/>
        </w:rPr>
        <w:t>Pro Paper ein eigenständiger Beitrag.</w:t>
      </w:r>
      <w:r>
        <w:t xml:space="preserve"> Neue Forschungsfrage, neue Begründung oder neue Evidenz gegenüber P0 festhalten. Werkzeuge liefern Anschauung und Material; sie ersetzen weder die Literaturpositionierung noch eine unabhängige Prüfung.</w:t>
      </w:r>
    </w:p>
    <w:p>
      <w:r/>
      <w:r>
        <w:rPr>
          <w:b/>
        </w:rPr>
        <w:t>Status und Herkunft pflegen.</w:t>
      </w:r>
      <w:r>
        <w:t xml:space="preserve"> Normative Forderung, vorgeschlagener Mechanismus, dokumentierter Entwicklungsbefund und empirisch untersuchte Wirkung getrennt halten. Protokolle, Codeversionen, Quellen und KI-Unterstützung nachvollziehbar dokumentieren.</w:t>
      </w:r>
    </w:p>
    <w:p>
      <w:pPr>
        <w:pStyle w:val="Heading2"/>
      </w:pPr>
      <w:r>
        <w:t>Offene Entscheidungen und Kommunikation</w:t>
      </w:r>
    </w:p>
    <w:p>
      <w:r>
        <w:t>Offen bleiben erster juristischer Fokus, Vergleichsordnungen, unabhängige Mitprüfende, geeignete Fälle und Publikationsorte. Geografie und Priorisierung sind noch zu bestätigen.</w:t>
      </w:r>
    </w:p>
    <w:p>
      <w:r>
        <w:t xml:space="preserve">Vortragslinie: </w:t>
      </w:r>
      <w:r>
        <w:rPr>
          <w:b/>
        </w:rPr>
        <w:t>Fall → Forschungsfrage → Kriterien → Befunde → Hypothese → Anschlussfragen</w:t>
      </w:r>
      <w:r>
        <w:t>. Das Forschungsprogramm bleibt eine Ausblickfolie. Ein 13-Minuten-Kern mit 20-Minuten-Erweiterung ist eine Planungsvariante; die Zeitvorgabe für 2027 ist noch zu klären. [G6]</w:t>
      </w:r>
    </w:p>
    <w:p>
      <w:pPr>
        <w:spacing w:before="0" w:after="0" w:line="240" w:lineRule="auto"/>
      </w:pPr>
      <w:r>
        <w:br w:type="page"/>
      </w:r>
    </w:p>
    <w:p>
      <w:pPr>
        <w:pStyle w:val="Heading1"/>
      </w:pPr>
      <w:r>
        <w:t>7  Quellenbasis und Recherchestartpunkte</w:t>
      </w:r>
    </w:p>
    <w:p>
      <w:pPr>
        <w:pStyle w:val="Small"/>
      </w:pPr>
      <w:r>
        <w:t>G-Kennungen verweisen auf die vorliegenden eigenen Unterlagen; R-Kennungen auf externe Primärquellen bzw. amtliche Erläuterungen. Die A-F-Gliederung, Publikationsfolge und geografische Empfehlung sind die hier vorgeschlagene Ordnung der bisherigen Diskussion.</w:t>
      </w:r>
    </w:p>
    <w:p>
      <w:pPr>
        <w:pStyle w:val="Heading2"/>
      </w:pPr>
      <w:r>
        <w:t>Eigene Unterlagen</w:t>
      </w:r>
    </w:p>
    <w:p>
      <w:pPr>
        <w:pStyle w:val="Source"/>
      </w:pPr>
      <w:r/>
      <w:r>
        <w:rPr>
          <w:b/>
        </w:rPr>
        <w:t>G1</w:t>
      </w:r>
      <w:r>
        <w:t xml:space="preserve"> Brönnimann, K. Where Judgement Is Reserved: A Design-Science Account of Practical Wisdom in AI-Supported Project Decisions. V0.7.2, korrigiert; Autoren- und anonymisierte Fassung. Besonders Abschn. 3.4-3.5, 4.2, 5 und 6.4.</w:t>
      </w:r>
    </w:p>
    <w:p>
      <w:pPr>
        <w:pStyle w:val="Source"/>
      </w:pPr>
      <w:r/>
      <w:r>
        <w:rPr>
          <w:b/>
        </w:rPr>
        <w:t>G2</w:t>
      </w:r>
      <w:r>
        <w:t xml:space="preserve"> Phronesis-Manifesto; Aletheia-Manifesto; Mnemosyne-Manifesto; Methodos-Manifesto; KAIRON-Manifesto. Hochgeladene Fassungen. Normative Ausgangspunkte und fachliche Perspektiven; keine unabhängigen Wirkungsnachweise.</w:t>
      </w:r>
    </w:p>
    <w:p>
      <w:pPr>
        <w:pStyle w:val="Source"/>
      </w:pPr>
      <w:r/>
      <w:r>
        <w:rPr>
          <w:b/>
        </w:rPr>
        <w:t>G3</w:t>
      </w:r>
      <w:r>
        <w:t xml:space="preserve"> KAIRON - Handbuch und Beurteilung, 14. August 2026. Dokumentierter Quellcode-Stand Feature-V2 vom 14. Juni 2026. Besonders S. 3, Abschn. 8, Befund B1 und Gesamturteil. Der Status Entwicklungsprototyp wurde im Gespräch bestätigt.</w:t>
      </w:r>
    </w:p>
    <w:p>
      <w:pPr>
        <w:pStyle w:val="Source"/>
      </w:pPr>
      <w:r/>
      <w:r>
        <w:rPr>
          <w:b/>
        </w:rPr>
        <w:t>G4</w:t>
      </w:r>
      <w:r>
        <w:t xml:space="preserve"> Die Werkbank - Anleitung, Prüfmechanismen und Stolpersteine, Fassung 1.0, 14. August 2026. Besonders S. 1, 11-13 und 16.</w:t>
      </w:r>
    </w:p>
    <w:p>
      <w:pPr>
        <w:pStyle w:val="Source"/>
      </w:pPr>
      <w:r/>
      <w:r>
        <w:rPr>
          <w:b/>
        </w:rPr>
        <w:t>G5</w:t>
      </w:r>
      <w:r>
        <w:t xml:space="preserve"> Die Werkbank - Rahmenbedingungen, Normen und Entscheidstellen, v1.0, 11. August 2026. Besonders Abschn. 4-5, 8-9 und 11. Die dort referierten Normfassungen sind die Fassungen dieses Dokuments, keine Behauptung eines aktuelleren Gesamtstands.</w:t>
      </w:r>
    </w:p>
    <w:p>
      <w:pPr>
        <w:pStyle w:val="Source"/>
      </w:pPr>
      <w:r/>
      <w:r>
        <w:rPr>
          <w:b/>
        </w:rPr>
        <w:t>G6</w:t>
      </w:r>
      <w:r>
        <w:t xml:space="preserve"> Wie diese Ordnung erklärt wird, v1, 14. August 2026. Besonders Abschn. 2-4, 5 und 7. Grundlage für die Erzählrichtung von Fall, Frage, Nachweis und Nutzen.</w:t>
      </w:r>
    </w:p>
    <w:p>
      <w:pPr>
        <w:pStyle w:val="Heading2"/>
      </w:pPr>
      <w:r>
        <w:t>Externe Bezugspunkte</w:t>
      </w:r>
    </w:p>
    <w:p>
      <w:pPr>
        <w:pStyle w:val="Source"/>
      </w:pPr>
      <w:r/>
      <w:r>
        <w:rPr>
          <w:b/>
        </w:rPr>
        <w:t>R1</w:t>
      </w:r>
      <w:r>
        <w:t xml:space="preserve"> IPMA Research Conference 2027. Paper Submissions / Call for Papers. Termine, Track 6 und Begutachtungsrahmen; abgerufen am 11. Oktober 2026. Die offizielle Wordvorlage liegt separat vor.</w:t>
      </w:r>
      <w:r>
        <w:t xml:space="preserve">  </w:t>
      </w:r>
      <w:hyperlink r:id="rId10">
        <w:r>
          <w:rPr>
            <w:color w:val="27636A"/>
            <w:u w:val="single"/>
          </w:rPr>
          <w:t>Quelle</w:t>
        </w:r>
      </w:hyperlink>
    </w:p>
    <w:p>
      <w:pPr>
        <w:pStyle w:val="Source"/>
      </w:pPr>
      <w:r/>
      <w:r>
        <w:rPr>
          <w:b/>
        </w:rPr>
        <w:t>R2</w:t>
      </w:r>
      <w:r>
        <w:t xml:space="preserve"> Eidgenössischer Datenschutz- und Öffentlichkeitsbeauftragter. Informationspflicht, Abschnitt zu automatisierten Einzelentscheidungen nach Art. 21 DSG. Ausgangspunkt für eine anschliessende Normen- und Rechtsprechungsanalyse; abgerufen am 11. Oktober 2026.</w:t>
      </w:r>
      <w:r>
        <w:t xml:space="preserve">  </w:t>
      </w:r>
      <w:hyperlink r:id="rId11">
        <w:r>
          <w:rPr>
            <w:color w:val="27636A"/>
            <w:u w:val="single"/>
          </w:rPr>
          <w:t>Quelle</w:t>
        </w:r>
      </w:hyperlink>
    </w:p>
    <w:p>
      <w:pPr>
        <w:pStyle w:val="Source"/>
      </w:pPr>
      <w:r/>
      <w:r>
        <w:rPr>
          <w:b/>
        </w:rPr>
        <w:t>R3</w:t>
      </w:r>
      <w:r>
        <w:t xml:space="preserve"> Bundesgericht, BGE 141 III 173, Urteil 5A_551/2014 vom 26. Februar 2015, E. 3.2.1. Betreibungsbegehren und technisch vermittelte Anforderungen. Primärtext in der DFR-Wiedergabe der Universität Bern; abgerufen am 11. Oktober 2026.</w:t>
      </w:r>
      <w:r>
        <w:t xml:space="preserve">  </w:t>
      </w:r>
      <w:hyperlink r:id="rId12">
        <w:r>
          <w:rPr>
            <w:color w:val="27636A"/>
            <w:u w:val="single"/>
          </w:rPr>
          <w:t>Quelle</w:t>
        </w:r>
      </w:hyperlink>
    </w:p>
    <w:p>
      <w:pPr>
        <w:pStyle w:val="Source"/>
      </w:pPr>
      <w:r/>
      <w:r>
        <w:rPr>
          <w:b/>
        </w:rPr>
        <w:t>R4</w:t>
      </w:r>
      <w:r>
        <w:t xml:space="preserve"> Montavon, M. La législation expérimentale comme soutien au développement de la cyberadministration. Forum für Rechtsetzung, 25. April 2024; insbesondere Folien 3, 19 und 20. Originalpräsentation auf der BJ-Website.</w:t>
      </w:r>
      <w:r>
        <w:t xml:space="preserve">  </w:t>
      </w:r>
      <w:hyperlink r:id="rId13">
        <w:r>
          <w:rPr>
            <w:color w:val="27636A"/>
            <w:u w:val="single"/>
          </w:rPr>
          <w:t>Quelle</w:t>
        </w:r>
      </w:hyperlink>
    </w:p>
    <w:p>
      <w:pPr>
        <w:pStyle w:val="Source"/>
      </w:pPr>
      <w:r/>
      <w:r>
        <w:rPr>
          <w:b/>
        </w:rPr>
        <w:t>R5</w:t>
      </w:r>
      <w:r>
        <w:t xml:space="preserve"> Bundesamt für Justiz. Umsetzung von Artikel 170 BV in der Bundesverwaltung. Ausgangspunkt zur Wirksamkeitsüberprüfung und institutionellen Evaluation; abgerufen am 11. Oktober 2026.</w:t>
      </w:r>
      <w:r>
        <w:t xml:space="preserve">  </w:t>
      </w:r>
      <w:hyperlink r:id="rId14">
        <w:r>
          <w:rPr>
            <w:color w:val="27636A"/>
            <w:u w:val="single"/>
          </w:rPr>
          <w:t>Quelle</w:t>
        </w:r>
      </w:hyperlink>
    </w:p>
    <w:p>
      <w:pPr>
        <w:pStyle w:val="Heading2"/>
      </w:pPr>
      <w:r>
        <w:t>Stand der Einordnung</w:t>
      </w:r>
    </w:p>
    <w:p>
      <w:pPr>
        <w:pStyle w:val="Small"/>
      </w:pPr>
      <w:r>
        <w:t>Der NZZ-Artikel ist eine noch offene Quelle. Eine systematische Neuheitsprüfung für die Anschlussarbeiten sowie die Auswahl geeigneter Zeitschriften sind eigene nächste Schritte. Eine Quellenliste allein ersetzt diese Prüfungen nicht.</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770"/>
        <w:sz w:val="18"/>
      </w:rPr>
      <w:t xml:space="preserve">Phronesis | Forschungsübersicht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eastAsia="Calibri"/>
      <w:color w:val="202A31"/>
      <w:sz w:val="22"/>
      <w:lang w:val="de-C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eastAsia="Calibri"/>
      <w:b/>
      <w:bCs/>
      <w:color w:val="18364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836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836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Calibri"/>
      <w:b/>
      <w:color w:val="1836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eastAsia="Calibri"/>
      <w:i/>
      <w:iCs/>
      <w:color w:val="5C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Calibri"/>
      <w:color w:val="202A3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color w:val="202A3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line="252" w:lineRule="auto" w:after="100"/>
    </w:pPr>
    <w:rPr>
      <w:rFonts w:ascii="Calibri" w:hAnsi="Calibri"/>
      <w:color w:val="5C6770"/>
      <w:sz w:val="19"/>
    </w:rPr>
  </w:style>
  <w:style w:type="paragraph" w:customStyle="1" w:styleId="Source">
    <w:name w:val="Source"/>
    <w:basedOn w:val="Normal"/>
    <w:pPr>
      <w:spacing w:line="252" w:lineRule="auto" w:after="100"/>
    </w:pPr>
    <w:rPr>
      <w:rFonts w:ascii="Calibri" w:hAnsi="Calibri"/>
      <w:color w:val="5C6770"/>
      <w:sz w:val="18"/>
    </w:rPr>
  </w:style>
  <w:style w:type="paragraph" w:customStyle="1" w:styleId="Lead">
    <w:name w:val="Lead"/>
    <w:basedOn w:val="Normal"/>
    <w:pPr>
      <w:spacing w:line="264" w:lineRule="auto" w:after="100"/>
    </w:pPr>
    <w:rPr>
      <w:rFonts w:ascii="Calibri" w:hAnsi="Calibri"/>
      <w:color w:val="18364A"/>
      <w:sz w:val="24"/>
    </w:rPr>
  </w:style>
  <w:style w:type="paragraph" w:customStyle="1" w:styleId="TableBody">
    <w:name w:val="Table Body"/>
    <w:basedOn w:val="Normal"/>
    <w:pPr>
      <w:spacing w:line="252" w:lineRule="auto" w:after="40" w:before="4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pma-research-conference.world/call-for-papers-2027/" TargetMode="External"/><Relationship Id="rId11" Type="http://schemas.openxmlformats.org/officeDocument/2006/relationships/hyperlink" Target="https://www.edoeb.admin.ch/de/informationspflicht" TargetMode="External"/><Relationship Id="rId12" Type="http://schemas.openxmlformats.org/officeDocument/2006/relationships/hyperlink" Target="https://www.servat.unibe.ch/dfr/bge/c3141173.html" TargetMode="External"/><Relationship Id="rId13" Type="http://schemas.openxmlformats.org/officeDocument/2006/relationships/hyperlink" Target="https://www.bj.admin.ch/bj/de/home/staat/legistik/rechtsetzungsforum/veranstaltungsthemen/43.html" TargetMode="External"/><Relationship Id="rId14" Type="http://schemas.openxmlformats.org/officeDocument/2006/relationships/hyperlink" Target="https://www.bj.admin.ch/de/umsetzung-von-artikel-170-bv-in-der-bundesverwalt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Phronesis - Forschungsübersicht V1.0</dc:title>
  <dc:subject>Urteilskraft, rechtliche Autorität und institutionelles Lernen</dc:subject>
  <dc:creator>Kaspar Brönnimann</dc:creator>
  <cp:keywords>Phronesis; Forschungsprogramm; KI; Projektmanagement; Rechtswissenschaften</cp:keywords>
  <dc:description/>
  <cp:lastModifiedBy/>
  <cp:revision>1</cp:revision>
  <dcterms:created xsi:type="dcterms:W3CDTF">2013-12-23T23:15:00Z</dcterms:created>
  <dcterms:modified xsi:type="dcterms:W3CDTF">2013-12-23T23:15:00Z</dcterms:modified>
  <cp:category/>
</cp:coreProperties>
</file>