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B57"/>
          <w:sz w:val="52"/>
        </w:rPr>
        <w:t>Die Werkbank</w:t>
      </w:r>
    </w:p>
    <w:p>
      <w:pPr>
        <w:spacing w:after="180"/>
        <w:pBdr>
          <w:bottom w:val="single" w:sz="10" w:space="4" w:color="1F3B57"/>
        </w:pBdr>
      </w:pPr>
      <w:r>
        <w:rPr>
          <w:color w:val="5A5A5A"/>
          <w:sz w:val="26"/>
        </w:rPr>
        <w:t>Rahmenbedingungen, Normen und Entscheidstellen</w:t>
      </w:r>
    </w:p>
    <w:p>
      <w:pPr>
        <w:spacing w:after="40"/>
      </w:pPr>
      <w:r>
        <w:rPr>
          <w:b/>
          <w:sz w:val="18"/>
        </w:rPr>
        <w:t xml:space="preserve">Fassung:  </w:t>
      </w:r>
      <w:r>
        <w:rPr>
          <w:color w:val="5A5A5A"/>
          <w:sz w:val="18"/>
        </w:rPr>
        <w:t>v1.0 – 11. August 2026</w:t>
        <w:br/>
      </w:r>
      <w:r>
        <w:rPr>
          <w:b/>
          <w:sz w:val="18"/>
        </w:rPr>
        <w:t xml:space="preserve">Gegenstand:  </w:t>
      </w:r>
      <w:r>
        <w:rPr>
          <w:color w:val="5A5A5A"/>
          <w:sz w:val="18"/>
        </w:rPr>
        <w:t>Werkbank, Stufe 1–4 gebaut, läuft lokal auf Port 8050</w:t>
        <w:br/>
      </w:r>
      <w:r>
        <w:rPr>
          <w:b/>
          <w:sz w:val="18"/>
        </w:rPr>
        <w:t xml:space="preserve">Grundlage:  </w:t>
      </w:r>
      <w:r>
        <w:rPr>
          <w:color w:val="5A5A5A"/>
          <w:sz w:val="18"/>
        </w:rPr>
        <w:t>Erhebung am Bestand: Skill-Ablage, Normablage, Quelltext – nicht aus dem Gedächtnis</w:t>
        <w:br/>
      </w:r>
      <w:r>
        <w:rPr>
          <w:b/>
          <w:sz w:val="18"/>
        </w:rPr>
        <w:t xml:space="preserve">Zweck:  </w:t>
      </w:r>
      <w:r>
        <w:rPr>
          <w:color w:val="5A5A5A"/>
          <w:sz w:val="18"/>
        </w:rPr>
        <w:t>Überblick über die geltenden Normen und über die Stellen, an denen ein Mensch urteilen muss</w:t>
      </w:r>
    </w:p>
    <w:p>
      <w:pPr>
        <w:pStyle w:val="Heading1"/>
      </w:pPr>
      <w:r>
        <w:t>1 · Was die Werkbank ist</w:t>
      </w:r>
    </w:p>
    <w:p>
      <w:r>
        <w:t xml:space="preserve">Eine Weboberfläche, in der ein Mensch über ein Vorhaben spricht und Unterlagen hochlädt. Daraus entsteht ein </w:t>
      </w:r>
      <w:r>
        <w:rPr>
          <w:b/>
        </w:rPr>
        <w:t>Anforderungsbild</w:t>
      </w:r>
      <w:r>
        <w:t xml:space="preserve">. Nach einem menschlichen Freigabetor läuft eine Kette weitgehend selbständig weiter: </w:t>
      </w:r>
      <w:r>
        <w:rPr>
          <w:b/>
        </w:rPr>
        <w:t>Architektur → Spezifikation → Umsetzung → Qualität</w:t>
      </w:r>
      <w:r>
        <w:t>, je Stufe ein Erzeuger und ein davon getrennter Prüfer in einer Schleife. Ergebnis ist ein lauffähiges Werkzeug samt Dokumentation.</w:t>
      </w:r>
    </w:p>
    <w:p>
      <w:r>
        <w:t xml:space="preserve">Entscheidend für das Verständnis des ganzen Dokuments ist die Abgrenzung des Enderzeugnisses: Es ist eine </w:t>
      </w:r>
      <w:r>
        <w:rPr>
          <w:b/>
        </w:rPr>
        <w:t>Freigabeversion</w:t>
      </w:r>
      <w:r>
        <w:t xml:space="preserve"> – weder Rohentwurf noch freigegebenes Produkt. Zwei getrennte menschliche Entscheide folgen: Ist es gut genug? Und: Soll es in Betrieb? Die Werkbank liefert damit </w:t>
      </w:r>
      <w:r>
        <w:rPr>
          <w:b/>
        </w:rPr>
        <w:t>in die bestehende Promotionskette hinein und umgeht sie nicht</w:t>
      </w:r>
      <w:r>
        <w:t>.</w:t>
      </w:r>
    </w:p>
    <w:p>
      <w:pPr>
        <w:spacing w:before="140" w:after="180"/>
        <w:ind w:left="283"/>
        <w:pBdr>
          <w:left w:val="single" w:sz="18" w:space="9" w:color="1F3B57"/>
        </w:pBdr>
      </w:pPr>
      <w:r>
        <w:rPr>
          <w:i/>
        </w:rPr>
        <w:t>Der Engpass ist der Einstieg, nicht die Ausführung. Von der Architektur bis zum Code ist die Kette autonom fahrbar; allein der Übergang «Gespräch → Anforderungen» hat kein maschinelles Abnahmekriterium. Genau dort steht deshalb das eine tragende menschliche Tor.</w:t>
      </w:r>
    </w:p>
    <w:p>
      <w:pPr>
        <w:pStyle w:val="Heading1"/>
      </w:pPr>
      <w:r>
        <w:t>2 · Die Normenpyramide – fünf Ebenen</w:t>
      </w:r>
    </w:p>
    <w:p>
      <w:r>
        <w:t>Die Werkbank ist selbst ein Werkzeug der Familie und geht durch dieselbe Kette wie das, was sie erzeugt. Was für sie gilt, gilt in denselben Kennungen auch für ihre Erzeugnisse.</w:t>
      </w:r>
    </w:p>
    <w:tbl>
      <w:tblPr>
        <w:tblStyle w:val="TableGrid"/>
        <w:tblW w:type="auto" w:w="0"/>
        <w:jc w:val="left"/>
        <w:tblLook w:firstColumn="1" w:firstRow="1" w:lastColumn="0" w:lastRow="0" w:noHBand="0" w:noVBand="1" w:val="04A0"/>
      </w:tblPr>
      <w:tblGrid>
        <w:gridCol w:w="2464"/>
        <w:gridCol w:w="2464"/>
        <w:gridCol w:w="2464"/>
        <w:gridCol w:w="2464"/>
      </w:tblGrid>
      <w:tr>
        <w:tc>
          <w:tcPr>
            <w:tcW w:type="dxa" w:w="1077"/>
            <w:shd w:val="clear" w:color="auto" w:fill="1F3B57"/>
          </w:tcPr>
          <w:p>
            <w:pPr>
              <w:spacing w:after="40" w:before="40"/>
            </w:pPr>
            <w:r>
              <w:rPr>
                <w:b/>
                <w:color w:val="FFFFFF"/>
                <w:sz w:val="17"/>
              </w:rPr>
              <w:t>Ebene</w:t>
            </w:r>
          </w:p>
        </w:tc>
        <w:tc>
          <w:tcPr>
            <w:tcW w:type="dxa" w:w="2211"/>
            <w:shd w:val="clear" w:color="auto" w:fill="1F3B57"/>
          </w:tcPr>
          <w:p>
            <w:pPr>
              <w:spacing w:after="40" w:before="40"/>
            </w:pPr>
            <w:r>
              <w:rPr>
                <w:b/>
                <w:color w:val="FFFFFF"/>
                <w:sz w:val="17"/>
              </w:rPr>
              <w:t>Norm</w:t>
            </w:r>
          </w:p>
        </w:tc>
        <w:tc>
          <w:tcPr>
            <w:tcW w:type="dxa" w:w="1757"/>
            <w:shd w:val="clear" w:color="auto" w:fill="1F3B57"/>
          </w:tcPr>
          <w:p>
            <w:pPr>
              <w:spacing w:after="40" w:before="40"/>
            </w:pPr>
            <w:r>
              <w:rPr>
                <w:b/>
                <w:color w:val="FFFFFF"/>
                <w:sz w:val="17"/>
              </w:rPr>
              <w:t>Kennungen</w:t>
            </w:r>
          </w:p>
        </w:tc>
        <w:tc>
          <w:tcPr>
            <w:tcW w:type="dxa" w:w="4592"/>
            <w:shd w:val="clear" w:color="auto" w:fill="1F3B57"/>
          </w:tcPr>
          <w:p>
            <w:pPr>
              <w:spacing w:after="40" w:before="40"/>
            </w:pPr>
            <w:r>
              <w:rPr>
                <w:b/>
                <w:color w:val="FFFFFF"/>
                <w:sz w:val="17"/>
              </w:rPr>
              <w:t>Was sie leistet</w:t>
            </w:r>
          </w:p>
        </w:tc>
      </w:tr>
      <w:tr>
        <w:tc>
          <w:tcPr>
            <w:tcW w:type="dxa" w:w="1077"/>
            <w:shd w:val="clear" w:color="auto" w:fill="EEF1F5"/>
          </w:tcPr>
          <w:p>
            <w:pPr>
              <w:spacing w:after="40" w:before="40"/>
            </w:pPr>
            <w:r>
              <w:rPr>
                <w:b/>
                <w:sz w:val="17"/>
              </w:rPr>
              <w:t>Haltung</w:t>
            </w:r>
          </w:p>
        </w:tc>
        <w:tc>
          <w:tcPr>
            <w:tcW w:type="dxa" w:w="2211"/>
          </w:tcPr>
          <w:p>
            <w:pPr>
              <w:spacing w:after="40" w:before="40"/>
            </w:pPr>
            <w:r>
              <w:rPr>
                <w:sz w:val="17"/>
              </w:rPr>
              <w:t>Fünf Manifeste der Familie</w:t>
            </w:r>
          </w:p>
        </w:tc>
        <w:tc>
          <w:tcPr>
            <w:tcW w:type="dxa" w:w="1757"/>
          </w:tcPr>
          <w:p>
            <w:pPr>
              <w:spacing w:after="40" w:before="40"/>
            </w:pPr>
            <w:r>
              <w:rPr>
                <w:rFonts w:ascii="Consolas" w:hAnsi="Consolas"/>
                <w:sz w:val="15"/>
              </w:rPr>
              <w:t>PH</w:t>
            </w:r>
            <w:r>
              <w:rPr>
                <w:sz w:val="17"/>
              </w:rPr>
              <w:t xml:space="preserve"> </w:t>
            </w:r>
            <w:r>
              <w:rPr>
                <w:rFonts w:ascii="Consolas" w:hAnsi="Consolas"/>
                <w:sz w:val="15"/>
              </w:rPr>
              <w:t>WA</w:t>
            </w:r>
            <w:r>
              <w:rPr>
                <w:sz w:val="17"/>
              </w:rPr>
              <w:t xml:space="preserve"> </w:t>
            </w:r>
            <w:r>
              <w:rPr>
                <w:rFonts w:ascii="Consolas" w:hAnsi="Consolas"/>
                <w:sz w:val="15"/>
              </w:rPr>
              <w:t>GE</w:t>
            </w:r>
            <w:r>
              <w:rPr>
                <w:sz w:val="17"/>
              </w:rPr>
              <w:t xml:space="preserve"> </w:t>
            </w:r>
            <w:r>
              <w:rPr>
                <w:rFonts w:ascii="Consolas" w:hAnsi="Consolas"/>
                <w:sz w:val="15"/>
              </w:rPr>
              <w:t>SC</w:t>
            </w:r>
            <w:r>
              <w:rPr>
                <w:sz w:val="17"/>
              </w:rPr>
              <w:t xml:space="preserve"> </w:t>
            </w:r>
            <w:r>
              <w:rPr>
                <w:rFonts w:ascii="Consolas" w:hAnsi="Consolas"/>
                <w:sz w:val="15"/>
              </w:rPr>
              <w:t>EN</w:t>
            </w:r>
            <w:r>
              <w:rPr>
                <w:sz w:val="17"/>
              </w:rPr>
              <w:br/>
              <w:t>26 Sätze</w:t>
            </w:r>
          </w:p>
        </w:tc>
        <w:tc>
          <w:tcPr>
            <w:tcW w:type="dxa" w:w="4592"/>
          </w:tcPr>
          <w:p>
            <w:pPr>
              <w:spacing w:after="40" w:before="40"/>
            </w:pPr>
            <w:r>
              <w:rPr>
                <w:sz w:val="17"/>
              </w:rPr>
              <w:t>Wertmaßstab. Eine Spannung ist nicht automatisch ein Fehler – sie kann eine verantwortete Abweichung sein.</w:t>
            </w:r>
          </w:p>
        </w:tc>
      </w:tr>
      <w:tr>
        <w:tc>
          <w:tcPr>
            <w:tcW w:type="dxa" w:w="1077"/>
            <w:shd w:val="clear" w:color="auto" w:fill="EEF1F5"/>
          </w:tcPr>
          <w:p>
            <w:pPr>
              <w:spacing w:after="40" w:before="40"/>
            </w:pPr>
            <w:r>
              <w:rPr>
                <w:b/>
                <w:sz w:val="17"/>
              </w:rPr>
              <w:t>Architektur</w:t>
            </w:r>
          </w:p>
        </w:tc>
        <w:tc>
          <w:tcPr>
            <w:tcW w:type="dxa" w:w="2211"/>
          </w:tcPr>
          <w:p>
            <w:pPr>
              <w:spacing w:after="40" w:before="40"/>
            </w:pPr>
            <w:r>
              <w:rPr>
                <w:sz w:val="17"/>
              </w:rPr>
              <w:t>Referenzarchitektur v0.3</w:t>
            </w:r>
          </w:p>
        </w:tc>
        <w:tc>
          <w:tcPr>
            <w:tcW w:type="dxa" w:w="1757"/>
          </w:tcPr>
          <w:p>
            <w:pPr>
              <w:spacing w:after="40" w:before="40"/>
            </w:pPr>
            <w:r>
              <w:rPr>
                <w:rFonts w:ascii="Consolas" w:hAnsi="Consolas"/>
                <w:sz w:val="15"/>
              </w:rPr>
              <w:t>RA-01</w:t>
            </w:r>
            <w:r>
              <w:rPr>
                <w:sz w:val="17"/>
              </w:rPr>
              <w:t>…</w:t>
            </w:r>
            <w:r>
              <w:rPr>
                <w:rFonts w:ascii="Consolas" w:hAnsi="Consolas"/>
                <w:sz w:val="15"/>
              </w:rPr>
              <w:t>RA-13</w:t>
            </w:r>
          </w:p>
        </w:tc>
        <w:tc>
          <w:tcPr>
            <w:tcW w:type="dxa" w:w="4592"/>
          </w:tcPr>
          <w:p>
            <w:pPr>
              <w:spacing w:after="40" w:before="40"/>
            </w:pPr>
            <w:r>
              <w:rPr>
                <w:sz w:val="17"/>
              </w:rPr>
              <w:t>Bauprinzipien. Zu jeder Kennung entsteht eine Zeile im Nachweis, auch wo sie nicht anwendbar ist.</w:t>
            </w:r>
          </w:p>
        </w:tc>
      </w:tr>
      <w:tr>
        <w:tc>
          <w:tcPr>
            <w:tcW w:type="dxa" w:w="1077"/>
            <w:shd w:val="clear" w:color="auto" w:fill="EEF1F5"/>
          </w:tcPr>
          <w:p>
            <w:pPr>
              <w:spacing w:after="40" w:before="40"/>
            </w:pPr>
            <w:r>
              <w:rPr>
                <w:b/>
                <w:sz w:val="17"/>
              </w:rPr>
              <w:t>Verbote</w:t>
            </w:r>
          </w:p>
        </w:tc>
        <w:tc>
          <w:tcPr>
            <w:tcW w:type="dxa" w:w="2211"/>
          </w:tcPr>
          <w:p>
            <w:pPr>
              <w:spacing w:after="40" w:before="40"/>
            </w:pPr>
            <w:r>
              <w:rPr>
                <w:sz w:val="17"/>
              </w:rPr>
              <w:t>Negativraum</w:t>
            </w:r>
          </w:p>
        </w:tc>
        <w:tc>
          <w:tcPr>
            <w:tcW w:type="dxa" w:w="1757"/>
          </w:tcPr>
          <w:p>
            <w:pPr>
              <w:spacing w:after="40" w:before="40"/>
            </w:pPr>
            <w:r>
              <w:rPr>
                <w:rFonts w:ascii="Consolas" w:hAnsi="Consolas"/>
                <w:sz w:val="15"/>
              </w:rPr>
              <w:t>NR-01</w:t>
            </w:r>
            <w:r>
              <w:rPr>
                <w:sz w:val="17"/>
              </w:rPr>
              <w:t>…</w:t>
            </w:r>
            <w:r>
              <w:rPr>
                <w:rFonts w:ascii="Consolas" w:hAnsi="Consolas"/>
                <w:sz w:val="15"/>
              </w:rPr>
              <w:t>NR-10</w:t>
            </w:r>
          </w:p>
        </w:tc>
        <w:tc>
          <w:tcPr>
            <w:tcW w:type="dxa" w:w="4592"/>
          </w:tcPr>
          <w:p>
            <w:pPr>
              <w:spacing w:after="40" w:before="40"/>
            </w:pPr>
            <w:r>
              <w:rPr>
                <w:sz w:val="17"/>
              </w:rPr>
              <w:t>Der prüfbarste Teil, weil Verstöße konkret sind. Ein Befund ohne Kennung ist eine Behauptung.</w:t>
            </w:r>
          </w:p>
        </w:tc>
      </w:tr>
      <w:tr>
        <w:tc>
          <w:tcPr>
            <w:tcW w:type="dxa" w:w="1077"/>
            <w:shd w:val="clear" w:color="auto" w:fill="EEF1F5"/>
          </w:tcPr>
          <w:p>
            <w:pPr>
              <w:spacing w:after="40" w:before="40"/>
            </w:pPr>
            <w:r>
              <w:rPr>
                <w:b/>
                <w:sz w:val="17"/>
              </w:rPr>
              <w:t>Bausteine</w:t>
            </w:r>
          </w:p>
        </w:tc>
        <w:tc>
          <w:tcPr>
            <w:tcW w:type="dxa" w:w="2211"/>
          </w:tcPr>
          <w:p>
            <w:pPr>
              <w:spacing w:after="40" w:before="40"/>
            </w:pPr>
            <w:r>
              <w:rPr>
                <w:sz w:val="17"/>
              </w:rPr>
              <w:t>Capability-Katalog v0.1</w:t>
            </w:r>
          </w:p>
        </w:tc>
        <w:tc>
          <w:tcPr>
            <w:tcW w:type="dxa" w:w="1757"/>
          </w:tcPr>
          <w:p>
            <w:pPr>
              <w:spacing w:after="40" w:before="40"/>
            </w:pPr>
            <w:r>
              <w:rPr>
                <w:sz w:val="17"/>
              </w:rPr>
              <w:t>Vertragsform je Baustein</w:t>
            </w:r>
          </w:p>
        </w:tc>
        <w:tc>
          <w:tcPr>
            <w:tcW w:type="dxa" w:w="4592"/>
          </w:tcPr>
          <w:p>
            <w:pPr>
              <w:spacing w:after="40" w:before="40"/>
            </w:pPr>
            <w:r>
              <w:rPr>
                <w:sz w:val="17"/>
              </w:rPr>
              <w:t>Vokabular mit Vertrag: Eingabe, Ausgabe, Invarianten, Grenzen, Konformität.</w:t>
            </w:r>
          </w:p>
        </w:tc>
      </w:tr>
      <w:tr>
        <w:tc>
          <w:tcPr>
            <w:tcW w:type="dxa" w:w="1077"/>
            <w:shd w:val="clear" w:color="auto" w:fill="EEF1F5"/>
          </w:tcPr>
          <w:p>
            <w:pPr>
              <w:spacing w:after="40" w:before="40"/>
            </w:pPr>
            <w:r>
              <w:rPr>
                <w:b/>
                <w:sz w:val="17"/>
              </w:rPr>
              <w:t>Methoden</w:t>
            </w:r>
          </w:p>
        </w:tc>
        <w:tc>
          <w:tcPr>
            <w:tcW w:type="dxa" w:w="2211"/>
          </w:tcPr>
          <w:p>
            <w:pPr>
              <w:spacing w:after="40" w:before="40"/>
            </w:pPr>
            <w:r>
              <w:rPr>
                <w:sz w:val="17"/>
              </w:rPr>
              <w:t>Skill-Norm</w:t>
            </w:r>
          </w:p>
        </w:tc>
        <w:tc>
          <w:tcPr>
            <w:tcW w:type="dxa" w:w="1757"/>
          </w:tcPr>
          <w:p>
            <w:pPr>
              <w:spacing w:after="40" w:before="40"/>
            </w:pPr>
            <w:r>
              <w:rPr>
                <w:rFonts w:ascii="Consolas" w:hAnsi="Consolas"/>
                <w:sz w:val="15"/>
              </w:rPr>
              <w:t>SK-01</w:t>
            </w:r>
            <w:r>
              <w:rPr>
                <w:sz w:val="17"/>
              </w:rPr>
              <w:t>…</w:t>
            </w:r>
            <w:r>
              <w:rPr>
                <w:rFonts w:ascii="Consolas" w:hAnsi="Consolas"/>
                <w:sz w:val="15"/>
              </w:rPr>
              <w:t>SK-17</w:t>
            </w:r>
          </w:p>
        </w:tc>
        <w:tc>
          <w:tcPr>
            <w:tcW w:type="dxa" w:w="4592"/>
          </w:tcPr>
          <w:p>
            <w:pPr>
              <w:spacing w:after="40" w:before="40"/>
            </w:pPr>
            <w:r>
              <w:rPr>
                <w:sz w:val="17"/>
              </w:rPr>
              <w:t>Wie ein Skill gebaut sein muss. Geprüft von einem deterministischen Prüfer ohne Sprachmodell.</w:t>
            </w:r>
          </w:p>
        </w:tc>
      </w:tr>
      <w:tr>
        <w:tc>
          <w:tcPr>
            <w:tcW w:type="dxa" w:w="1077"/>
            <w:shd w:val="clear" w:color="auto" w:fill="EEF1F5"/>
          </w:tcPr>
          <w:p>
            <w:pPr>
              <w:spacing w:after="40" w:before="40"/>
            </w:pPr>
            <w:r>
              <w:rPr>
                <w:b/>
                <w:sz w:val="17"/>
              </w:rPr>
              <w:t>Bauen</w:t>
            </w:r>
          </w:p>
        </w:tc>
        <w:tc>
          <w:tcPr>
            <w:tcW w:type="dxa" w:w="2211"/>
          </w:tcPr>
          <w:p>
            <w:pPr>
              <w:spacing w:after="40" w:before="40"/>
            </w:pPr>
            <w:r>
              <w:rPr>
                <w:sz w:val="17"/>
              </w:rPr>
              <w:t>Entwicklungsrichtlinien</w:t>
            </w:r>
          </w:p>
        </w:tc>
        <w:tc>
          <w:tcPr>
            <w:tcW w:type="dxa" w:w="1757"/>
          </w:tcPr>
          <w:p>
            <w:pPr>
              <w:spacing w:after="40" w:before="40"/>
            </w:pPr>
            <w:r>
              <w:rPr>
                <w:sz w:val="17"/>
              </w:rPr>
              <w:t>acht Projektwahrheiten</w:t>
            </w:r>
          </w:p>
        </w:tc>
        <w:tc>
          <w:tcPr>
            <w:tcW w:type="dxa" w:w="4592"/>
          </w:tcPr>
          <w:p>
            <w:pPr>
              <w:spacing w:after="40" w:before="40"/>
            </w:pPr>
            <w:r>
              <w:rPr>
                <w:sz w:val="17"/>
              </w:rPr>
              <w:t>Regeln aus konkreten Fehlschlägen. Werden je Projekt zu einer Datei erzeugt.</w:t>
            </w:r>
          </w:p>
        </w:tc>
      </w:tr>
    </w:tbl>
    <w:p>
      <w:pPr>
        <w:spacing w:after="40"/>
      </w:pPr>
    </w:p>
    <w:p>
      <w:pPr>
        <w:spacing w:before="140" w:after="180"/>
        <w:ind w:left="283"/>
        <w:pBdr>
          <w:left w:val="single" w:sz="18" w:space="9" w:color="1F3B57"/>
        </w:pBdr>
      </w:pPr>
      <w:r>
        <w:rPr>
          <w:i/>
        </w:rPr>
        <w:t>Die Norm ist Eingabe, nicht Verhandlungsmasse. Wer beim Bauen merkt, dass eine Norm nicht trägt, meldet das zurück – er baut nicht darum herum. Jede Abweichung steht im Konformitätsnachweis; stilles Abweichen gibt es nicht.</w:t>
      </w:r>
    </w:p>
    <w:p>
      <w:pPr>
        <w:spacing w:after="60"/>
      </w:pPr>
      <w:r>
        <w:t>Zwei Eigenschaften machen den Unterschied zwischen einer Norm auf Papier und einer wirksamen:</w:t>
      </w:r>
    </w:p>
    <w:p>
      <w:pPr>
        <w:pStyle w:val="ListBullet"/>
      </w:pPr>
      <w:r>
        <w:rPr>
          <w:b/>
        </w:rPr>
        <w:t>Kennungen werden nie umgewidmet.</w:t>
      </w:r>
      <w:r>
        <w:t xml:space="preserve"> Neues wird angehängt, Zurückgezogenes behält seine Nummer, eine wesentliche Inhaltsänderung ist eine neue Nummer.</w:t>
      </w:r>
    </w:p>
    <w:p>
      <w:pPr>
        <w:pStyle w:val="ListBullet"/>
      </w:pPr>
      <w:r>
        <w:rPr>
          <w:b/>
        </w:rPr>
        <w:t>Die Norm wird gelesen, nicht abgeschrieben.</w:t>
      </w:r>
      <w:r>
        <w:t xml:space="preserve"> Die Anwendung lädt beim Start die jüngste Referenzarchitektur aus dem Normverzeichnis und weist Fassungen zurück, die nicht alle Kennungen enthalten. Eine Abschrift im Code veraltet still.</w:t>
      </w:r>
    </w:p>
    <w:p>
      <w:pPr>
        <w:pStyle w:val="Heading1"/>
      </w:pPr>
      <w:r>
        <w:t>3 · Die Manifeste – die Haltung</w:t>
      </w:r>
    </w:p>
    <w:p>
      <w:r>
        <w:t xml:space="preserve">Sechsundzwanzig Sätze aus fünf Manifesten, je mit Kennung, damit ein Befund sich darauf berufen kann, statt allgemein von «den Grundsätzen» zu sprechen. </w:t>
      </w:r>
      <w:r>
        <w:rPr>
          <w:rFonts w:ascii="Consolas" w:hAnsi="Consolas"/>
          <w:sz w:val="19"/>
        </w:rPr>
        <w:t>PH</w:t>
      </w:r>
      <w:r>
        <w:t xml:space="preserve"> ist die übergreifende Ebene: Wo ein Fachsatz mit einem PH-Satz in Spannung steht, gilt der PH-Satz, bis ein Mensch anders entscheidet.</w:t>
      </w:r>
    </w:p>
    <w:tbl>
      <w:tblPr>
        <w:tblStyle w:val="TableGrid"/>
        <w:tblW w:type="auto" w:w="0"/>
        <w:jc w:val="left"/>
        <w:tblLook w:firstColumn="1" w:firstRow="1" w:lastColumn="0" w:lastRow="0" w:noHBand="0" w:noVBand="1" w:val="04A0"/>
      </w:tblPr>
      <w:tblGrid>
        <w:gridCol w:w="3286"/>
        <w:gridCol w:w="3286"/>
        <w:gridCol w:w="3286"/>
      </w:tblGrid>
      <w:tr>
        <w:tc>
          <w:tcPr>
            <w:tcW w:type="dxa" w:w="1871"/>
            <w:shd w:val="clear" w:color="auto" w:fill="1F3B57"/>
          </w:tcPr>
          <w:p>
            <w:pPr>
              <w:spacing w:after="40" w:before="40"/>
            </w:pPr>
            <w:r>
              <w:rPr>
                <w:b/>
                <w:color w:val="FFFFFF"/>
                <w:sz w:val="17"/>
              </w:rPr>
              <w:t>Gruppe</w:t>
            </w:r>
          </w:p>
        </w:tc>
        <w:tc>
          <w:tcPr>
            <w:tcW w:type="dxa" w:w="2211"/>
            <w:shd w:val="clear" w:color="auto" w:fill="1F3B57"/>
          </w:tcPr>
          <w:p>
            <w:pPr>
              <w:spacing w:after="40" w:before="40"/>
            </w:pPr>
            <w:r>
              <w:rPr>
                <w:b/>
                <w:color w:val="FFFFFF"/>
                <w:sz w:val="17"/>
              </w:rPr>
              <w:t>Geltungsbereich</w:t>
            </w:r>
          </w:p>
        </w:tc>
        <w:tc>
          <w:tcPr>
            <w:tcW w:type="dxa" w:w="5556"/>
            <w:shd w:val="clear" w:color="auto" w:fill="1F3B57"/>
          </w:tcPr>
          <w:p>
            <w:pPr>
              <w:spacing w:after="40" w:before="40"/>
            </w:pPr>
            <w:r>
              <w:rPr>
                <w:b/>
                <w:color w:val="FFFFFF"/>
                <w:sz w:val="17"/>
              </w:rPr>
              <w:t>Die für die Werkbank tragenden Sätze</w:t>
            </w:r>
          </w:p>
        </w:tc>
      </w:tr>
      <w:tr>
        <w:tc>
          <w:tcPr>
            <w:tcW w:type="dxa" w:w="1871"/>
            <w:shd w:val="clear" w:color="auto" w:fill="EEF1F5"/>
          </w:tcPr>
          <w:p>
            <w:pPr>
              <w:spacing w:after="40" w:before="40"/>
            </w:pPr>
            <w:r>
              <w:rPr>
                <w:rFonts w:ascii="Consolas" w:hAnsi="Consolas"/>
                <w:b/>
                <w:sz w:val="15"/>
              </w:rPr>
              <w:t>PH</w:t>
            </w:r>
            <w:r>
              <w:rPr>
                <w:b/>
                <w:sz w:val="17"/>
              </w:rPr>
              <w:t xml:space="preserve"> · Haltung</w:t>
            </w:r>
          </w:p>
        </w:tc>
        <w:tc>
          <w:tcPr>
            <w:tcW w:type="dxa" w:w="2211"/>
          </w:tcPr>
          <w:p>
            <w:pPr>
              <w:spacing w:after="40" w:before="40"/>
            </w:pPr>
            <w:r>
              <w:rPr>
                <w:sz w:val="17"/>
              </w:rPr>
              <w:t>gilt für alles</w:t>
            </w:r>
          </w:p>
        </w:tc>
        <w:tc>
          <w:tcPr>
            <w:tcW w:type="dxa" w:w="5556"/>
          </w:tcPr>
          <w:p>
            <w:pPr>
              <w:spacing w:after="40" w:before="40"/>
            </w:pPr>
            <w:r>
              <w:rPr>
                <w:rFonts w:ascii="Consolas" w:hAnsi="Consolas"/>
                <w:sz w:val="15"/>
              </w:rPr>
              <w:t>PH-02</w:t>
            </w:r>
            <w:r>
              <w:rPr>
                <w:sz w:val="17"/>
              </w:rPr>
              <w:t xml:space="preserve"> Transparenz ist wichtiger als Perfektion · </w:t>
            </w:r>
            <w:r>
              <w:rPr>
                <w:rFonts w:ascii="Consolas" w:hAnsi="Consolas"/>
                <w:sz w:val="15"/>
              </w:rPr>
              <w:t>PH-03</w:t>
            </w:r>
            <w:r>
              <w:rPr>
                <w:sz w:val="17"/>
              </w:rPr>
              <w:t xml:space="preserve"> </w:t>
            </w:r>
            <w:r>
              <w:rPr>
                <w:b/>
                <w:sz w:val="17"/>
              </w:rPr>
              <w:t>KI darf beraten, die Verantwortung bleibt beim Menschen</w:t>
            </w:r>
            <w:r>
              <w:rPr>
                <w:sz w:val="17"/>
              </w:rPr>
              <w:t xml:space="preserve"> · </w:t>
            </w:r>
            <w:r>
              <w:rPr>
                <w:rFonts w:ascii="Consolas" w:hAnsi="Consolas"/>
                <w:sz w:val="15"/>
              </w:rPr>
              <w:t>PH-04</w:t>
            </w:r>
            <w:r>
              <w:rPr>
                <w:sz w:val="17"/>
              </w:rPr>
              <w:t xml:space="preserve"> Unsicherheit wird benannt, nicht verdeckt · </w:t>
            </w:r>
            <w:r>
              <w:rPr>
                <w:rFonts w:ascii="Consolas" w:hAnsi="Consolas"/>
                <w:sz w:val="15"/>
              </w:rPr>
              <w:t>PH-05</w:t>
            </w:r>
            <w:r>
              <w:rPr>
                <w:sz w:val="17"/>
              </w:rPr>
              <w:t xml:space="preserve"> Strukturen formen das Denken – Werkzeuge sind nie neutral</w:t>
            </w:r>
          </w:p>
        </w:tc>
      </w:tr>
      <w:tr>
        <w:tc>
          <w:tcPr>
            <w:tcW w:type="dxa" w:w="1871"/>
            <w:shd w:val="clear" w:color="auto" w:fill="EEF1F5"/>
          </w:tcPr>
          <w:p>
            <w:pPr>
              <w:spacing w:after="40" w:before="40"/>
            </w:pPr>
            <w:r>
              <w:rPr>
                <w:rFonts w:ascii="Consolas" w:hAnsi="Consolas"/>
                <w:b/>
                <w:sz w:val="15"/>
              </w:rPr>
              <w:t>WA</w:t>
            </w:r>
            <w:r>
              <w:rPr>
                <w:b/>
                <w:sz w:val="17"/>
              </w:rPr>
              <w:t xml:space="preserve"> · Wahrnehmung</w:t>
            </w:r>
          </w:p>
        </w:tc>
        <w:tc>
          <w:tcPr>
            <w:tcW w:type="dxa" w:w="2211"/>
          </w:tcPr>
          <w:p>
            <w:pPr>
              <w:spacing w:after="40" w:before="40"/>
            </w:pPr>
            <w:r>
              <w:rPr>
                <w:sz w:val="17"/>
              </w:rPr>
              <w:t>Neues von außen beurteilbar machen</w:t>
            </w:r>
          </w:p>
        </w:tc>
        <w:tc>
          <w:tcPr>
            <w:tcW w:type="dxa" w:w="5556"/>
          </w:tcPr>
          <w:p>
            <w:pPr>
              <w:spacing w:after="40" w:before="40"/>
            </w:pPr>
            <w:r>
              <w:rPr>
                <w:rFonts w:ascii="Consolas" w:hAnsi="Consolas"/>
                <w:sz w:val="15"/>
              </w:rPr>
              <w:t>WA-01</w:t>
            </w:r>
            <w:r>
              <w:rPr>
                <w:sz w:val="17"/>
              </w:rPr>
              <w:t xml:space="preserve"> Sichtbarmachen ist noch nicht Urteilen · </w:t>
            </w:r>
            <w:r>
              <w:rPr>
                <w:rFonts w:ascii="Consolas" w:hAnsi="Consolas"/>
                <w:sz w:val="15"/>
              </w:rPr>
              <w:t>WA-02</w:t>
            </w:r>
            <w:r>
              <w:rPr>
                <w:sz w:val="17"/>
              </w:rPr>
              <w:t xml:space="preserve"> Nichts tritt ins Offene ohne Beleg</w:t>
            </w:r>
          </w:p>
        </w:tc>
      </w:tr>
      <w:tr>
        <w:tc>
          <w:tcPr>
            <w:tcW w:type="dxa" w:w="1871"/>
            <w:shd w:val="clear" w:color="auto" w:fill="EEF1F5"/>
          </w:tcPr>
          <w:p>
            <w:pPr>
              <w:spacing w:after="40" w:before="40"/>
            </w:pPr>
            <w:r>
              <w:rPr>
                <w:rFonts w:ascii="Consolas" w:hAnsi="Consolas"/>
                <w:b/>
                <w:sz w:val="15"/>
              </w:rPr>
              <w:t>GE</w:t>
            </w:r>
            <w:r>
              <w:rPr>
                <w:b/>
                <w:sz w:val="17"/>
              </w:rPr>
              <w:t xml:space="preserve"> · Gespräch → Ergebnis</w:t>
            </w:r>
          </w:p>
        </w:tc>
        <w:tc>
          <w:tcPr>
            <w:tcW w:type="dxa" w:w="2211"/>
          </w:tcPr>
          <w:p>
            <w:pPr>
              <w:spacing w:after="40" w:before="40"/>
            </w:pPr>
            <w:r>
              <w:rPr>
                <w:sz w:val="17"/>
              </w:rPr>
              <w:t>aus Gesagtem wird ein Ergebnis</w:t>
            </w:r>
          </w:p>
        </w:tc>
        <w:tc>
          <w:tcPr>
            <w:tcW w:type="dxa" w:w="5556"/>
          </w:tcPr>
          <w:p>
            <w:pPr>
              <w:spacing w:after="40" w:before="40"/>
            </w:pPr>
            <w:r>
              <w:rPr>
                <w:rFonts w:ascii="Consolas" w:hAnsi="Consolas"/>
                <w:sz w:val="15"/>
              </w:rPr>
              <w:t>GE-01</w:t>
            </w:r>
            <w:r>
              <w:rPr>
                <w:sz w:val="17"/>
              </w:rPr>
              <w:t xml:space="preserve"> </w:t>
            </w:r>
            <w:r>
              <w:rPr>
                <w:b/>
                <w:sz w:val="17"/>
              </w:rPr>
              <w:t>Wissen entsteht im Gespräch, nicht im leeren Formular</w:t>
            </w:r>
            <w:r>
              <w:rPr>
                <w:sz w:val="17"/>
              </w:rPr>
              <w:t xml:space="preserve"> · </w:t>
            </w:r>
            <w:r>
              <w:rPr>
                <w:rFonts w:ascii="Consolas" w:hAnsi="Consolas"/>
                <w:sz w:val="15"/>
              </w:rPr>
              <w:t>GE-03</w:t>
            </w:r>
            <w:r>
              <w:rPr>
                <w:sz w:val="17"/>
              </w:rPr>
              <w:t xml:space="preserve"> Mitdenken heißt, das Fehlende zu bemerken · </w:t>
            </w:r>
            <w:r>
              <w:rPr>
                <w:rFonts w:ascii="Consolas" w:hAnsi="Consolas"/>
                <w:sz w:val="15"/>
              </w:rPr>
              <w:t>GE-04</w:t>
            </w:r>
            <w:r>
              <w:rPr>
                <w:sz w:val="17"/>
              </w:rPr>
              <w:t xml:space="preserve"> Das Ergebnis gehört dem, der es verantwortet</w:t>
            </w:r>
          </w:p>
        </w:tc>
      </w:tr>
      <w:tr>
        <w:tc>
          <w:tcPr>
            <w:tcW w:type="dxa" w:w="1871"/>
            <w:shd w:val="clear" w:color="auto" w:fill="EEF1F5"/>
          </w:tcPr>
          <w:p>
            <w:pPr>
              <w:spacing w:after="40" w:before="40"/>
            </w:pPr>
            <w:r>
              <w:rPr>
                <w:rFonts w:ascii="Consolas" w:hAnsi="Consolas"/>
                <w:b/>
                <w:sz w:val="15"/>
              </w:rPr>
              <w:t>SC</w:t>
            </w:r>
            <w:r>
              <w:rPr>
                <w:b/>
                <w:sz w:val="17"/>
              </w:rPr>
              <w:t xml:space="preserve"> · Schutz</w:t>
            </w:r>
          </w:p>
        </w:tc>
        <w:tc>
          <w:tcPr>
            <w:tcW w:type="dxa" w:w="2211"/>
          </w:tcPr>
          <w:p>
            <w:pPr>
              <w:spacing w:after="40" w:before="40"/>
            </w:pPr>
            <w:r>
              <w:rPr>
                <w:sz w:val="17"/>
              </w:rPr>
              <w:t>Wissen nutzen, ohne Menschen preiszugeben</w:t>
            </w:r>
          </w:p>
        </w:tc>
        <w:tc>
          <w:tcPr>
            <w:tcW w:type="dxa" w:w="5556"/>
          </w:tcPr>
          <w:p>
            <w:pPr>
              <w:spacing w:after="40" w:before="40"/>
            </w:pPr>
            <w:r>
              <w:rPr>
                <w:rFonts w:ascii="Consolas" w:hAnsi="Consolas"/>
                <w:sz w:val="15"/>
              </w:rPr>
              <w:t>SC-02</w:t>
            </w:r>
            <w:r>
              <w:rPr>
                <w:sz w:val="17"/>
              </w:rPr>
              <w:t xml:space="preserve"> Eine Schutzschicht muss selbst sichtbar sein · </w:t>
            </w:r>
            <w:r>
              <w:rPr>
                <w:rFonts w:ascii="Consolas" w:hAnsi="Consolas"/>
                <w:sz w:val="15"/>
              </w:rPr>
              <w:t>SC-03</w:t>
            </w:r>
            <w:r>
              <w:rPr>
                <w:sz w:val="17"/>
              </w:rPr>
              <w:t xml:space="preserve"> Im Zweifel hat der Schutz Vorrang</w:t>
            </w:r>
          </w:p>
        </w:tc>
      </w:tr>
      <w:tr>
        <w:tc>
          <w:tcPr>
            <w:tcW w:type="dxa" w:w="1871"/>
            <w:shd w:val="clear" w:color="auto" w:fill="EEF1F5"/>
          </w:tcPr>
          <w:p>
            <w:pPr>
              <w:spacing w:after="40" w:before="40"/>
            </w:pPr>
            <w:r>
              <w:rPr>
                <w:rFonts w:ascii="Consolas" w:hAnsi="Consolas"/>
                <w:b/>
                <w:sz w:val="15"/>
              </w:rPr>
              <w:t>EN</w:t>
            </w:r>
            <w:r>
              <w:rPr>
                <w:b/>
                <w:sz w:val="17"/>
              </w:rPr>
              <w:t xml:space="preserve"> · Entscheidungen</w:t>
            </w:r>
          </w:p>
        </w:tc>
        <w:tc>
          <w:tcPr>
            <w:tcW w:type="dxa" w:w="2211"/>
          </w:tcPr>
          <w:p>
            <w:pPr>
              <w:spacing w:after="40" w:before="40"/>
            </w:pPr>
            <w:r>
              <w:rPr>
                <w:sz w:val="17"/>
              </w:rPr>
              <w:t>abwägen, entscheiden, verantworten</w:t>
            </w:r>
          </w:p>
        </w:tc>
        <w:tc>
          <w:tcPr>
            <w:tcW w:type="dxa" w:w="5556"/>
          </w:tcPr>
          <w:p>
            <w:pPr>
              <w:spacing w:after="40" w:before="40"/>
            </w:pPr>
            <w:r>
              <w:rPr>
                <w:rFonts w:ascii="Consolas" w:hAnsi="Consolas"/>
                <w:sz w:val="15"/>
              </w:rPr>
              <w:t>EN-01</w:t>
            </w:r>
            <w:r>
              <w:rPr>
                <w:sz w:val="17"/>
              </w:rPr>
              <w:t xml:space="preserve"> Entscheidungen brauchen Begründungen · </w:t>
            </w:r>
            <w:r>
              <w:rPr>
                <w:rFonts w:ascii="Consolas" w:hAnsi="Consolas"/>
                <w:sz w:val="15"/>
              </w:rPr>
              <w:t>EN-03</w:t>
            </w:r>
            <w:r>
              <w:rPr>
                <w:sz w:val="17"/>
              </w:rPr>
              <w:t xml:space="preserve"> </w:t>
            </w:r>
            <w:r>
              <w:rPr>
                <w:b/>
                <w:sz w:val="17"/>
              </w:rPr>
              <w:t>Dissens kann ein Zeichen von Reife sein</w:t>
            </w:r>
            <w:r>
              <w:rPr>
                <w:sz w:val="17"/>
              </w:rPr>
              <w:t xml:space="preserve"> – Einwände sichtbar machen</w:t>
            </w:r>
          </w:p>
        </w:tc>
      </w:tr>
    </w:tbl>
    <w:p>
      <w:pPr>
        <w:spacing w:after="40"/>
      </w:pPr>
    </w:p>
    <w:p>
      <w:r>
        <w:t xml:space="preserve">Drei Fehlformen im Umgang mit Kennungen sind ausdrücklich benannt: </w:t>
      </w:r>
      <w:r>
        <w:rPr>
          <w:b/>
        </w:rPr>
        <w:t>Kennungs-Konfetti</w:t>
      </w:r>
      <w:r>
        <w:t xml:space="preserve"> (fünf Kennungen an einem Satz machen ihn beliebig), </w:t>
      </w:r>
      <w:r>
        <w:rPr>
          <w:b/>
        </w:rPr>
        <w:t>Kennung statt Argument</w:t>
      </w:r>
      <w:r>
        <w:t xml:space="preserve"> («verstößt gegen PH-03» ist eine Etikette, keine Feststellung) und </w:t>
      </w:r>
      <w:r>
        <w:rPr>
          <w:b/>
        </w:rPr>
        <w:t>Auslegen statt Nachlesen</w:t>
      </w:r>
      <w:r>
        <w:t>.</w:t>
      </w:r>
    </w:p>
    <w:p>
      <w:pPr>
        <w:pStyle w:val="Heading1"/>
      </w:pPr>
      <w:r>
        <w:t>4 · Referenzarchitektur – die dreizehn Kennungen</w:t>
      </w:r>
    </w:p>
    <w:tbl>
      <w:tblPr>
        <w:tblStyle w:val="TableGrid"/>
        <w:tblW w:type="auto" w:w="0"/>
        <w:jc w:val="left"/>
        <w:tblLook w:firstColumn="1" w:firstRow="1" w:lastColumn="0" w:lastRow="0" w:noHBand="0" w:noVBand="1" w:val="04A0"/>
      </w:tblPr>
      <w:tblGrid>
        <w:gridCol w:w="3286"/>
        <w:gridCol w:w="3286"/>
        <w:gridCol w:w="3286"/>
      </w:tblGrid>
      <w:tr>
        <w:tc>
          <w:tcPr>
            <w:tcW w:type="dxa" w:w="1077"/>
            <w:shd w:val="clear" w:color="auto" w:fill="1F3B57"/>
          </w:tcPr>
          <w:p>
            <w:pPr>
              <w:spacing w:after="40" w:before="40"/>
            </w:pPr>
            <w:r>
              <w:rPr>
                <w:b/>
                <w:color w:val="FFFFFF"/>
                <w:sz w:val="17"/>
              </w:rPr>
              <w:t>Kennung</w:t>
            </w:r>
          </w:p>
        </w:tc>
        <w:tc>
          <w:tcPr>
            <w:tcW w:type="dxa" w:w="2835"/>
            <w:shd w:val="clear" w:color="auto" w:fill="1F3B57"/>
          </w:tcPr>
          <w:p>
            <w:pPr>
              <w:spacing w:after="40" w:before="40"/>
            </w:pPr>
            <w:r>
              <w:rPr>
                <w:b/>
                <w:color w:val="FFFFFF"/>
                <w:sz w:val="17"/>
              </w:rPr>
              <w:t>Prinzip</w:t>
            </w:r>
          </w:p>
        </w:tc>
        <w:tc>
          <w:tcPr>
            <w:tcW w:type="dxa" w:w="5726"/>
            <w:shd w:val="clear" w:color="auto" w:fill="1F3B57"/>
          </w:tcPr>
          <w:p>
            <w:pPr>
              <w:spacing w:after="40" w:before="40"/>
            </w:pPr>
            <w:r>
              <w:rPr>
                <w:b/>
                <w:color w:val="FFFFFF"/>
                <w:sz w:val="17"/>
              </w:rPr>
              <w:t>Trägt, wenn …</w:t>
            </w:r>
          </w:p>
        </w:tc>
      </w:tr>
      <w:tr>
        <w:tc>
          <w:tcPr>
            <w:tcW w:type="dxa" w:w="1077"/>
            <w:shd w:val="clear" w:color="auto" w:fill="EEF1F5"/>
          </w:tcPr>
          <w:p>
            <w:pPr>
              <w:spacing w:after="40" w:before="40"/>
            </w:pPr>
            <w:r>
              <w:rPr>
                <w:rFonts w:ascii="Consolas" w:hAnsi="Consolas"/>
                <w:b/>
                <w:sz w:val="15"/>
              </w:rPr>
              <w:t>RA-01</w:t>
            </w:r>
          </w:p>
        </w:tc>
        <w:tc>
          <w:tcPr>
            <w:tcW w:type="dxa" w:w="2835"/>
          </w:tcPr>
          <w:p>
            <w:pPr>
              <w:spacing w:after="40" w:before="40"/>
            </w:pPr>
            <w:r>
              <w:rPr>
                <w:sz w:val="17"/>
              </w:rPr>
              <w:t>Der Kern entscheidet</w:t>
            </w:r>
          </w:p>
        </w:tc>
        <w:tc>
          <w:tcPr>
            <w:tcW w:type="dxa" w:w="5726"/>
          </w:tcPr>
          <w:p>
            <w:pPr>
              <w:spacing w:after="40" w:before="40"/>
            </w:pPr>
            <w:r>
              <w:rPr>
                <w:sz w:val="17"/>
              </w:rPr>
              <w:t>es keinen Pfad gibt, auf dem ein Modellergebnis verbindlich wird, ohne am deterministischen Kern vorbeizukommen. Zusicherungen werden im Code erzwungen, nicht im Prompt erbeten.</w:t>
            </w:r>
          </w:p>
        </w:tc>
      </w:tr>
      <w:tr>
        <w:tc>
          <w:tcPr>
            <w:tcW w:type="dxa" w:w="1077"/>
            <w:shd w:val="clear" w:color="auto" w:fill="EEF1F5"/>
          </w:tcPr>
          <w:p>
            <w:pPr>
              <w:spacing w:after="40" w:before="40"/>
            </w:pPr>
            <w:r>
              <w:rPr>
                <w:rFonts w:ascii="Consolas" w:hAnsi="Consolas"/>
                <w:b/>
                <w:sz w:val="15"/>
              </w:rPr>
              <w:t>RA-02</w:t>
            </w:r>
          </w:p>
        </w:tc>
        <w:tc>
          <w:tcPr>
            <w:tcW w:type="dxa" w:w="2835"/>
          </w:tcPr>
          <w:p>
            <w:pPr>
              <w:spacing w:after="40" w:before="40"/>
            </w:pPr>
            <w:r>
              <w:rPr>
                <w:sz w:val="17"/>
              </w:rPr>
              <w:t>Keine autoritativen Fakten aus dem Modell</w:t>
            </w:r>
          </w:p>
        </w:tc>
        <w:tc>
          <w:tcPr>
            <w:tcW w:type="dxa" w:w="5726"/>
          </w:tcPr>
          <w:p>
            <w:pPr>
              <w:spacing w:after="40" w:before="40"/>
            </w:pPr>
            <w:r>
              <w:rPr>
                <w:sz w:val="17"/>
              </w:rPr>
              <w:t>ein Wert ohne hinterlegte Quelle nicht ausgabefähig ist.</w:t>
            </w:r>
          </w:p>
        </w:tc>
      </w:tr>
      <w:tr>
        <w:tc>
          <w:tcPr>
            <w:tcW w:type="dxa" w:w="1077"/>
            <w:shd w:val="clear" w:color="auto" w:fill="EEF1F5"/>
          </w:tcPr>
          <w:p>
            <w:pPr>
              <w:spacing w:after="40" w:before="40"/>
            </w:pPr>
            <w:r>
              <w:rPr>
                <w:rFonts w:ascii="Consolas" w:hAnsi="Consolas"/>
                <w:b/>
                <w:sz w:val="15"/>
              </w:rPr>
              <w:t>RA-03</w:t>
            </w:r>
          </w:p>
        </w:tc>
        <w:tc>
          <w:tcPr>
            <w:tcW w:type="dxa" w:w="2835"/>
          </w:tcPr>
          <w:p>
            <w:pPr>
              <w:spacing w:after="40" w:before="40"/>
            </w:pPr>
            <w:r>
              <w:rPr>
                <w:sz w:val="17"/>
              </w:rPr>
              <w:t>Governance-Mixin an jedem Kernobjekt</w:t>
            </w:r>
          </w:p>
        </w:tc>
        <w:tc>
          <w:tcPr>
            <w:tcW w:type="dxa" w:w="5726"/>
          </w:tcPr>
          <w:p>
            <w:pPr>
              <w:spacing w:after="40" w:before="40"/>
            </w:pPr>
            <w:r>
              <w:rPr>
                <w:sz w:val="17"/>
              </w:rPr>
              <w:t>je Kernobjekt beantwortbar ist, wer es wann in welchen Zustand gebracht hat.</w:t>
            </w:r>
          </w:p>
        </w:tc>
      </w:tr>
      <w:tr>
        <w:tc>
          <w:tcPr>
            <w:tcW w:type="dxa" w:w="1077"/>
            <w:shd w:val="clear" w:color="auto" w:fill="EEF1F5"/>
          </w:tcPr>
          <w:p>
            <w:pPr>
              <w:spacing w:after="40" w:before="40"/>
            </w:pPr>
            <w:r>
              <w:rPr>
                <w:rFonts w:ascii="Consolas" w:hAnsi="Consolas"/>
                <w:b/>
                <w:sz w:val="15"/>
              </w:rPr>
              <w:t>RA-04</w:t>
            </w:r>
          </w:p>
        </w:tc>
        <w:tc>
          <w:tcPr>
            <w:tcW w:type="dxa" w:w="2835"/>
          </w:tcPr>
          <w:p>
            <w:pPr>
              <w:spacing w:after="40" w:before="40"/>
            </w:pPr>
            <w:r>
              <w:rPr>
                <w:sz w:val="17"/>
              </w:rPr>
              <w:t>Entwurf und Bestätigung sind getrennte Felder</w:t>
            </w:r>
          </w:p>
        </w:tc>
        <w:tc>
          <w:tcPr>
            <w:tcW w:type="dxa" w:w="5726"/>
          </w:tcPr>
          <w:p>
            <w:pPr>
              <w:spacing w:after="40" w:before="40"/>
            </w:pPr>
            <w:r>
              <w:rPr>
                <w:sz w:val="17"/>
              </w:rPr>
              <w:t>der Entwurf nie überschrieben wird und die Differenz auswertbar bleibt.</w:t>
            </w:r>
          </w:p>
        </w:tc>
      </w:tr>
      <w:tr>
        <w:tc>
          <w:tcPr>
            <w:tcW w:type="dxa" w:w="1077"/>
            <w:shd w:val="clear" w:color="auto" w:fill="EEF1F5"/>
          </w:tcPr>
          <w:p>
            <w:pPr>
              <w:spacing w:after="40" w:before="40"/>
            </w:pPr>
            <w:r>
              <w:rPr>
                <w:rFonts w:ascii="Consolas" w:hAnsi="Consolas"/>
                <w:b/>
                <w:sz w:val="15"/>
              </w:rPr>
              <w:t>RA-05</w:t>
            </w:r>
          </w:p>
        </w:tc>
        <w:tc>
          <w:tcPr>
            <w:tcW w:type="dxa" w:w="2835"/>
          </w:tcPr>
          <w:p>
            <w:pPr>
              <w:spacing w:after="40" w:before="40"/>
            </w:pPr>
            <w:r>
              <w:rPr>
                <w:sz w:val="17"/>
              </w:rPr>
              <w:t>Freigabe ist ein Tor</w:t>
            </w:r>
          </w:p>
        </w:tc>
        <w:tc>
          <w:tcPr>
            <w:tcW w:type="dxa" w:w="5726"/>
          </w:tcPr>
          <w:p>
            <w:pPr>
              <w:spacing w:after="40" w:before="40"/>
            </w:pPr>
            <w:r>
              <w:rPr>
                <w:sz w:val="17"/>
              </w:rPr>
              <w:t>eine Änderung am freigegebenen Inhalt den Status zurücksetzt – drei Ausprägungen, nicht zwei.</w:t>
            </w:r>
          </w:p>
        </w:tc>
      </w:tr>
      <w:tr>
        <w:tc>
          <w:tcPr>
            <w:tcW w:type="dxa" w:w="1077"/>
            <w:shd w:val="clear" w:color="auto" w:fill="EEF1F5"/>
          </w:tcPr>
          <w:p>
            <w:pPr>
              <w:spacing w:after="40" w:before="40"/>
            </w:pPr>
            <w:r>
              <w:rPr>
                <w:rFonts w:ascii="Consolas" w:hAnsi="Consolas"/>
                <w:b/>
                <w:sz w:val="15"/>
              </w:rPr>
              <w:t>RA-06</w:t>
            </w:r>
          </w:p>
        </w:tc>
        <w:tc>
          <w:tcPr>
            <w:tcW w:type="dxa" w:w="2835"/>
          </w:tcPr>
          <w:p>
            <w:pPr>
              <w:spacing w:after="40" w:before="40"/>
            </w:pPr>
            <w:r>
              <w:rPr>
                <w:sz w:val="17"/>
              </w:rPr>
              <w:t>Änderungen sind Übergänge</w:t>
            </w:r>
          </w:p>
        </w:tc>
        <w:tc>
          <w:tcPr>
            <w:tcW w:type="dxa" w:w="5726"/>
          </w:tcPr>
          <w:p>
            <w:pPr>
              <w:spacing w:after="40" w:before="40"/>
            </w:pPr>
            <w:r>
              <w:rPr>
                <w:sz w:val="17"/>
              </w:rPr>
              <w:t>je Objekt die Fassung ermittelbar ist und ausgestellte Nachweise unveränderlich sind.</w:t>
            </w:r>
          </w:p>
        </w:tc>
      </w:tr>
      <w:tr>
        <w:tc>
          <w:tcPr>
            <w:tcW w:type="dxa" w:w="1077"/>
            <w:shd w:val="clear" w:color="auto" w:fill="EEF1F5"/>
          </w:tcPr>
          <w:p>
            <w:pPr>
              <w:spacing w:after="40" w:before="40"/>
            </w:pPr>
            <w:r>
              <w:rPr>
                <w:rFonts w:ascii="Consolas" w:hAnsi="Consolas"/>
                <w:b/>
                <w:sz w:val="15"/>
              </w:rPr>
              <w:t>RA-07</w:t>
            </w:r>
          </w:p>
        </w:tc>
        <w:tc>
          <w:tcPr>
            <w:tcW w:type="dxa" w:w="2835"/>
          </w:tcPr>
          <w:p>
            <w:pPr>
              <w:spacing w:after="40" w:before="40"/>
            </w:pPr>
            <w:r>
              <w:rPr>
                <w:sz w:val="17"/>
              </w:rPr>
              <w:t>Konfiguration vor Programmierung</w:t>
            </w:r>
          </w:p>
        </w:tc>
        <w:tc>
          <w:tcPr>
            <w:tcW w:type="dxa" w:w="5726"/>
          </w:tcPr>
          <w:p>
            <w:pPr>
              <w:spacing w:after="40" w:before="40"/>
            </w:pPr>
            <w:r>
              <w:rPr>
                <w:sz w:val="17"/>
              </w:rPr>
              <w:t>ein Mandantenwunsch aus dieser Menge keine Codeänderung erfordert.</w:t>
            </w:r>
          </w:p>
        </w:tc>
      </w:tr>
      <w:tr>
        <w:tc>
          <w:tcPr>
            <w:tcW w:type="dxa" w:w="1077"/>
            <w:shd w:val="clear" w:color="auto" w:fill="EEF1F5"/>
          </w:tcPr>
          <w:p>
            <w:pPr>
              <w:spacing w:after="40" w:before="40"/>
            </w:pPr>
            <w:r>
              <w:rPr>
                <w:rFonts w:ascii="Consolas" w:hAnsi="Consolas"/>
                <w:b/>
                <w:sz w:val="15"/>
              </w:rPr>
              <w:t>RA-08</w:t>
            </w:r>
          </w:p>
        </w:tc>
        <w:tc>
          <w:tcPr>
            <w:tcW w:type="dxa" w:w="2835"/>
          </w:tcPr>
          <w:p>
            <w:pPr>
              <w:spacing w:after="40" w:before="40"/>
            </w:pPr>
            <w:r>
              <w:rPr>
                <w:sz w:val="17"/>
              </w:rPr>
              <w:t>Mandantentrennung ist Struktur</w:t>
            </w:r>
          </w:p>
        </w:tc>
        <w:tc>
          <w:tcPr>
            <w:tcW w:type="dxa" w:w="5726"/>
          </w:tcPr>
          <w:p>
            <w:pPr>
              <w:spacing w:after="40" w:before="40"/>
            </w:pPr>
            <w:r>
              <w:rPr>
                <w:sz w:val="17"/>
              </w:rPr>
              <w:t>es keine Abfrage gibt, die zwei Mandanten zugleich sieht.</w:t>
            </w:r>
          </w:p>
        </w:tc>
      </w:tr>
      <w:tr>
        <w:tc>
          <w:tcPr>
            <w:tcW w:type="dxa" w:w="1077"/>
            <w:shd w:val="clear" w:color="auto" w:fill="EEF1F5"/>
          </w:tcPr>
          <w:p>
            <w:pPr>
              <w:spacing w:after="40" w:before="40"/>
            </w:pPr>
            <w:r>
              <w:rPr>
                <w:rFonts w:ascii="Consolas" w:hAnsi="Consolas"/>
                <w:b/>
                <w:sz w:val="15"/>
              </w:rPr>
              <w:t>RA-09</w:t>
            </w:r>
          </w:p>
        </w:tc>
        <w:tc>
          <w:tcPr>
            <w:tcW w:type="dxa" w:w="2835"/>
          </w:tcPr>
          <w:p>
            <w:pPr>
              <w:spacing w:after="40" w:before="40"/>
            </w:pPr>
            <w:r>
              <w:rPr>
                <w:sz w:val="17"/>
              </w:rPr>
              <w:t>Kein direkter Modellkontakt</w:t>
            </w:r>
          </w:p>
        </w:tc>
        <w:tc>
          <w:tcPr>
            <w:tcW w:type="dxa" w:w="5726"/>
          </w:tcPr>
          <w:p>
            <w:pPr>
              <w:spacing w:after="40" w:before="40"/>
            </w:pPr>
            <w:r>
              <w:rPr>
                <w:sz w:val="17"/>
              </w:rPr>
              <w:t>genau eine Stelle mit einem Anbieter spricht – über den Vorschaltdienst. Auch Einbettungen, Spracherkennung, Bilder.</w:t>
            </w:r>
          </w:p>
        </w:tc>
      </w:tr>
      <w:tr>
        <w:tc>
          <w:tcPr>
            <w:tcW w:type="dxa" w:w="1077"/>
            <w:shd w:val="clear" w:color="auto" w:fill="EEF1F5"/>
          </w:tcPr>
          <w:p>
            <w:pPr>
              <w:spacing w:after="40" w:before="40"/>
            </w:pPr>
            <w:r>
              <w:rPr>
                <w:rFonts w:ascii="Consolas" w:hAnsi="Consolas"/>
                <w:b/>
                <w:sz w:val="15"/>
              </w:rPr>
              <w:t>RA-10</w:t>
            </w:r>
          </w:p>
        </w:tc>
        <w:tc>
          <w:tcPr>
            <w:tcW w:type="dxa" w:w="2835"/>
          </w:tcPr>
          <w:p>
            <w:pPr>
              <w:spacing w:after="40" w:before="40"/>
            </w:pPr>
            <w:r>
              <w:rPr>
                <w:sz w:val="17"/>
              </w:rPr>
              <w:t>Jedes Ergebnis trägt seine Herkunft</w:t>
            </w:r>
          </w:p>
        </w:tc>
        <w:tc>
          <w:tcPr>
            <w:tcW w:type="dxa" w:w="5726"/>
          </w:tcPr>
          <w:p>
            <w:pPr>
              <w:spacing w:after="40" w:before="40"/>
            </w:pPr>
            <w:r>
              <w:rPr>
                <w:sz w:val="17"/>
              </w:rPr>
              <w:t>sie sich rekonstruieren lässt, ohne ein Modell zu fragen.</w:t>
            </w:r>
          </w:p>
        </w:tc>
      </w:tr>
      <w:tr>
        <w:tc>
          <w:tcPr>
            <w:tcW w:type="dxa" w:w="1077"/>
            <w:shd w:val="clear" w:color="auto" w:fill="EEF1F5"/>
          </w:tcPr>
          <w:p>
            <w:pPr>
              <w:spacing w:after="40" w:before="40"/>
            </w:pPr>
            <w:r>
              <w:rPr>
                <w:rFonts w:ascii="Consolas" w:hAnsi="Consolas"/>
                <w:b/>
                <w:sz w:val="15"/>
              </w:rPr>
              <w:t>RA-11</w:t>
            </w:r>
          </w:p>
        </w:tc>
        <w:tc>
          <w:tcPr>
            <w:tcW w:type="dxa" w:w="2835"/>
          </w:tcPr>
          <w:p>
            <w:pPr>
              <w:spacing w:after="40" w:before="40"/>
            </w:pPr>
            <w:r>
              <w:rPr>
                <w:sz w:val="17"/>
              </w:rPr>
              <w:t>Unsicherheit ist ein Feld</w:t>
            </w:r>
          </w:p>
        </w:tc>
        <w:tc>
          <w:tcPr>
            <w:tcW w:type="dxa" w:w="5726"/>
          </w:tcPr>
          <w:p>
            <w:pPr>
              <w:spacing w:after="40" w:before="40"/>
            </w:pPr>
            <w:r>
              <w:rPr>
                <w:sz w:val="17"/>
              </w:rPr>
              <w:t>Sicherheitsgrad und Datum strukturierte Felder sind – nicht bloß Formulierung.</w:t>
            </w:r>
          </w:p>
        </w:tc>
      </w:tr>
      <w:tr>
        <w:tc>
          <w:tcPr>
            <w:tcW w:type="dxa" w:w="1077"/>
            <w:shd w:val="clear" w:color="auto" w:fill="EEF1F5"/>
          </w:tcPr>
          <w:p>
            <w:pPr>
              <w:spacing w:after="40" w:before="40"/>
            </w:pPr>
            <w:r>
              <w:rPr>
                <w:rFonts w:ascii="Consolas" w:hAnsi="Consolas"/>
                <w:b/>
                <w:sz w:val="15"/>
              </w:rPr>
              <w:t>RA-12</w:t>
            </w:r>
          </w:p>
        </w:tc>
        <w:tc>
          <w:tcPr>
            <w:tcW w:type="dxa" w:w="2835"/>
          </w:tcPr>
          <w:p>
            <w:pPr>
              <w:spacing w:after="40" w:before="40"/>
            </w:pPr>
            <w:r>
              <w:rPr>
                <w:sz w:val="17"/>
              </w:rPr>
              <w:t>Kontrolliertes Vokabular</w:t>
            </w:r>
          </w:p>
        </w:tc>
        <w:tc>
          <w:tcPr>
            <w:tcW w:type="dxa" w:w="5726"/>
          </w:tcPr>
          <w:p>
            <w:pPr>
              <w:spacing w:after="40" w:before="40"/>
            </w:pPr>
            <w:r>
              <w:rPr>
                <w:sz w:val="17"/>
              </w:rPr>
              <w:t>ein Wert außerhalb der Liste abgewiesen wird statt stillschweigend angelegt.</w:t>
            </w:r>
          </w:p>
        </w:tc>
      </w:tr>
      <w:tr>
        <w:tc>
          <w:tcPr>
            <w:tcW w:type="dxa" w:w="1077"/>
            <w:shd w:val="clear" w:color="auto" w:fill="EEF1F5"/>
          </w:tcPr>
          <w:p>
            <w:pPr>
              <w:spacing w:after="40" w:before="40"/>
            </w:pPr>
            <w:r>
              <w:rPr>
                <w:rFonts w:ascii="Consolas" w:hAnsi="Consolas"/>
                <w:b/>
                <w:sz w:val="15"/>
              </w:rPr>
              <w:t>RA-13</w:t>
            </w:r>
          </w:p>
        </w:tc>
        <w:tc>
          <w:tcPr>
            <w:tcW w:type="dxa" w:w="2835"/>
          </w:tcPr>
          <w:p>
            <w:pPr>
              <w:spacing w:after="40" w:before="40"/>
            </w:pPr>
            <w:r>
              <w:rPr>
                <w:sz w:val="17"/>
              </w:rPr>
              <w:t>Nachweise</w:t>
            </w:r>
          </w:p>
        </w:tc>
        <w:tc>
          <w:tcPr>
            <w:tcW w:type="dxa" w:w="5726"/>
          </w:tcPr>
          <w:p>
            <w:pPr>
              <w:spacing w:after="40" w:before="40"/>
            </w:pPr>
            <w:r>
              <w:rPr>
                <w:sz w:val="17"/>
              </w:rPr>
              <w:t>jeder Nachweis ein Objekt mit Governance-Feldern ist und ohne das erzeugende Werkzeug lesbar bleibt.</w:t>
            </w:r>
          </w:p>
        </w:tc>
      </w:tr>
    </w:tbl>
    <w:p>
      <w:pPr>
        <w:spacing w:after="40"/>
      </w:pPr>
    </w:p>
    <w:p>
      <w:pPr>
        <w:pStyle w:val="Heading1"/>
      </w:pPr>
      <w:r>
        <w:t>5 · Der Negativraum – zehn Verbote</w:t>
      </w:r>
    </w:p>
    <w:p>
      <w:r>
        <w:t xml:space="preserve">Der prüfbarste Teil der Norm, weil Verstöße konkret sind. </w:t>
      </w:r>
      <w:r>
        <w:rPr>
          <w:b/>
        </w:rPr>
        <w:t>Ein Befund, der sich darauf beruft, nennt die Kennung</w:t>
      </w:r>
      <w:r>
        <w:t xml:space="preserve"> – ohne Kennung ist es keine harte Kante, sondern eine Behauptung. Die Werkbank setzt das deterministisch durch: Ein Negativraum-Bezug ohne </w:t>
      </w:r>
      <w:r>
        <w:rPr>
          <w:rFonts w:ascii="Consolas" w:hAnsi="Consolas"/>
          <w:sz w:val="19"/>
        </w:rPr>
        <w:t>NR-</w:t>
      </w:r>
      <w:r>
        <w:t>-Kennung wird im Code verworfen.</w:t>
      </w:r>
    </w:p>
    <w:tbl>
      <w:tblPr>
        <w:tblStyle w:val="TableGrid"/>
        <w:tblW w:type="auto" w:w="0"/>
        <w:jc w:val="left"/>
        <w:tblLook w:firstColumn="1" w:firstRow="1" w:lastColumn="0" w:lastRow="0" w:noHBand="0" w:noVBand="1" w:val="04A0"/>
      </w:tblPr>
      <w:tblGrid>
        <w:gridCol w:w="3286"/>
        <w:gridCol w:w="3286"/>
        <w:gridCol w:w="3286"/>
      </w:tblGrid>
      <w:tr>
        <w:tc>
          <w:tcPr>
            <w:tcW w:type="dxa" w:w="1077"/>
            <w:shd w:val="clear" w:color="auto" w:fill="1F3B57"/>
          </w:tcPr>
          <w:p>
            <w:pPr>
              <w:spacing w:after="40" w:before="40"/>
            </w:pPr>
            <w:r>
              <w:rPr>
                <w:b/>
                <w:color w:val="FFFFFF"/>
                <w:sz w:val="17"/>
              </w:rPr>
              <w:t>Kennung</w:t>
            </w:r>
          </w:p>
        </w:tc>
        <w:tc>
          <w:tcPr>
            <w:tcW w:type="dxa" w:w="6917"/>
            <w:shd w:val="clear" w:color="auto" w:fill="1F3B57"/>
          </w:tcPr>
          <w:p>
            <w:pPr>
              <w:spacing w:after="40" w:before="40"/>
            </w:pPr>
            <w:r>
              <w:rPr>
                <w:b/>
                <w:color w:val="FFFFFF"/>
                <w:sz w:val="17"/>
              </w:rPr>
              <w:t>Ein Werkzeug darf nicht …</w:t>
            </w:r>
          </w:p>
        </w:tc>
        <w:tc>
          <w:tcPr>
            <w:tcW w:type="dxa" w:w="1644"/>
            <w:shd w:val="clear" w:color="auto" w:fill="1F3B57"/>
          </w:tcPr>
          <w:p>
            <w:pPr>
              <w:spacing w:after="40" w:before="40"/>
            </w:pPr>
            <w:r>
              <w:rPr>
                <w:b/>
                <w:color w:val="FFFFFF"/>
                <w:sz w:val="17"/>
              </w:rPr>
              <w:t>aus</w:t>
            </w:r>
          </w:p>
        </w:tc>
      </w:tr>
      <w:tr>
        <w:tc>
          <w:tcPr>
            <w:tcW w:type="dxa" w:w="1077"/>
            <w:shd w:val="clear" w:color="auto" w:fill="EEF1F5"/>
          </w:tcPr>
          <w:p>
            <w:pPr>
              <w:spacing w:after="40" w:before="40"/>
            </w:pPr>
            <w:r>
              <w:rPr>
                <w:rFonts w:ascii="Consolas" w:hAnsi="Consolas"/>
                <w:b/>
                <w:sz w:val="15"/>
              </w:rPr>
              <w:t>NR-01</w:t>
            </w:r>
          </w:p>
        </w:tc>
        <w:tc>
          <w:tcPr>
            <w:tcW w:type="dxa" w:w="6917"/>
          </w:tcPr>
          <w:p>
            <w:pPr>
              <w:spacing w:after="40" w:before="40"/>
            </w:pPr>
            <w:r>
              <w:rPr>
                <w:sz w:val="17"/>
              </w:rPr>
              <w:t>eine Entscheidung treffen, die einem Menschen zusteht – auch nicht durch Voreinstellung, stille Automatik oder eine vorausgefüllte Wahrheit</w:t>
            </w:r>
          </w:p>
        </w:tc>
        <w:tc>
          <w:tcPr>
            <w:tcW w:type="dxa" w:w="1644"/>
          </w:tcPr>
          <w:p>
            <w:pPr>
              <w:spacing w:after="40" w:before="40"/>
            </w:pPr>
            <w:r>
              <w:rPr>
                <w:rFonts w:ascii="Consolas" w:hAnsi="Consolas"/>
                <w:sz w:val="15"/>
              </w:rPr>
              <w:t>RA-01</w:t>
            </w:r>
          </w:p>
        </w:tc>
      </w:tr>
      <w:tr>
        <w:tc>
          <w:tcPr>
            <w:tcW w:type="dxa" w:w="1077"/>
            <w:shd w:val="clear" w:color="auto" w:fill="EEF1F5"/>
          </w:tcPr>
          <w:p>
            <w:pPr>
              <w:spacing w:after="40" w:before="40"/>
            </w:pPr>
            <w:r>
              <w:rPr>
                <w:rFonts w:ascii="Consolas" w:hAnsi="Consolas"/>
                <w:b/>
                <w:sz w:val="15"/>
              </w:rPr>
              <w:t>NR-02</w:t>
            </w:r>
          </w:p>
        </w:tc>
        <w:tc>
          <w:tcPr>
            <w:tcW w:type="dxa" w:w="6917"/>
          </w:tcPr>
          <w:p>
            <w:pPr>
              <w:spacing w:after="40" w:before="40"/>
            </w:pPr>
            <w:r>
              <w:rPr>
                <w:sz w:val="17"/>
              </w:rPr>
              <w:t>eine Fundstelle, Zahl oder einen Beleg erzeugen, der nicht aus einer Quelle stammt</w:t>
            </w:r>
          </w:p>
        </w:tc>
        <w:tc>
          <w:tcPr>
            <w:tcW w:type="dxa" w:w="1644"/>
          </w:tcPr>
          <w:p>
            <w:pPr>
              <w:spacing w:after="40" w:before="40"/>
            </w:pPr>
            <w:r>
              <w:rPr>
                <w:rFonts w:ascii="Consolas" w:hAnsi="Consolas"/>
                <w:sz w:val="15"/>
              </w:rPr>
              <w:t>RA-02</w:t>
            </w:r>
          </w:p>
        </w:tc>
      </w:tr>
      <w:tr>
        <w:tc>
          <w:tcPr>
            <w:tcW w:type="dxa" w:w="1077"/>
            <w:shd w:val="clear" w:color="auto" w:fill="EEF1F5"/>
          </w:tcPr>
          <w:p>
            <w:pPr>
              <w:spacing w:after="40" w:before="40"/>
            </w:pPr>
            <w:r>
              <w:rPr>
                <w:rFonts w:ascii="Consolas" w:hAnsi="Consolas"/>
                <w:b/>
                <w:sz w:val="15"/>
              </w:rPr>
              <w:t>NR-03</w:t>
            </w:r>
          </w:p>
        </w:tc>
        <w:tc>
          <w:tcPr>
            <w:tcW w:type="dxa" w:w="6917"/>
          </w:tcPr>
          <w:p>
            <w:pPr>
              <w:spacing w:after="40" w:before="40"/>
            </w:pPr>
            <w:r>
              <w:rPr>
                <w:sz w:val="17"/>
              </w:rPr>
              <w:t>ein Modell direkt ansprechen</w:t>
            </w:r>
          </w:p>
        </w:tc>
        <w:tc>
          <w:tcPr>
            <w:tcW w:type="dxa" w:w="1644"/>
          </w:tcPr>
          <w:p>
            <w:pPr>
              <w:spacing w:after="40" w:before="40"/>
            </w:pPr>
            <w:r>
              <w:rPr>
                <w:rFonts w:ascii="Consolas" w:hAnsi="Consolas"/>
                <w:sz w:val="15"/>
              </w:rPr>
              <w:t>RA-09</w:t>
            </w:r>
          </w:p>
        </w:tc>
      </w:tr>
      <w:tr>
        <w:tc>
          <w:tcPr>
            <w:tcW w:type="dxa" w:w="1077"/>
            <w:shd w:val="clear" w:color="auto" w:fill="EEF1F5"/>
          </w:tcPr>
          <w:p>
            <w:pPr>
              <w:spacing w:after="40" w:before="40"/>
            </w:pPr>
            <w:r>
              <w:rPr>
                <w:rFonts w:ascii="Consolas" w:hAnsi="Consolas"/>
                <w:b/>
                <w:sz w:val="15"/>
              </w:rPr>
              <w:t>NR-04</w:t>
            </w:r>
          </w:p>
        </w:tc>
        <w:tc>
          <w:tcPr>
            <w:tcW w:type="dxa" w:w="6917"/>
          </w:tcPr>
          <w:p>
            <w:pPr>
              <w:spacing w:after="40" w:before="40"/>
            </w:pPr>
            <w:r>
              <w:rPr>
                <w:sz w:val="17"/>
              </w:rPr>
              <w:t>eine Mandantengrenze überschreiten – lesend, schreibend oder als Vorlage</w:t>
            </w:r>
          </w:p>
        </w:tc>
        <w:tc>
          <w:tcPr>
            <w:tcW w:type="dxa" w:w="1644"/>
          </w:tcPr>
          <w:p>
            <w:pPr>
              <w:spacing w:after="40" w:before="40"/>
            </w:pPr>
            <w:r>
              <w:rPr>
                <w:rFonts w:ascii="Consolas" w:hAnsi="Consolas"/>
                <w:sz w:val="15"/>
              </w:rPr>
              <w:t>RA-08</w:t>
            </w:r>
          </w:p>
        </w:tc>
      </w:tr>
      <w:tr>
        <w:tc>
          <w:tcPr>
            <w:tcW w:type="dxa" w:w="1077"/>
            <w:shd w:val="clear" w:color="auto" w:fill="EEF1F5"/>
          </w:tcPr>
          <w:p>
            <w:pPr>
              <w:spacing w:after="40" w:before="40"/>
            </w:pPr>
            <w:r>
              <w:rPr>
                <w:rFonts w:ascii="Consolas" w:hAnsi="Consolas"/>
                <w:b/>
                <w:sz w:val="15"/>
              </w:rPr>
              <w:t>NR-05</w:t>
            </w:r>
          </w:p>
        </w:tc>
        <w:tc>
          <w:tcPr>
            <w:tcW w:type="dxa" w:w="6917"/>
          </w:tcPr>
          <w:p>
            <w:pPr>
              <w:spacing w:after="40" w:before="40"/>
            </w:pPr>
            <w:r>
              <w:rPr>
                <w:sz w:val="17"/>
              </w:rPr>
              <w:t>einen freigegebenen Zustand behalten, während sich der Inhalt ändert</w:t>
            </w:r>
          </w:p>
        </w:tc>
        <w:tc>
          <w:tcPr>
            <w:tcW w:type="dxa" w:w="1644"/>
          </w:tcPr>
          <w:p>
            <w:pPr>
              <w:spacing w:after="40" w:before="40"/>
            </w:pPr>
            <w:r>
              <w:rPr>
                <w:rFonts w:ascii="Consolas" w:hAnsi="Consolas"/>
                <w:sz w:val="15"/>
              </w:rPr>
              <w:t>RA-05</w:t>
            </w:r>
          </w:p>
        </w:tc>
      </w:tr>
      <w:tr>
        <w:tc>
          <w:tcPr>
            <w:tcW w:type="dxa" w:w="1077"/>
            <w:shd w:val="clear" w:color="auto" w:fill="EEF1F5"/>
          </w:tcPr>
          <w:p>
            <w:pPr>
              <w:spacing w:after="40" w:before="40"/>
            </w:pPr>
            <w:r>
              <w:rPr>
                <w:rFonts w:ascii="Consolas" w:hAnsi="Consolas"/>
                <w:b/>
                <w:sz w:val="15"/>
              </w:rPr>
              <w:t>NR-06</w:t>
            </w:r>
          </w:p>
        </w:tc>
        <w:tc>
          <w:tcPr>
            <w:tcW w:type="dxa" w:w="6917"/>
          </w:tcPr>
          <w:p>
            <w:pPr>
              <w:spacing w:after="40" w:before="40"/>
            </w:pPr>
            <w:r>
              <w:rPr>
                <w:sz w:val="17"/>
              </w:rPr>
              <w:t>ein kontrolliertes Vokabular eigenmächtig erweitern</w:t>
            </w:r>
          </w:p>
        </w:tc>
        <w:tc>
          <w:tcPr>
            <w:tcW w:type="dxa" w:w="1644"/>
          </w:tcPr>
          <w:p>
            <w:pPr>
              <w:spacing w:after="40" w:before="40"/>
            </w:pPr>
            <w:r>
              <w:rPr>
                <w:rFonts w:ascii="Consolas" w:hAnsi="Consolas"/>
                <w:sz w:val="15"/>
              </w:rPr>
              <w:t>RA-12</w:t>
            </w:r>
          </w:p>
        </w:tc>
      </w:tr>
      <w:tr>
        <w:tc>
          <w:tcPr>
            <w:tcW w:type="dxa" w:w="1077"/>
            <w:shd w:val="clear" w:color="auto" w:fill="EEF1F5"/>
          </w:tcPr>
          <w:p>
            <w:pPr>
              <w:spacing w:after="40" w:before="40"/>
            </w:pPr>
            <w:r>
              <w:rPr>
                <w:rFonts w:ascii="Consolas" w:hAnsi="Consolas"/>
                <w:b/>
                <w:sz w:val="15"/>
              </w:rPr>
              <w:t>NR-07</w:t>
            </w:r>
          </w:p>
        </w:tc>
        <w:tc>
          <w:tcPr>
            <w:tcW w:type="dxa" w:w="6917"/>
          </w:tcPr>
          <w:p>
            <w:pPr>
              <w:spacing w:after="40" w:before="40"/>
            </w:pPr>
            <w:r>
              <w:rPr>
                <w:sz w:val="17"/>
              </w:rPr>
              <w:t>ein Ergebnis ohne Herkunft ausgeben</w:t>
            </w:r>
          </w:p>
        </w:tc>
        <w:tc>
          <w:tcPr>
            <w:tcW w:type="dxa" w:w="1644"/>
          </w:tcPr>
          <w:p>
            <w:pPr>
              <w:spacing w:after="40" w:before="40"/>
            </w:pPr>
            <w:r>
              <w:rPr>
                <w:rFonts w:ascii="Consolas" w:hAnsi="Consolas"/>
                <w:sz w:val="15"/>
              </w:rPr>
              <w:t>RA-10</w:t>
            </w:r>
          </w:p>
        </w:tc>
      </w:tr>
      <w:tr>
        <w:tc>
          <w:tcPr>
            <w:tcW w:type="dxa" w:w="1077"/>
            <w:shd w:val="clear" w:color="auto" w:fill="EEF1F5"/>
          </w:tcPr>
          <w:p>
            <w:pPr>
              <w:spacing w:after="40" w:before="40"/>
            </w:pPr>
            <w:r>
              <w:rPr>
                <w:rFonts w:ascii="Consolas" w:hAnsi="Consolas"/>
                <w:b/>
                <w:sz w:val="15"/>
              </w:rPr>
              <w:t>NR-08</w:t>
            </w:r>
          </w:p>
        </w:tc>
        <w:tc>
          <w:tcPr>
            <w:tcW w:type="dxa" w:w="6917"/>
          </w:tcPr>
          <w:p>
            <w:pPr>
              <w:spacing w:after="40" w:before="40"/>
            </w:pPr>
            <w:r>
              <w:rPr>
                <w:b/>
                <w:sz w:val="17"/>
              </w:rPr>
              <w:t>eine Zusicherung allein durch Anweisung an ein Modell sicherstellen</w:t>
            </w:r>
          </w:p>
        </w:tc>
        <w:tc>
          <w:tcPr>
            <w:tcW w:type="dxa" w:w="1644"/>
          </w:tcPr>
          <w:p>
            <w:pPr>
              <w:spacing w:after="40" w:before="40"/>
            </w:pPr>
            <w:r>
              <w:rPr>
                <w:rFonts w:ascii="Consolas" w:hAnsi="Consolas"/>
                <w:sz w:val="15"/>
              </w:rPr>
              <w:t>RA-01</w:t>
            </w:r>
          </w:p>
        </w:tc>
      </w:tr>
      <w:tr>
        <w:tc>
          <w:tcPr>
            <w:tcW w:type="dxa" w:w="1077"/>
            <w:shd w:val="clear" w:color="auto" w:fill="EEF1F5"/>
          </w:tcPr>
          <w:p>
            <w:pPr>
              <w:spacing w:after="40" w:before="40"/>
            </w:pPr>
            <w:r>
              <w:rPr>
                <w:rFonts w:ascii="Consolas" w:hAnsi="Consolas"/>
                <w:b/>
                <w:sz w:val="15"/>
              </w:rPr>
              <w:t>NR-09</w:t>
            </w:r>
          </w:p>
        </w:tc>
        <w:tc>
          <w:tcPr>
            <w:tcW w:type="dxa" w:w="6917"/>
          </w:tcPr>
          <w:p>
            <w:pPr>
              <w:spacing w:after="40" w:before="40"/>
            </w:pPr>
            <w:r>
              <w:rPr>
                <w:sz w:val="17"/>
              </w:rPr>
              <w:t>die Bedeutung gespeicherter Werte ändern, ohne den Übergang festzuhalten</w:t>
            </w:r>
          </w:p>
        </w:tc>
        <w:tc>
          <w:tcPr>
            <w:tcW w:type="dxa" w:w="1644"/>
          </w:tcPr>
          <w:p>
            <w:pPr>
              <w:spacing w:after="40" w:before="40"/>
            </w:pPr>
            <w:r>
              <w:rPr>
                <w:rFonts w:ascii="Consolas" w:hAnsi="Consolas"/>
                <w:sz w:val="15"/>
              </w:rPr>
              <w:t>RA-06</w:t>
            </w:r>
          </w:p>
        </w:tc>
      </w:tr>
      <w:tr>
        <w:tc>
          <w:tcPr>
            <w:tcW w:type="dxa" w:w="1077"/>
            <w:shd w:val="clear" w:color="auto" w:fill="EEF1F5"/>
          </w:tcPr>
          <w:p>
            <w:pPr>
              <w:spacing w:after="40" w:before="40"/>
            </w:pPr>
            <w:r>
              <w:rPr>
                <w:rFonts w:ascii="Consolas" w:hAnsi="Consolas"/>
                <w:b/>
                <w:sz w:val="15"/>
              </w:rPr>
              <w:t>NR-10</w:t>
            </w:r>
          </w:p>
        </w:tc>
        <w:tc>
          <w:tcPr>
            <w:tcW w:type="dxa" w:w="6917"/>
          </w:tcPr>
          <w:p>
            <w:pPr>
              <w:spacing w:after="40" w:before="40"/>
            </w:pPr>
            <w:r>
              <w:rPr>
                <w:sz w:val="17"/>
              </w:rPr>
              <w:t>einen ausgestellten Nachweis nachträglich bearbeiten</w:t>
            </w:r>
          </w:p>
        </w:tc>
        <w:tc>
          <w:tcPr>
            <w:tcW w:type="dxa" w:w="1644"/>
          </w:tcPr>
          <w:p>
            <w:pPr>
              <w:spacing w:after="40" w:before="40"/>
            </w:pPr>
            <w:r>
              <w:rPr>
                <w:rFonts w:ascii="Consolas" w:hAnsi="Consolas"/>
                <w:sz w:val="15"/>
              </w:rPr>
              <w:t>RA-06</w:t>
            </w:r>
            <w:r>
              <w:rPr>
                <w:sz w:val="17"/>
              </w:rPr>
              <w:t xml:space="preserve">, </w:t>
            </w:r>
            <w:r>
              <w:rPr>
                <w:rFonts w:ascii="Consolas" w:hAnsi="Consolas"/>
                <w:sz w:val="15"/>
              </w:rPr>
              <w:t>RA-13</w:t>
            </w:r>
          </w:p>
        </w:tc>
      </w:tr>
    </w:tbl>
    <w:p>
      <w:pPr>
        <w:spacing w:after="40"/>
      </w:pPr>
    </w:p>
    <w:p>
      <w:pPr>
        <w:spacing w:before="140" w:after="180"/>
        <w:ind w:left="283"/>
        <w:pBdr>
          <w:left w:val="single" w:sz="18" w:space="9" w:color="1F3B57"/>
        </w:pBdr>
      </w:pPr>
      <w:r>
        <w:rPr>
          <w:rFonts w:ascii="Consolas" w:hAnsi="Consolas"/>
          <w:i/>
          <w:sz w:val="19"/>
        </w:rPr>
        <w:t>NR-08</w:t>
      </w:r>
      <w:r>
        <w:rPr>
          <w:i/>
        </w:rPr>
        <w:t xml:space="preserve"> ist die Kennung, an der sich die Werkbank selbst am härtesten geprüft hat. Sie besagt: Was zugesichert ist, darf nicht von der Befolgung einer Anweisung abhängen. Der Code stuft ab, die Sprache erklärt.</w:t>
      </w:r>
    </w:p>
    <w:p>
      <w:pPr>
        <w:pStyle w:val="Heading1"/>
      </w:pPr>
      <w:r>
        <w:t>6 · Skills – die Methoden der Kette</w:t>
      </w:r>
    </w:p>
    <w:p>
      <w:r>
        <w:t xml:space="preserve">Die Methode liegt </w:t>
      </w:r>
      <w:r>
        <w:rPr>
          <w:b/>
        </w:rPr>
        <w:t>nicht im Werkbank-Repositorium</w:t>
      </w:r>
      <w:r>
        <w:t>, sondern wird aus der Skill-Ablage geladen, wo sie gepflegt wird. Eine Methode, eine Stelle. Wechselt der Träger, wechselt das Repositorium – die Methode nicht. Je Stufe ein Erzeuger und ein Prüfer:</w:t>
      </w:r>
    </w:p>
    <w:tbl>
      <w:tblPr>
        <w:tblStyle w:val="TableGrid"/>
        <w:tblW w:type="auto" w:w="0"/>
        <w:jc w:val="left"/>
        <w:tblLook w:firstColumn="1" w:firstRow="1" w:lastColumn="0" w:lastRow="0" w:noHBand="0" w:noVBand="1" w:val="04A0"/>
      </w:tblPr>
      <w:tblGrid>
        <w:gridCol w:w="2464"/>
        <w:gridCol w:w="2464"/>
        <w:gridCol w:w="2464"/>
        <w:gridCol w:w="2464"/>
      </w:tblGrid>
      <w:tr>
        <w:tc>
          <w:tcPr>
            <w:tcW w:type="dxa" w:w="1531"/>
            <w:shd w:val="clear" w:color="auto" w:fill="1F3B57"/>
          </w:tcPr>
          <w:p>
            <w:pPr>
              <w:spacing w:after="40" w:before="40"/>
            </w:pPr>
            <w:r>
              <w:rPr>
                <w:b/>
                <w:color w:val="FFFFFF"/>
                <w:sz w:val="17"/>
              </w:rPr>
              <w:t>Stufe</w:t>
            </w:r>
          </w:p>
        </w:tc>
        <w:tc>
          <w:tcPr>
            <w:tcW w:type="dxa" w:w="2494"/>
            <w:shd w:val="clear" w:color="auto" w:fill="1F3B57"/>
          </w:tcPr>
          <w:p>
            <w:pPr>
              <w:spacing w:after="40" w:before="40"/>
            </w:pPr>
            <w:r>
              <w:rPr>
                <w:b/>
                <w:color w:val="FFFFFF"/>
                <w:sz w:val="17"/>
              </w:rPr>
              <w:t>Erzeuger</w:t>
            </w:r>
          </w:p>
        </w:tc>
        <w:tc>
          <w:tcPr>
            <w:tcW w:type="dxa" w:w="2494"/>
            <w:shd w:val="clear" w:color="auto" w:fill="1F3B57"/>
          </w:tcPr>
          <w:p>
            <w:pPr>
              <w:spacing w:after="40" w:before="40"/>
            </w:pPr>
            <w:r>
              <w:rPr>
                <w:b/>
                <w:color w:val="FFFFFF"/>
                <w:sz w:val="17"/>
              </w:rPr>
              <w:t>Prüfer</w:t>
            </w:r>
          </w:p>
        </w:tc>
        <w:tc>
          <w:tcPr>
            <w:tcW w:type="dxa" w:w="3118"/>
            <w:shd w:val="clear" w:color="auto" w:fill="1F3B57"/>
          </w:tcPr>
          <w:p>
            <w:pPr>
              <w:spacing w:after="40" w:before="40"/>
            </w:pPr>
            <w:r>
              <w:rPr>
                <w:b/>
                <w:color w:val="FFFFFF"/>
                <w:sz w:val="17"/>
              </w:rPr>
              <w:t>Was der Prüfer misst</w:t>
            </w:r>
          </w:p>
        </w:tc>
      </w:tr>
      <w:tr>
        <w:tc>
          <w:tcPr>
            <w:tcW w:type="dxa" w:w="1531"/>
            <w:shd w:val="clear" w:color="auto" w:fill="EEF1F5"/>
          </w:tcPr>
          <w:p>
            <w:pPr>
              <w:spacing w:after="40" w:before="40"/>
            </w:pPr>
            <w:r>
              <w:rPr>
                <w:b/>
                <w:sz w:val="17"/>
              </w:rPr>
              <w:t>Anforderungen</w:t>
            </w:r>
          </w:p>
        </w:tc>
        <w:tc>
          <w:tcPr>
            <w:tcW w:type="dxa" w:w="2494"/>
          </w:tcPr>
          <w:p>
            <w:pPr>
              <w:spacing w:after="40" w:before="40"/>
            </w:pPr>
            <w:r>
              <w:rPr>
                <w:rFonts w:ascii="Consolas" w:hAnsi="Consolas"/>
                <w:sz w:val="15"/>
              </w:rPr>
              <w:t>anforderungen-erhebung</w:t>
            </w:r>
          </w:p>
        </w:tc>
        <w:tc>
          <w:tcPr>
            <w:tcW w:type="dxa" w:w="2494"/>
          </w:tcPr>
          <w:p>
            <w:pPr>
              <w:spacing w:after="40" w:before="40"/>
            </w:pPr>
            <w:r>
              <w:rPr>
                <w:rFonts w:ascii="Consolas" w:hAnsi="Consolas"/>
                <w:sz w:val="15"/>
              </w:rPr>
              <w:t>anforderungen-pruefung</w:t>
            </w:r>
          </w:p>
        </w:tc>
        <w:tc>
          <w:tcPr>
            <w:tcW w:type="dxa" w:w="3118"/>
          </w:tcPr>
          <w:p>
            <w:pPr>
              <w:spacing w:after="40" w:before="40"/>
            </w:pPr>
            <w:r>
              <w:rPr>
                <w:sz w:val="17"/>
              </w:rPr>
              <w:t>Acht Kriterien; nur drei dürfen ein Muss erzeugen. Negativraum ⇒ immer Muss.</w:t>
            </w:r>
          </w:p>
        </w:tc>
      </w:tr>
      <w:tr>
        <w:tc>
          <w:tcPr>
            <w:tcW w:type="dxa" w:w="1531"/>
            <w:shd w:val="clear" w:color="auto" w:fill="EEF1F5"/>
          </w:tcPr>
          <w:p>
            <w:pPr>
              <w:spacing w:after="40" w:before="40"/>
            </w:pPr>
            <w:r>
              <w:rPr>
                <w:b/>
                <w:sz w:val="17"/>
              </w:rPr>
              <w:t>Architektur</w:t>
            </w:r>
          </w:p>
        </w:tc>
        <w:tc>
          <w:tcPr>
            <w:tcW w:type="dxa" w:w="2494"/>
          </w:tcPr>
          <w:p>
            <w:pPr>
              <w:spacing w:after="40" w:before="40"/>
            </w:pPr>
            <w:r>
              <w:rPr>
                <w:rFonts w:ascii="Consolas" w:hAnsi="Consolas"/>
                <w:sz w:val="15"/>
              </w:rPr>
              <w:t>architektur-ableitung</w:t>
            </w:r>
          </w:p>
        </w:tc>
        <w:tc>
          <w:tcPr>
            <w:tcW w:type="dxa" w:w="2494"/>
          </w:tcPr>
          <w:p>
            <w:pPr>
              <w:spacing w:after="40" w:before="40"/>
            </w:pPr>
            <w:r>
              <w:rPr>
                <w:rFonts w:ascii="Consolas" w:hAnsi="Consolas"/>
                <w:sz w:val="15"/>
              </w:rPr>
              <w:t>architektur-pruefung</w:t>
            </w:r>
          </w:p>
        </w:tc>
        <w:tc>
          <w:tcPr>
            <w:tcW w:type="dxa" w:w="3118"/>
          </w:tcPr>
          <w:p>
            <w:pPr>
              <w:spacing w:after="40" w:before="40"/>
            </w:pPr>
            <w:r>
              <w:rPr>
                <w:sz w:val="17"/>
              </w:rPr>
              <w:t>Alle 13 RA-Kennungen; Konformitätsnachweis in drei Listen.</w:t>
            </w:r>
          </w:p>
        </w:tc>
      </w:tr>
      <w:tr>
        <w:tc>
          <w:tcPr>
            <w:tcW w:type="dxa" w:w="1531"/>
            <w:shd w:val="clear" w:color="auto" w:fill="EEF1F5"/>
          </w:tcPr>
          <w:p>
            <w:pPr>
              <w:spacing w:after="40" w:before="40"/>
            </w:pPr>
            <w:r>
              <w:rPr>
                <w:b/>
                <w:sz w:val="17"/>
              </w:rPr>
              <w:t>Spezifikation</w:t>
            </w:r>
          </w:p>
        </w:tc>
        <w:tc>
          <w:tcPr>
            <w:tcW w:type="dxa" w:w="2494"/>
          </w:tcPr>
          <w:p>
            <w:pPr>
              <w:spacing w:after="40" w:before="40"/>
            </w:pPr>
            <w:r>
              <w:rPr>
                <w:rFonts w:ascii="Consolas" w:hAnsi="Consolas"/>
                <w:sz w:val="15"/>
              </w:rPr>
              <w:t>spezifikation-ableitung</w:t>
            </w:r>
          </w:p>
        </w:tc>
        <w:tc>
          <w:tcPr>
            <w:tcW w:type="dxa" w:w="2494"/>
          </w:tcPr>
          <w:p>
            <w:pPr>
              <w:spacing w:after="40" w:before="40"/>
            </w:pPr>
            <w:r>
              <w:rPr>
                <w:rFonts w:ascii="Consolas" w:hAnsi="Consolas"/>
                <w:sz w:val="15"/>
              </w:rPr>
              <w:t>spezifikation-pruefung</w:t>
            </w:r>
          </w:p>
        </w:tc>
        <w:tc>
          <w:tcPr>
            <w:tcW w:type="dxa" w:w="3118"/>
          </w:tcPr>
          <w:p>
            <w:pPr>
              <w:spacing w:after="40" w:before="40"/>
            </w:pPr>
            <w:r>
              <w:rPr>
                <w:sz w:val="17"/>
              </w:rPr>
              <w:t>Deckung der Architektur; Prüfbarkeit.</w:t>
            </w:r>
          </w:p>
        </w:tc>
      </w:tr>
      <w:tr>
        <w:tc>
          <w:tcPr>
            <w:tcW w:type="dxa" w:w="1531"/>
            <w:shd w:val="clear" w:color="auto" w:fill="EEF1F5"/>
          </w:tcPr>
          <w:p>
            <w:pPr>
              <w:spacing w:after="40" w:before="40"/>
            </w:pPr>
            <w:r>
              <w:rPr>
                <w:b/>
                <w:sz w:val="17"/>
              </w:rPr>
              <w:t>Umsetzung</w:t>
            </w:r>
          </w:p>
        </w:tc>
        <w:tc>
          <w:tcPr>
            <w:tcW w:type="dxa" w:w="2494"/>
          </w:tcPr>
          <w:p>
            <w:pPr>
              <w:spacing w:after="40" w:before="40"/>
            </w:pPr>
            <w:r>
              <w:rPr>
                <w:rFonts w:ascii="Consolas" w:hAnsi="Consolas"/>
                <w:sz w:val="15"/>
              </w:rPr>
              <w:t>umsetzung-ableitung</w:t>
            </w:r>
          </w:p>
        </w:tc>
        <w:tc>
          <w:tcPr>
            <w:tcW w:type="dxa" w:w="2494"/>
          </w:tcPr>
          <w:p>
            <w:pPr>
              <w:spacing w:after="40" w:before="40"/>
            </w:pPr>
            <w:r>
              <w:rPr>
                <w:rFonts w:ascii="Consolas" w:hAnsi="Consolas"/>
                <w:sz w:val="15"/>
              </w:rPr>
              <w:t>umsetzung-pruefung</w:t>
            </w:r>
          </w:p>
        </w:tc>
        <w:tc>
          <w:tcPr>
            <w:tcW w:type="dxa" w:w="3118"/>
          </w:tcPr>
          <w:p>
            <w:pPr>
              <w:spacing w:after="40" w:before="40"/>
            </w:pPr>
            <w:r>
              <w:rPr>
                <w:sz w:val="17"/>
              </w:rPr>
              <w:t>Deckung der Spezifikation; die Norm gilt auch für das Erzeugte.</w:t>
            </w:r>
          </w:p>
        </w:tc>
      </w:tr>
    </w:tbl>
    <w:p>
      <w:pPr>
        <w:spacing w:after="40"/>
      </w:pPr>
    </w:p>
    <w:p>
      <w:r>
        <w:t xml:space="preserve">Weitere Skills der Ablage stehen daneben und gehören nicht zur Kette: der </w:t>
      </w:r>
      <w:r>
        <w:rPr>
          <w:rFonts w:ascii="Consolas" w:hAnsi="Consolas"/>
          <w:sz w:val="19"/>
        </w:rPr>
        <w:t>phronesis-kollege</w:t>
      </w:r>
      <w:r>
        <w:t xml:space="preserve"> als Gesprächspartner an den Manifesten, die vierstufige Rechtsgrundlagen-Kette (Kartierung → Gap-Analyse → Würdigung → Handlungsoptionen), </w:t>
      </w:r>
      <w:r>
        <w:rPr>
          <w:rFonts w:ascii="Consolas" w:hAnsi="Consolas"/>
          <w:sz w:val="19"/>
        </w:rPr>
        <w:t>pia-pruefung-auftraggeber</w:t>
      </w:r>
      <w:r>
        <w:t xml:space="preserve">, </w:t>
      </w:r>
      <w:r>
        <w:rPr>
          <w:rFonts w:ascii="Consolas" w:hAnsi="Consolas"/>
          <w:sz w:val="19"/>
        </w:rPr>
        <w:t>quellenarbeit</w:t>
      </w:r>
      <w:r>
        <w:t xml:space="preserve"> sowie </w:t>
      </w:r>
      <w:r>
        <w:rPr>
          <w:rFonts w:ascii="Consolas" w:hAnsi="Consolas"/>
          <w:sz w:val="19"/>
        </w:rPr>
        <w:t>wissenschaftliche-arbeit</w:t>
      </w:r>
      <w:r>
        <w:t xml:space="preserve"> und </w:t>
      </w:r>
      <w:r>
        <w:rPr>
          <w:rFonts w:ascii="Consolas" w:hAnsi="Consolas"/>
          <w:sz w:val="19"/>
        </w:rPr>
        <w:t>-pruefung</w:t>
      </w:r>
      <w:r>
        <w:t>.</w:t>
      </w:r>
    </w:p>
    <w:p>
      <w:pPr>
        <w:pStyle w:val="Heading2"/>
      </w:pPr>
      <w:r>
        <w:t>Die Trennung von Erzeuger und Prüfer steht im Code</w:t>
      </w:r>
    </w:p>
    <w:p>
      <w:pPr>
        <w:spacing w:after="60"/>
      </w:pPr>
      <w:r>
        <w:t xml:space="preserve">Das ist keine Verfeinerung, sondern eine Anforderung – und sie ist bewusst nicht als Anweisung an ein Modell formuliert, weil das nach </w:t>
      </w:r>
      <w:r>
        <w:rPr>
          <w:rFonts w:ascii="Consolas" w:hAnsi="Consolas"/>
          <w:sz w:val="19"/>
        </w:rPr>
        <w:t>NR-08</w:t>
      </w:r>
      <w:r>
        <w:t xml:space="preserve"> keine Zusicherung wäre:</w:t>
      </w:r>
    </w:p>
    <w:p>
      <w:pPr>
        <w:pStyle w:val="ListBullet"/>
      </w:pPr>
      <w:r>
        <w:rPr>
          <w:b/>
        </w:rPr>
        <w:t>Der Prüfer sieht das Gespräch nicht.</w:t>
      </w:r>
      <w:r>
        <w:t xml:space="preserve"> Seine Eingabemenge wird serverseitig zusammengestellt: Methode plus Prüfgegenstand. Kein Gesprächsverlauf, keine Unterlagen, keine Absicht des Erzeugers. Er prüft den Text, nicht die vermutete Absicht.</w:t>
      </w:r>
    </w:p>
    <w:p>
      <w:pPr>
        <w:pStyle w:val="ListBullet"/>
      </w:pPr>
      <w:r>
        <w:rPr>
          <w:b/>
        </w:rPr>
        <w:t>Er läuft nach Möglichkeit auf einem anderen Anbieter.</w:t>
      </w:r>
      <w:r>
        <w:t xml:space="preserve"> Zwei Instanzen desselben Modells sind unabhängig in Bezug auf Absichtskenntnis, aber nicht in Bezug auf systematische Denkfehler. Läuft er doch auf demselben, schreibt die Anwendung beim Start eine Warnung.</w:t>
      </w:r>
    </w:p>
    <w:p>
      <w:pPr>
        <w:spacing w:before="140" w:after="180"/>
        <w:ind w:left="283"/>
        <w:pBdr>
          <w:left w:val="single" w:sz="18" w:space="9" w:color="1F3B57"/>
        </w:pBdr>
      </w:pPr>
      <w:r>
        <w:rPr>
          <w:i/>
        </w:rPr>
        <w:t>Was die Trennung wert ist, wurde gemessen: Selbstprüfung 8 Befunde, 1 Muss (vorbekannt). Getrennter Prüfer: 16 Befunde, 3 Muss – alle drei neu. Also etwa das Doppelte an Befunden und der gesamte Muss-Bereich.</w:t>
      </w:r>
    </w:p>
    <w:p>
      <w:pPr>
        <w:pStyle w:val="Heading1"/>
      </w:pPr>
      <w:r>
        <w:t>7 · Capabilities – die Bausteine</w:t>
      </w:r>
    </w:p>
    <w:p>
      <w:r>
        <w:t xml:space="preserve">Der Capability-Katalog ist zunächst ein </w:t>
      </w:r>
      <w:r>
        <w:rPr>
          <w:b/>
        </w:rPr>
        <w:t>Vokabular mit Vertrag</w:t>
      </w:r>
      <w:r>
        <w:t xml:space="preserve">, noch kein Baukasten mit geteiltem Code. Jeder Baustein trägt acht Vertragsfelder: </w:t>
      </w:r>
      <w:r>
        <w:rPr>
          <w:rFonts w:ascii="Consolas" w:hAnsi="Consolas"/>
          <w:sz w:val="19"/>
        </w:rPr>
        <w:t>identity</w:t>
      </w:r>
      <w:r>
        <w:t xml:space="preserve"> · </w:t>
      </w:r>
      <w:r>
        <w:rPr>
          <w:rFonts w:ascii="Consolas" w:hAnsi="Consolas"/>
          <w:sz w:val="19"/>
        </w:rPr>
        <w:t>version</w:t>
      </w:r>
      <w:r>
        <w:t xml:space="preserve"> · </w:t>
      </w:r>
      <w:r>
        <w:rPr>
          <w:rFonts w:ascii="Consolas" w:hAnsi="Consolas"/>
          <w:sz w:val="19"/>
        </w:rPr>
        <w:t>io.required</w:t>
      </w:r>
      <w:r>
        <w:t xml:space="preserve"> · </w:t>
      </w:r>
      <w:r>
        <w:rPr>
          <w:rFonts w:ascii="Consolas" w:hAnsi="Consolas"/>
          <w:sz w:val="19"/>
        </w:rPr>
        <w:t>io.optional</w:t>
      </w:r>
      <w:r>
        <w:t xml:space="preserve"> · </w:t>
      </w:r>
      <w:r>
        <w:rPr>
          <w:rFonts w:ascii="Consolas" w:hAnsi="Consolas"/>
          <w:sz w:val="19"/>
        </w:rPr>
        <w:t>invariants</w:t>
      </w:r>
      <w:r>
        <w:t xml:space="preserve"> · </w:t>
      </w:r>
      <w:r>
        <w:rPr>
          <w:rFonts w:ascii="Consolas" w:hAnsi="Consolas"/>
          <w:sz w:val="19"/>
        </w:rPr>
        <w:t>limits</w:t>
      </w:r>
      <w:r>
        <w:t xml:space="preserve"> · </w:t>
      </w:r>
      <w:r>
        <w:rPr>
          <w:rFonts w:ascii="Consolas" w:hAnsi="Consolas"/>
          <w:sz w:val="19"/>
        </w:rPr>
        <w:t>conformance</w:t>
      </w:r>
      <w:r>
        <w:t xml:space="preserve"> · </w:t>
      </w:r>
      <w:r>
        <w:rPr>
          <w:rFonts w:ascii="Consolas" w:hAnsi="Consolas"/>
          <w:sz w:val="19"/>
        </w:rPr>
        <w:t>depends_on</w:t>
      </w:r>
      <w:r>
        <w:t xml:space="preserve">. Das Feld </w:t>
      </w:r>
      <w:r>
        <w:rPr>
          <w:rFonts w:ascii="Consolas" w:hAnsi="Consolas"/>
          <w:sz w:val="19"/>
        </w:rPr>
        <w:t>limits</w:t>
      </w:r>
      <w:r>
        <w:t xml:space="preserve"> – was der Baustein ausdrücklich nicht tut – ist dabei so wichtig wie die Leistung selbst.</w:t>
      </w:r>
    </w:p>
    <w:p>
      <w:r>
        <w:t xml:space="preserve">Der Katalog benennt ausdrücklich, was </w:t>
      </w:r>
      <w:r>
        <w:rPr>
          <w:b/>
        </w:rPr>
        <w:t>keine</w:t>
      </w:r>
      <w:r>
        <w:t xml:space="preserve"> Capability ist: «Prüfer» ist eine Rolle, keine Fähigkeit (der Baustein heißt </w:t>
      </w:r>
      <w:r>
        <w:rPr>
          <w:i/>
        </w:rPr>
        <w:t>Regelprüfung</w:t>
      </w:r>
      <w:r>
        <w:t xml:space="preserve">); eine «Bewertungsmethode» ist Konfiguration einer </w:t>
      </w:r>
      <w:r>
        <w:rPr>
          <w:i/>
        </w:rPr>
        <w:t>Bewertungsmaschine</w:t>
      </w:r>
      <w:r>
        <w:t>; ein Produktname ist eine Zusammensetzung, kein Baustein.</w:t>
      </w:r>
    </w:p>
    <w:p>
      <w:r>
        <w:t xml:space="preserve">Die Werkbank ist die </w:t>
      </w:r>
      <w:r>
        <w:rPr>
          <w:b/>
        </w:rPr>
        <w:t>erste Anwendung der Capability Workflow</w:t>
      </w:r>
      <w:r>
        <w:t xml:space="preserve"> – die Erzeuger-Prüfer-Schleife wird als Baustein gebaut, nicht als Werkbank-Interna. Zwei Kataloganträge sind aus ihr hervorgegangen: </w:t>
      </w:r>
      <w:r>
        <w:rPr>
          <w:i/>
        </w:rPr>
        <w:t>abgeschotteter Arbeitsbereich je Lauf</w:t>
      </w:r>
      <w:r>
        <w:t xml:space="preserve"> und </w:t>
      </w:r>
      <w:r>
        <w:rPr>
          <w:i/>
        </w:rPr>
        <w:t>Bildschirmaufnahme aus einem laufenden Werkzeug</w:t>
      </w:r>
      <w:r>
        <w:t>.</w:t>
      </w:r>
    </w:p>
    <w:p>
      <w:r>
        <w:br w:type="page"/>
      </w:r>
    </w:p>
    <w:p>
      <w:pPr>
        <w:pStyle w:val="Heading1"/>
      </w:pPr>
      <w:r>
        <w:t>8 · Wo der Mensch entscheidet – und wo er nicht durchklicken kann</w:t>
      </w:r>
    </w:p>
    <w:p>
      <w:r>
        <w:t>Dies ist das eigentliche Kapitel. Eine autonome Kette ist nur so gut wie die Stellen, an denen sie anhält – und eine Zustimmung, die man mit einem Klick geben kann, ohne gelesen zu haben, ist keine Entscheidung, sondern eine Formalie.</w:t>
      </w:r>
    </w:p>
    <w:p>
      <w:pPr>
        <w:pStyle w:val="Heading2"/>
      </w:pPr>
      <w:r>
        <w:t>8.1 · Die Tore</w:t>
      </w:r>
    </w:p>
    <w:tbl>
      <w:tblPr>
        <w:tblStyle w:val="TableGrid"/>
        <w:tblW w:type="auto" w:w="0"/>
        <w:jc w:val="left"/>
        <w:tblLook w:firstColumn="1" w:firstRow="1" w:lastColumn="0" w:lastRow="0" w:noHBand="0" w:noVBand="1" w:val="04A0"/>
      </w:tblPr>
      <w:tblGrid>
        <w:gridCol w:w="3286"/>
        <w:gridCol w:w="3286"/>
        <w:gridCol w:w="3286"/>
      </w:tblGrid>
      <w:tr>
        <w:tc>
          <w:tcPr>
            <w:tcW w:type="dxa" w:w="2041"/>
            <w:shd w:val="clear" w:color="auto" w:fill="1F3B57"/>
          </w:tcPr>
          <w:p>
            <w:pPr>
              <w:spacing w:after="40" w:before="40"/>
            </w:pPr>
            <w:r>
              <w:rPr>
                <w:b/>
                <w:color w:val="FFFFFF"/>
                <w:sz w:val="17"/>
              </w:rPr>
              <w:t>Stelle</w:t>
            </w:r>
          </w:p>
        </w:tc>
        <w:tc>
          <w:tcPr>
            <w:tcW w:type="dxa" w:w="3061"/>
            <w:shd w:val="clear" w:color="auto" w:fill="1F3B57"/>
          </w:tcPr>
          <w:p>
            <w:pPr>
              <w:spacing w:after="40" w:before="40"/>
            </w:pPr>
            <w:r>
              <w:rPr>
                <w:b/>
                <w:color w:val="FFFFFF"/>
                <w:sz w:val="17"/>
              </w:rPr>
              <w:t>Was der Mensch tut</w:t>
            </w:r>
          </w:p>
        </w:tc>
        <w:tc>
          <w:tcPr>
            <w:tcW w:type="dxa" w:w="4535"/>
            <w:shd w:val="clear" w:color="auto" w:fill="1F3B57"/>
          </w:tcPr>
          <w:p>
            <w:pPr>
              <w:spacing w:after="40" w:before="40"/>
            </w:pPr>
            <w:r>
              <w:rPr>
                <w:b/>
                <w:color w:val="FFFFFF"/>
                <w:sz w:val="17"/>
              </w:rPr>
              <w:t>Was ihn am Durchklicken hindert</w:t>
            </w:r>
          </w:p>
        </w:tc>
      </w:tr>
      <w:tr>
        <w:tc>
          <w:tcPr>
            <w:tcW w:type="dxa" w:w="2041"/>
          </w:tcPr>
          <w:p>
            <w:pPr>
              <w:spacing w:after="40" w:before="40"/>
            </w:pPr>
            <w:r>
              <w:rPr>
                <w:b/>
                <w:sz w:val="17"/>
              </w:rPr>
              <w:t>Anforderungsbild</w:t>
            </w:r>
            <w:r>
              <w:rPr>
                <w:sz w:val="17"/>
              </w:rPr>
              <w:br/>
              <w:t>(das eine tragende Tor)</w:t>
            </w:r>
          </w:p>
        </w:tc>
        <w:tc>
          <w:tcPr>
            <w:tcW w:type="dxa" w:w="3061"/>
          </w:tcPr>
          <w:p>
            <w:pPr>
              <w:spacing w:after="40" w:before="40"/>
            </w:pPr>
            <w:r>
              <w:rPr>
                <w:sz w:val="17"/>
              </w:rPr>
              <w:t>Freigeben, unter Auflage freigeben oder verweigern – drei Ausprägungen, nicht zwei.</w:t>
            </w:r>
          </w:p>
        </w:tc>
        <w:tc>
          <w:tcPr>
            <w:tcW w:type="dxa" w:w="4535"/>
          </w:tcPr>
          <w:p>
            <w:pPr>
              <w:spacing w:after="40" w:before="40"/>
            </w:pPr>
            <w:r>
              <w:rPr>
                <w:sz w:val="17"/>
              </w:rPr>
              <w:t xml:space="preserve">«Unter Auflage» </w:t>
            </w:r>
            <w:r>
              <w:rPr>
                <w:b/>
                <w:sz w:val="17"/>
              </w:rPr>
              <w:t>erzwingt Auflage, Verantwortlichkeit und Frist</w:t>
            </w:r>
            <w:r>
              <w:rPr>
                <w:sz w:val="17"/>
              </w:rPr>
              <w:t>. Ohne diese drei Angaben schließt das Tor nicht.</w:t>
            </w:r>
          </w:p>
        </w:tc>
      </w:tr>
      <w:tr>
        <w:tc>
          <w:tcPr>
            <w:tcW w:type="dxa" w:w="2041"/>
          </w:tcPr>
          <w:p>
            <w:pPr>
              <w:spacing w:after="40" w:before="40"/>
            </w:pPr>
            <w:r>
              <w:rPr>
                <w:b/>
                <w:sz w:val="17"/>
              </w:rPr>
              <w:t>Annahmen</w:t>
            </w:r>
          </w:p>
        </w:tc>
        <w:tc>
          <w:tcPr>
            <w:tcW w:type="dxa" w:w="3061"/>
          </w:tcPr>
          <w:p>
            <w:pPr>
              <w:spacing w:after="40" w:before="40"/>
            </w:pPr>
            <w:r>
              <w:rPr>
                <w:sz w:val="17"/>
              </w:rPr>
              <w:t>Jede Annahme einzeln bestätigen.</w:t>
            </w:r>
          </w:p>
        </w:tc>
        <w:tc>
          <w:tcPr>
            <w:tcW w:type="dxa" w:w="4535"/>
          </w:tcPr>
          <w:p>
            <w:pPr>
              <w:spacing w:after="40" w:before="40"/>
            </w:pPr>
            <w:r>
              <w:rPr>
                <w:sz w:val="17"/>
              </w:rPr>
              <w:t>Keine Sammelbestätigung. Eine Annahme ist eine bereits gefüllte Lücke – wer sie im Block abnickt, hat sie nicht gesehen.</w:t>
            </w:r>
          </w:p>
        </w:tc>
      </w:tr>
      <w:tr>
        <w:tc>
          <w:tcPr>
            <w:tcW w:type="dxa" w:w="2041"/>
          </w:tcPr>
          <w:p>
            <w:pPr>
              <w:spacing w:after="40" w:before="40"/>
            </w:pPr>
            <w:r>
              <w:rPr>
                <w:b/>
                <w:sz w:val="17"/>
              </w:rPr>
              <w:t>Muss-Befunde</w:t>
            </w:r>
          </w:p>
        </w:tc>
        <w:tc>
          <w:tcPr>
            <w:tcW w:type="dxa" w:w="3061"/>
          </w:tcPr>
          <w:p>
            <w:pPr>
              <w:spacing w:after="40" w:before="40"/>
            </w:pPr>
            <w:r>
              <w:rPr>
                <w:sz w:val="17"/>
              </w:rPr>
              <w:t>Beheben oder begründet entscheiden.</w:t>
            </w:r>
          </w:p>
        </w:tc>
        <w:tc>
          <w:tcPr>
            <w:tcW w:type="dxa" w:w="4535"/>
          </w:tcPr>
          <w:p>
            <w:pPr>
              <w:spacing w:after="40" w:before="40"/>
            </w:pPr>
            <w:r>
              <w:rPr>
                <w:sz w:val="17"/>
              </w:rPr>
              <w:t xml:space="preserve">«Später» ist </w:t>
            </w:r>
            <w:r>
              <w:rPr>
                <w:b/>
                <w:sz w:val="17"/>
              </w:rPr>
              <w:t>in der Oberfläche und serverseitig gesperrt</w:t>
            </w:r>
            <w:r>
              <w:rPr>
                <w:sz w:val="17"/>
              </w:rPr>
              <w:t>. Das ist die ganze Definition von Muss. Der Grund steht am abgeblendeten Knopf.</w:t>
            </w:r>
          </w:p>
        </w:tc>
      </w:tr>
      <w:tr>
        <w:tc>
          <w:tcPr>
            <w:tcW w:type="dxa" w:w="2041"/>
          </w:tcPr>
          <w:p>
            <w:pPr>
              <w:spacing w:after="40" w:before="40"/>
            </w:pPr>
            <w:r>
              <w:rPr>
                <w:b/>
                <w:sz w:val="17"/>
              </w:rPr>
              <w:t>Befundentscheide</w:t>
            </w:r>
          </w:p>
        </w:tc>
        <w:tc>
          <w:tcPr>
            <w:tcW w:type="dxa" w:w="3061"/>
          </w:tcPr>
          <w:p>
            <w:pPr>
              <w:spacing w:after="40" w:before="40"/>
            </w:pPr>
            <w:r>
              <w:rPr>
                <w:sz w:val="17"/>
              </w:rPr>
              <w:t>Je Befund einen von vier Wegen wählen: akzeptiert · zurückgewiesen · Auflage · Normpflege.</w:t>
            </w:r>
          </w:p>
        </w:tc>
        <w:tc>
          <w:tcPr>
            <w:tcW w:type="dxa" w:w="4535"/>
          </w:tcPr>
          <w:p>
            <w:pPr>
              <w:spacing w:after="40" w:before="40"/>
            </w:pPr>
            <w:r>
              <w:rPr>
                <w:sz w:val="17"/>
              </w:rPr>
              <w:t xml:space="preserve">Der Erzeuger darf nur </w:t>
            </w:r>
            <w:r>
              <w:rPr>
                <w:b/>
                <w:sz w:val="17"/>
              </w:rPr>
              <w:t>vorschlagen</w:t>
            </w:r>
            <w:r>
              <w:rPr>
                <w:sz w:val="17"/>
              </w:rPr>
              <w:t>. Ein Vorschlag hält nichts auf und gibt nichts frei; das Feld bleibt leer, bis ein Mensch klickt.</w:t>
            </w:r>
          </w:p>
        </w:tc>
      </w:tr>
      <w:tr>
        <w:tc>
          <w:tcPr>
            <w:tcW w:type="dxa" w:w="2041"/>
          </w:tcPr>
          <w:p>
            <w:pPr>
              <w:spacing w:after="40" w:before="40"/>
            </w:pPr>
            <w:r>
              <w:rPr>
                <w:b/>
                <w:sz w:val="17"/>
              </w:rPr>
              <w:t>Änderung am Anforderungsbild</w:t>
            </w:r>
          </w:p>
        </w:tc>
        <w:tc>
          <w:tcPr>
            <w:tcW w:type="dxa" w:w="3061"/>
          </w:tcPr>
          <w:p>
            <w:pPr>
              <w:spacing w:after="40" w:before="40"/>
            </w:pPr>
            <w:r>
              <w:rPr>
                <w:sz w:val="17"/>
              </w:rPr>
              <w:t>Erneut freigeben.</w:t>
            </w:r>
          </w:p>
        </w:tc>
        <w:tc>
          <w:tcPr>
            <w:tcW w:type="dxa" w:w="4535"/>
          </w:tcPr>
          <w:p>
            <w:pPr>
              <w:spacing w:after="40" w:before="40"/>
            </w:pPr>
            <w:r>
              <w:rPr>
                <w:sz w:val="17"/>
              </w:rPr>
              <w:t xml:space="preserve">Die Änderung setzt nachgelagerte Erzeugnisse </w:t>
            </w:r>
            <w:r>
              <w:rPr>
                <w:b/>
                <w:sz w:val="17"/>
              </w:rPr>
              <w:t>und die eigene Freigabe</w:t>
            </w:r>
            <w:r>
              <w:rPr>
                <w:sz w:val="17"/>
              </w:rPr>
              <w:t xml:space="preserve"> zurück. Sonst baute die Kette gegen einen Inhalt, den niemand freigegeben hat.</w:t>
            </w:r>
          </w:p>
        </w:tc>
      </w:tr>
      <w:tr>
        <w:tc>
          <w:tcPr>
            <w:tcW w:type="dxa" w:w="2041"/>
          </w:tcPr>
          <w:p>
            <w:pPr>
              <w:spacing w:after="40" w:before="40"/>
            </w:pPr>
            <w:r>
              <w:rPr>
                <w:b/>
                <w:sz w:val="17"/>
              </w:rPr>
              <w:t>Endentscheid</w:t>
            </w:r>
          </w:p>
        </w:tc>
        <w:tc>
          <w:tcPr>
            <w:tcW w:type="dxa" w:w="3061"/>
          </w:tcPr>
          <w:p>
            <w:pPr>
              <w:spacing w:after="40" w:before="40"/>
            </w:pPr>
            <w:r>
              <w:rPr>
                <w:sz w:val="17"/>
              </w:rPr>
              <w:t>Zwei getrennte Entscheide: Freigabe des Erzeugnisses und Produktivsetzung.</w:t>
            </w:r>
          </w:p>
        </w:tc>
        <w:tc>
          <w:tcPr>
            <w:tcW w:type="dxa" w:w="4535"/>
          </w:tcPr>
          <w:p>
            <w:pPr>
              <w:spacing w:after="40" w:before="40"/>
            </w:pPr>
            <w:r>
              <w:rPr>
                <w:sz w:val="17"/>
              </w:rPr>
              <w:t>Auch hier drei Ausprägungen – «nicht freigebbar» ist von «technisch abgebrochen» unterscheidbar.</w:t>
            </w:r>
          </w:p>
        </w:tc>
      </w:tr>
    </w:tbl>
    <w:p>
      <w:pPr>
        <w:spacing w:after="40"/>
      </w:pPr>
    </w:p>
    <w:p>
      <w:pPr>
        <w:pStyle w:val="Heading2"/>
      </w:pPr>
      <w:r>
        <w:t>8.2 · Was der Kern selbst entscheiden darf – und warum genau das</w:t>
      </w:r>
    </w:p>
    <w:p>
      <w:r>
        <w:t xml:space="preserve">Genau </w:t>
      </w:r>
      <w:r>
        <w:rPr>
          <w:b/>
        </w:rPr>
        <w:t>ein</w:t>
      </w:r>
      <w:r>
        <w:t xml:space="preserve"> Entscheid ist dem deterministischen Kern zugestanden: Sind sich Erzeuger und Prüfer einig, dass ein Befund zutrifft, setzt der Kern ihn auf «trifft zu». Die Begründung folgt </w:t>
      </w:r>
      <w:r>
        <w:rPr>
          <w:rFonts w:ascii="Consolas" w:hAnsi="Consolas"/>
          <w:sz w:val="19"/>
        </w:rPr>
        <w:t>RA-01</w:t>
      </w:r>
      <w:r>
        <w:t xml:space="preserve"> und </w:t>
      </w:r>
      <w:r>
        <w:rPr>
          <w:rFonts w:ascii="Consolas" w:hAnsi="Consolas"/>
          <w:sz w:val="19"/>
        </w:rPr>
        <w:t>NR-01</w:t>
      </w:r>
      <w:r>
        <w:t>, statt sie zu umgehen:</w:t>
      </w:r>
    </w:p>
    <w:p>
      <w:pPr>
        <w:pStyle w:val="ListBullet"/>
      </w:pPr>
      <w:r>
        <w:rPr>
          <w:b/>
        </w:rPr>
        <w:t>«Trifft zu» gibt nichts preis.</w:t>
      </w:r>
      <w:r>
        <w:t xml:space="preserve"> Es erzeugt Arbeit, es erlässt nichts und gibt nichts frei. Schlimmstenfalls war Mühe umsonst. </w:t>
      </w:r>
      <w:r>
        <w:rPr>
          <w:b/>
        </w:rPr>
        <w:t>«Auflage», «trifft nicht zu» und «Normpflege» sind dagegen Verzichte</w:t>
      </w:r>
      <w:r>
        <w:t xml:space="preserve"> – die bleiben beim Menschen, immer.</w:t>
      </w:r>
    </w:p>
    <w:p>
      <w:pPr>
        <w:pStyle w:val="ListBullet"/>
      </w:pPr>
      <w:r>
        <w:rPr>
          <w:b/>
        </w:rPr>
        <w:t>Einigkeit ist keine Entscheidung.</w:t>
      </w:r>
      <w:r>
        <w:t xml:space="preserve"> Sagt der Erzeuger zum Befund des Prüfers selbst «akzeptiert», sind sich zwei getrennte Instanzen einig; da ist nichts zu wählen. </w:t>
      </w:r>
      <w:r>
        <w:rPr>
          <w:b/>
        </w:rPr>
        <w:t>Widersprechen sie sich, ist das genau der Fall, in dem eine Entscheidung eine ist</w:t>
      </w:r>
      <w:r>
        <w:t xml:space="preserve"> – der geht an den Menschen.</w:t>
      </w:r>
    </w:p>
    <w:p>
      <w:r>
        <w:t xml:space="preserve">Jeder Selbstentscheid trägt das Feld </w:t>
      </w:r>
      <w:r>
        <w:rPr>
          <w:rFonts w:ascii="Consolas" w:hAnsi="Consolas"/>
          <w:sz w:val="19"/>
        </w:rPr>
        <w:t>entscheider: kern</w:t>
      </w:r>
      <w:r>
        <w:t>, ist mit einem Klick überstimmbar, und die ganze Automatik lässt sich abschalten – dann sieht der Mensch wieder jeden Befund.</w:t>
      </w:r>
    </w:p>
    <w:p>
      <w:pPr>
        <w:pStyle w:val="Heading2"/>
      </w:pPr>
      <w:r>
        <w:t>8.3 · Die deterministischen Sicherungen darunter</w:t>
      </w:r>
    </w:p>
    <w:p>
      <w:pPr>
        <w:spacing w:after="60"/>
      </w:pPr>
      <w:r>
        <w:t>Damit die Tore nicht vom Urteil dessen abhängen, den sie begrenzen sollen, rechnet der Kern und nicht das Modell:</w:t>
      </w:r>
    </w:p>
    <w:p>
      <w:pPr>
        <w:pStyle w:val="ListBullet"/>
      </w:pPr>
      <w:r>
        <w:rPr>
          <w:b/>
        </w:rPr>
        <w:t>Ein unbekanntes Befundgewicht zählt als Muss</w:t>
      </w:r>
      <w:r>
        <w:t xml:space="preserve"> – statt aus der Zählung zu fallen. Sonst wäre die Zählung vom Modell steuerbar.</w:t>
      </w:r>
    </w:p>
    <w:p>
      <w:pPr>
        <w:pStyle w:val="ListBullet"/>
      </w:pPr>
      <w:r>
        <w:rPr>
          <w:b/>
        </w:rPr>
        <w:t>Ein Negativraum-Bezug ohne NR--Kennung wird verworfen.</w:t>
      </w:r>
      <w:r>
        <w:t xml:space="preserve"> Ohne Kennung keine harte Kante.</w:t>
      </w:r>
    </w:p>
    <w:p>
      <w:pPr>
        <w:pStyle w:val="ListBullet"/>
      </w:pPr>
      <w:r>
        <w:rPr>
          <w:b/>
        </w:rPr>
        <w:t>Ein Befund ohne Versagensszenario wird auf Hinweis abgestuft</w:t>
      </w:r>
      <w:r>
        <w:t xml:space="preserve"> und fällt damit aus der Zählung, auf der das Abbruchkriterium rechnet.</w:t>
      </w:r>
    </w:p>
    <w:p>
      <w:pPr>
        <w:pStyle w:val="ListBullet"/>
      </w:pPr>
      <w:r>
        <w:rPr>
          <w:b/>
        </w:rPr>
        <w:t>Drei Abbruchgründe, alle vom Kern gerechnet:</w:t>
      </w:r>
      <w:r>
        <w:t xml:space="preserve"> Prüfer zufrieden · Rundenobergrenze · Stillstand. Das Modell entscheidet keinen davon.</w:t>
      </w:r>
    </w:p>
    <w:p>
      <w:pPr>
        <w:pStyle w:val="ListBullet"/>
      </w:pPr>
      <w:r>
        <w:rPr>
          <w:b/>
        </w:rPr>
        <w:t>Der Arbeitsbereich hat keinen freien Netzzugang.</w:t>
      </w:r>
      <w:r>
        <w:t xml:space="preserve"> Der einzige Weg nach außen führt über den Vorschaltdienst – auch für fremderzeugten Code beim Testlauf.</w:t>
      </w:r>
    </w:p>
    <w:p>
      <w:pPr>
        <w:pStyle w:val="Heading1"/>
      </w:pPr>
      <w:r>
        <w:t>9 · Was die Prüfrunden ergeben haben – der ehrliche Teil</w:t>
      </w:r>
    </w:p>
    <w:p>
      <w:r>
        <w:t>Drei Runden gegen die eigene Architektur, ab Runde 2 mit einem getrennten Prüfer. Das Ergebnis ist unbequem und deshalb wertvoll:</w:t>
      </w:r>
    </w:p>
    <w:tbl>
      <w:tblPr>
        <w:tblStyle w:val="TableGrid"/>
        <w:tblW w:type="auto" w:w="0"/>
        <w:jc w:val="left"/>
        <w:tblLook w:firstColumn="1" w:firstRow="1" w:lastColumn="0" w:lastRow="0" w:noHBand="0" w:noVBand="1" w:val="04A0"/>
      </w:tblPr>
      <w:tblGrid>
        <w:gridCol w:w="3286"/>
        <w:gridCol w:w="3286"/>
        <w:gridCol w:w="3286"/>
      </w:tblGrid>
      <w:tr>
        <w:tc>
          <w:tcPr>
            <w:tcW w:type="dxa" w:w="850"/>
            <w:shd w:val="clear" w:color="auto" w:fill="1F3B57"/>
          </w:tcPr>
          <w:p>
            <w:pPr>
              <w:spacing w:after="40" w:before="40"/>
            </w:pPr>
            <w:r>
              <w:rPr>
                <w:b/>
                <w:color w:val="FFFFFF"/>
                <w:sz w:val="17"/>
              </w:rPr>
              <w:t>Runde</w:t>
            </w:r>
          </w:p>
        </w:tc>
        <w:tc>
          <w:tcPr>
            <w:tcW w:type="dxa" w:w="2948"/>
            <w:shd w:val="clear" w:color="auto" w:fill="1F3B57"/>
          </w:tcPr>
          <w:p>
            <w:pPr>
              <w:spacing w:after="40" w:before="40"/>
            </w:pPr>
            <w:r>
              <w:rPr>
                <w:b/>
                <w:color w:val="FFFFFF"/>
                <w:sz w:val="17"/>
              </w:rPr>
              <w:t>Aufbau</w:t>
            </w:r>
          </w:p>
        </w:tc>
        <w:tc>
          <w:tcPr>
            <w:tcW w:type="dxa" w:w="5839"/>
            <w:shd w:val="clear" w:color="auto" w:fill="1F3B57"/>
          </w:tcPr>
          <w:p>
            <w:pPr>
              <w:spacing w:after="40" w:before="40"/>
            </w:pPr>
            <w:r>
              <w:rPr>
                <w:b/>
                <w:color w:val="FFFFFF"/>
                <w:sz w:val="17"/>
              </w:rPr>
              <w:t>Ergebnis</w:t>
            </w:r>
          </w:p>
        </w:tc>
      </w:tr>
      <w:tr>
        <w:tc>
          <w:tcPr>
            <w:tcW w:type="dxa" w:w="850"/>
            <w:shd w:val="clear" w:color="auto" w:fill="EEF1F5"/>
          </w:tcPr>
          <w:p>
            <w:pPr>
              <w:spacing w:after="40" w:before="40"/>
            </w:pPr>
            <w:r>
              <w:rPr>
                <w:b/>
                <w:sz w:val="17"/>
              </w:rPr>
              <w:t>1</w:t>
            </w:r>
          </w:p>
        </w:tc>
        <w:tc>
          <w:tcPr>
            <w:tcW w:type="dxa" w:w="2948"/>
          </w:tcPr>
          <w:p>
            <w:pPr>
              <w:spacing w:after="40" w:before="40"/>
            </w:pPr>
            <w:r>
              <w:rPr>
                <w:sz w:val="17"/>
              </w:rPr>
              <w:t>Erzeuger und Prüfer dieselbe Instanz</w:t>
            </w:r>
          </w:p>
        </w:tc>
        <w:tc>
          <w:tcPr>
            <w:tcW w:type="dxa" w:w="5839"/>
          </w:tcPr>
          <w:p>
            <w:pPr>
              <w:spacing w:after="40" w:before="40"/>
            </w:pPr>
            <w:r>
              <w:rPr>
                <w:sz w:val="17"/>
              </w:rPr>
              <w:t>8 Befunde, 1 Muss (vorbekannt). Die Trennung, die das Verfahren durchsetzen soll, war selbst verletzt.</w:t>
            </w:r>
          </w:p>
        </w:tc>
      </w:tr>
      <w:tr>
        <w:tc>
          <w:tcPr>
            <w:tcW w:type="dxa" w:w="850"/>
            <w:shd w:val="clear" w:color="auto" w:fill="EEF1F5"/>
          </w:tcPr>
          <w:p>
            <w:pPr>
              <w:spacing w:after="40" w:before="40"/>
            </w:pPr>
            <w:r>
              <w:rPr>
                <w:b/>
                <w:sz w:val="17"/>
              </w:rPr>
              <w:t>2</w:t>
            </w:r>
          </w:p>
        </w:tc>
        <w:tc>
          <w:tcPr>
            <w:tcW w:type="dxa" w:w="2948"/>
          </w:tcPr>
          <w:p>
            <w:pPr>
              <w:spacing w:after="40" w:before="40"/>
            </w:pPr>
            <w:r>
              <w:rPr>
                <w:sz w:val="17"/>
              </w:rPr>
              <w:t>getrennter Prüfer, kannte nur Norm und Prüflingstext</w:t>
            </w:r>
          </w:p>
        </w:tc>
        <w:tc>
          <w:tcPr>
            <w:tcW w:type="dxa" w:w="5839"/>
          </w:tcPr>
          <w:p>
            <w:pPr>
              <w:spacing w:after="40" w:before="40"/>
            </w:pPr>
            <w:r>
              <w:rPr>
                <w:b/>
                <w:sz w:val="17"/>
              </w:rPr>
              <w:t>16 Befunde, 3 Muss – alle drei neu.</w:t>
            </w:r>
            <w:r>
              <w:rPr>
                <w:sz w:val="17"/>
              </w:rPr>
              <w:t xml:space="preserve"> Darunter: die eigene Norm mit einem Modellprüfer abgesichert – also genau mit dem, was </w:t>
            </w:r>
            <w:r>
              <w:rPr>
                <w:rFonts w:ascii="Consolas" w:hAnsi="Consolas"/>
                <w:sz w:val="15"/>
              </w:rPr>
              <w:t>NR-08</w:t>
            </w:r>
            <w:r>
              <w:rPr>
                <w:sz w:val="17"/>
              </w:rPr>
              <w:t xml:space="preserve"> verbietet.</w:t>
            </w:r>
          </w:p>
        </w:tc>
      </w:tr>
      <w:tr>
        <w:tc>
          <w:tcPr>
            <w:tcW w:type="dxa" w:w="850"/>
            <w:shd w:val="clear" w:color="auto" w:fill="EEF1F5"/>
          </w:tcPr>
          <w:p>
            <w:pPr>
              <w:spacing w:after="40" w:before="40"/>
            </w:pPr>
            <w:r>
              <w:rPr>
                <w:b/>
                <w:sz w:val="17"/>
              </w:rPr>
              <w:t>3</w:t>
            </w:r>
          </w:p>
        </w:tc>
        <w:tc>
          <w:tcPr>
            <w:tcW w:type="dxa" w:w="2948"/>
          </w:tcPr>
          <w:p>
            <w:pPr>
              <w:spacing w:after="40" w:before="40"/>
            </w:pPr>
            <w:r>
              <w:rPr>
                <w:sz w:val="17"/>
              </w:rPr>
              <w:t>getrennter Prüfer, dichteres Dokument</w:t>
            </w:r>
          </w:p>
        </w:tc>
        <w:tc>
          <w:tcPr>
            <w:tcW w:type="dxa" w:w="5839"/>
          </w:tcPr>
          <w:p>
            <w:pPr>
              <w:spacing w:after="40" w:before="40"/>
            </w:pPr>
            <w:r>
              <w:rPr>
                <w:b/>
                <w:sz w:val="17"/>
              </w:rPr>
              <w:t>16 → 20 Befunde. Nicht konvergiert.</w:t>
            </w:r>
          </w:p>
        </w:tc>
      </w:tr>
    </w:tbl>
    <w:p>
      <w:pPr>
        <w:spacing w:after="40"/>
      </w:pPr>
    </w:p>
    <w:p>
      <w:pPr>
        <w:spacing w:before="140" w:after="180"/>
        <w:ind w:left="283"/>
        <w:pBdr>
          <w:left w:val="single" w:sz="18" w:space="9" w:color="8A3B1F"/>
        </w:pBdr>
      </w:pPr>
      <w:r>
        <w:rPr>
          <w:i/>
        </w:rPr>
        <w:t>Je präziser das Dokument, desto mehr prüfbare Behauptungen – desto mehr Befunde. Ein vages Dokument ist unangreifbar. Die Schleife «läuft, bis der Prüfer zufrieden ist» ist auf einem reichen Gegenstand unrealistisch; der Regelfall ist «Rundenobergrenze erreicht», nicht «Prüfer zufrieden».</w:t>
      </w:r>
    </w:p>
    <w:p>
      <w:r>
        <w:rPr>
          <w:b/>
        </w:rPr>
        <w:t>Folge für die Architektur:</w:t>
      </w:r>
      <w:r>
        <w:t xml:space="preserve"> Die Freigabeversion trägt eine </w:t>
      </w:r>
      <w:r>
        <w:rPr>
          <w:b/>
        </w:rPr>
        <w:t>Restbefundliste</w:t>
      </w:r>
      <w:r>
        <w:t xml:space="preserve"> – sie ist nie befundfrei. Bei null Restbefunden meldet die Oberfläche ausdrücklich, das sei der Ausnahmefall und ein Grund, genauer hinzusehen.</w:t>
      </w:r>
    </w:p>
    <w:p>
      <w:r>
        <w:rPr>
          <w:b/>
        </w:rPr>
        <w:t>Und der schärfste Vorbehalt, der bewusst stehen blieb statt beschönigt zu werden:</w:t>
      </w:r>
      <w:r>
        <w:t xml:space="preserve"> Die Korrektur «Fortschritt wird gezählt, nicht wiedererkannt» trägt nicht vollständig. Der Kern bildet zwar die Summe, aber aus der Befundliste, die das Modell liefert. Ein Prüfer, der Befunde zusammenfasst oder weglässt, erzeugt sinkende Zahlen ohne Fortschritt. Der Anspruch auf einen dritten, deterministischen Ausgleich für </w:t>
      </w:r>
      <w:r>
        <w:rPr>
          <w:rFonts w:ascii="Consolas" w:hAnsi="Consolas"/>
          <w:sz w:val="19"/>
        </w:rPr>
        <w:t>RA-01</w:t>
      </w:r>
      <w:r>
        <w:t xml:space="preserve"> wurde </w:t>
      </w:r>
      <w:r>
        <w:rPr>
          <w:b/>
        </w:rPr>
        <w:t>zurückgenommen</w:t>
      </w:r>
      <w:r>
        <w:t>, nicht behauptet.</w:t>
      </w:r>
    </w:p>
    <w:p>
      <w:pPr>
        <w:pStyle w:val="Heading1"/>
      </w:pPr>
      <w:r>
        <w:t>10 · Anschlussstellen</w:t>
      </w:r>
    </w:p>
    <w:p>
      <w:pPr>
        <w:pStyle w:val="Heading2"/>
      </w:pPr>
      <w:r>
        <w:t>10.1 · Zur KI-Governance von Kanton und Stadt Zürich</w:t>
      </w:r>
    </w:p>
    <w:p>
      <w:r>
        <w:t>Der Regierungsrat hat am 9. Juli 2026 die kantonale KI-Serviceplattform bewilligt; die Stadt führt ihre KI-Richtlinie seit August 2025. Die städtische Datenschutzstelle hält im Tätigkeitsbericht 2025 fest, dass Risiken regelmäßig unterschätzt werden, das Bewusstsein für die verbindlichen Prozessanforderungen fehlt und zu wenige Projekte proaktiv angemeldet werden.</w:t>
      </w:r>
    </w:p>
    <w:p>
      <w:pPr>
        <w:spacing w:after="60"/>
      </w:pPr>
      <w:r>
        <w:rPr>
          <w:b/>
        </w:rPr>
        <w:t>Was aus diesem Dokument dazu trägt</w:t>
      </w:r>
      <w:r>
        <w:t xml:space="preserve"> – nicht als Produkt, sondern als Bauweise:</w:t>
      </w:r>
    </w:p>
    <w:p>
      <w:pPr>
        <w:pStyle w:val="ListBullet"/>
      </w:pPr>
      <w:r>
        <w:rPr>
          <w:b/>
        </w:rPr>
        <w:t>Regeln als Code, nicht als PDF.</w:t>
      </w:r>
      <w:r>
        <w:t xml:space="preserve"> Eine Richtlinie, die nur als Dokument existiert, wird umgangen; eine, die als Prüfschritt im Werkzeug steckt, nicht. Genau das ist der Unterschied zwischen der städtischen Feststellung und ihrer Behebung.</w:t>
      </w:r>
    </w:p>
    <w:p>
      <w:pPr>
        <w:pStyle w:val="ListBullet"/>
      </w:pPr>
      <w:r>
        <w:rPr>
          <w:b/>
        </w:rPr>
        <w:t>Kennungen statt Appelle.</w:t>
      </w:r>
      <w:r>
        <w:t xml:space="preserve"> Ein Befund, der eine Kennung nennt, ist nachprüfbar; «das verstößt gegen unsere Grundsätze» ist es nicht. Das ist auf jedes Regelwerk übertragbar, auch auf eine kantonale KI-Richtlinie.</w:t>
      </w:r>
    </w:p>
    <w:p>
      <w:pPr>
        <w:pStyle w:val="ListBullet"/>
      </w:pPr>
      <w:r>
        <w:rPr>
          <w:b/>
        </w:rPr>
        <w:t>Nachweis als Objekt.</w:t>
      </w:r>
      <w:r>
        <w:t xml:space="preserve"> Ein Lauf, der kein versioniertes Protokoll hinterlässt, hat nicht stattgefunden – er ist nur gut ausgegangen. Das ist dieselbe Anforderung, die hinter einem Verzeichnis algorithmischer Entscheidsysteme steht.</w:t>
      </w:r>
    </w:p>
    <w:p>
      <w:pPr>
        <w:spacing w:before="140" w:after="180"/>
        <w:ind w:left="283"/>
        <w:pBdr>
          <w:left w:val="single" w:sz="18" w:space="9" w:color="8A3B1F"/>
        </w:pBdr>
      </w:pPr>
      <w:r>
        <w:rPr>
          <w:b/>
          <w:i/>
        </w:rPr>
        <w:t>Die ehrliche Einschränkung:</w:t>
      </w:r>
      <w:r>
        <w:rPr>
          <w:i/>
        </w:rPr>
        <w:t xml:space="preserve"> Die Werkbank erzeugt Software; die Zürcher Beschlüsse regeln den KI-Einsatz in der Verwaltung. Der Übertrag liegt auf der Ebene der Bauweise, nicht des Anwendungsfalls. Wer sie als Lösung für das Zürcher Problem darstellt, überdehnt – und verliert genau den Fachleuten gegenüber an Glaubwürdigkeit, auf die es ankäme.</w:t>
      </w:r>
    </w:p>
    <w:p>
      <w:pPr>
        <w:pStyle w:val="Heading2"/>
      </w:pPr>
      <w:r>
        <w:t>10.2 · Zur Forschungsarbeit</w:t>
      </w:r>
    </w:p>
    <w:p>
      <w:r>
        <w:t xml:space="preserve">Die These lautet, dass KI bewusstes Urteilen erodiert und dies ein </w:t>
      </w:r>
      <w:r>
        <w:rPr>
          <w:b/>
        </w:rPr>
        <w:t>Gestaltungsproblem</w:t>
      </w:r>
      <w:r>
        <w:t xml:space="preserve"> ist, kein Schulungsproblem. Die Werkbank ist dafür ein Beleg in beide Richtungen – und die zweite Richtung ist die wertvollere:</w:t>
      </w:r>
    </w:p>
    <w:p>
      <w:pPr>
        <w:pStyle w:val="ListBullet"/>
      </w:pPr>
      <w:r>
        <w:rPr>
          <w:b/>
        </w:rPr>
        <w:t>Gestaltbarkeit ist zeigbar.</w:t>
      </w:r>
      <w:r>
        <w:t xml:space="preserve"> Kapitel 8 beschreibt Stellen, an denen Durchklicken konstruktiv verhindert wird: die erzwungene Dreiheit aus Auflage, Verantwortlichkeit und Frist; die gesperrte Vertagung bei einem Muss; die Trennung von Vorschlag und Entscheid; die Regel, dass nur Nicht-Verzichte automatisierbar sind.</w:t>
      </w:r>
    </w:p>
    <w:p>
      <w:pPr>
        <w:pStyle w:val="ListBullet"/>
      </w:pPr>
      <w:r>
        <w:rPr>
          <w:b/>
        </w:rPr>
        <w:t>Die Grenze ist gemessen, nicht behauptet.</w:t>
      </w:r>
      <w:r>
        <w:t xml:space="preserve"> Runde 3 konvergierte nicht, und der deterministische Ausgleich für </w:t>
      </w:r>
      <w:r>
        <w:rPr>
          <w:rFonts w:ascii="Consolas" w:hAnsi="Consolas"/>
          <w:sz w:val="19"/>
        </w:rPr>
        <w:t>RA-01</w:t>
      </w:r>
      <w:r>
        <w:t xml:space="preserve"> trägt nicht vollständig. Das ist keine Schwäche des Belegs, sondern sein wissenschaftlich brauchbarster Teil – eine Zustandsmaschine samt der Stelle, an der sie nicht hält.</w:t>
      </w:r>
    </w:p>
    <w:p>
      <w:pPr>
        <w:pStyle w:val="Heading1"/>
      </w:pPr>
      <w:r>
        <w:t>11 · Grenzen dieses Dokuments</w:t>
      </w:r>
    </w:p>
    <w:p>
      <w:pPr>
        <w:pStyle w:val="ListBullet"/>
      </w:pPr>
      <w:r>
        <w:rPr>
          <w:b/>
        </w:rPr>
        <w:t>Erhoben, nicht bewertet.</w:t>
      </w:r>
      <w:r>
        <w:t xml:space="preserve"> Die Angaben stammen aus der Skill- und Normablage sowie aus dem Quelltext, Stand 11. August 2026. Wo eine Norm etwas verlangt, heißt das nicht, dass es überall umgesetzt ist.</w:t>
      </w:r>
    </w:p>
    <w:p>
      <w:pPr>
        <w:pStyle w:val="ListBullet"/>
      </w:pPr>
      <w:r>
        <w:rPr>
          <w:b/>
        </w:rPr>
        <w:t>Nicht erfüllt und nicht behauptet:</w:t>
      </w:r>
      <w:r>
        <w:t xml:space="preserve"> Die Werkbank hat keine Mandantentrennung; </w:t>
      </w:r>
      <w:r>
        <w:rPr>
          <w:rFonts w:ascii="Consolas" w:hAnsi="Consolas"/>
          <w:sz w:val="19"/>
        </w:rPr>
        <w:t>RA-08</w:t>
      </w:r>
      <w:r>
        <w:t xml:space="preserve"> ist offen. Der Aufrufnachweis ist noch kein Objekt mit Governance-Feldern (</w:t>
      </w:r>
      <w:r>
        <w:rPr>
          <w:rFonts w:ascii="Consolas" w:hAnsi="Consolas"/>
          <w:sz w:val="19"/>
        </w:rPr>
        <w:t>RA-13</w:t>
      </w:r>
      <w:r>
        <w:t xml:space="preserve"> teilweise). Der Vorschaltdienst ist Entwurf – lokal läuft die Werkbank im ausdrücklich zu setzenden Direktmodus, der sich beim Start meldet.</w:t>
      </w:r>
    </w:p>
    <w:p>
      <w:pPr>
        <w:pStyle w:val="ListBullet"/>
      </w:pPr>
      <w:r>
        <w:rPr>
          <w:b/>
        </w:rPr>
        <w:t>Die Bedienungsnorm fehlt.</w:t>
      </w:r>
      <w:r>
        <w:t xml:space="preserve"> Der Abschnitt Oberfläche in den Entwicklungsrichtlinien weist sich selbst als unvollständig aus, solange der familienweite UX-Leitfaden nicht in der Normablage liegt.</w:t>
      </w:r>
    </w:p>
    <w:p>
      <w:pPr>
        <w:pStyle w:val="ListBullet"/>
      </w:pPr>
      <w:r>
        <w:rPr>
          <w:b/>
        </w:rPr>
        <w:t>Offene Entscheide (Liste 3):</w:t>
      </w:r>
      <w:r>
        <w:t xml:space="preserve"> Vorrang bei Uneinigkeit zwischen Erzeuger und Prüfer · die Bedingung, unter der eine hochgeladene Unterlage zur Norm wird – sicherheitsrelevant, weil sonst ein Upload die Normen aushöhlen könnte.</w:t>
      </w:r>
    </w:p>
    <w:sectPr w:rsidR="00FC693F" w:rsidRPr="0006063C" w:rsidSect="00034616">
      <w:footerReference w:type="default" r:id="rId9"/>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Werkbank – Rahmenbedingungen v1.0  </w:t>
    </w:r>
    <w:r>
      <w:rPr>
        <w:color w:val="5A5A5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Calibri" w:hAnsi="Calibri"/>
      <w:b/>
      <w:bCs/>
      <w:color w:val="1F3B57"/>
      <w:sz w:val="30"/>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F3B57"/>
      <w:sz w:val="24"/>
      <w:szCs w:val="26"/>
    </w:rPr>
  </w:style>
  <w:style w:type="paragraph" w:styleId="Heading3">
    <w:name w:val="heading 3"/>
    <w:basedOn w:val="Normal"/>
    <w:next w:val="Normal"/>
    <w:link w:val="Heading3Char"/>
    <w:uiPriority w:val="9"/>
    <w:unhideWhenUsed/>
    <w:qFormat/>
    <w:rsid w:val="00FC693F"/>
    <w:pPr>
      <w:keepNext/>
      <w:keepLines/>
      <w:spacing w:before="300" w:after="100"/>
      <w:outlineLvl w:val="2"/>
    </w:pPr>
    <w:rPr>
      <w:rFonts w:asciiTheme="majorHAnsi" w:eastAsiaTheme="majorEastAsia" w:hAnsiTheme="majorHAnsi" w:cstheme="majorBidi" w:ascii="Calibri" w:hAnsi="Calibri"/>
      <w:b/>
      <w:bCs/>
      <w:color w:val="1F3B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