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160000" cy="966017"/>
            <wp:docPr id="1" name="Picture 1"/>
            <wp:cNvGraphicFramePr>
              <a:graphicFrameLocks noChangeAspect="1"/>
            </wp:cNvGraphicFramePr>
            <a:graphic>
              <a:graphicData uri="http://schemas.openxmlformats.org/drawingml/2006/picture">
                <pic:pic>
                  <pic:nvPicPr>
                    <pic:cNvPr id="0" name="Logo_oranje.png"/>
                    <pic:cNvPicPr/>
                  </pic:nvPicPr>
                  <pic:blipFill>
                    <a:blip r:embed="rId9"/>
                    <a:stretch>
                      <a:fillRect/>
                    </a:stretch>
                  </pic:blipFill>
                  <pic:spPr>
                    <a:xfrm>
                      <a:off x="0" y="0"/>
                      <a:ext cx="2160000" cy="966017"/>
                    </a:xfrm>
                    <a:prstGeom prst="rect"/>
                  </pic:spPr>
                </pic:pic>
              </a:graphicData>
            </a:graphic>
          </wp:inline>
        </w:drawing>
      </w:r>
    </w:p>
    <w:p/>
    <w:p>
      <w:pPr>
        <w:jc w:val="left"/>
      </w:pPr>
      <w:r>
        <w:rPr>
          <w:b/>
          <w:color w:val="1B3B6F"/>
          <w:sz w:val="52"/>
        </w:rPr>
        <w:t>AI Readiness Assessment Rapport</w:t>
      </w:r>
    </w:p>
    <w:p>
      <w:r>
        <w:rPr>
          <w:b/>
          <w:color w:val="F7941D"/>
          <w:sz w:val="36"/>
        </w:rPr>
        <w:t>Universiteit Leiden</w:t>
      </w:r>
    </w:p>
    <w:p>
      <w:r>
        <w:rPr>
          <w:color w:val="666666"/>
          <w:sz w:val="20"/>
        </w:rPr>
        <w:t>Respondent: Kaspar van Hulst   |   Sector: Onderwijs   |   Datum: 04 April 2026</w:t>
      </w:r>
    </w:p>
    <w:p>
      <w:pPr>
        <w:pBdr>
          <w:bottom w:val="single" w:sz="6" w:space="1" w:color="F7941D"/>
        </w:pBdr>
        <w:spacing w:after="80"/>
      </w:pPr>
    </w:p>
    <w:p/>
    <w:tbl>
      <w:tblPr>
        <w:tblStyle w:val="TableGrid"/>
        <w:tblW w:type="auto" w:w="0"/>
        <w:tblLook w:firstColumn="1" w:firstRow="1" w:lastColumn="0" w:lastRow="0" w:noHBand="0" w:noVBand="1" w:val="04A0"/>
      </w:tblPr>
      <w:tblGrid>
        <w:gridCol w:w="4561"/>
        <w:gridCol w:w="4561"/>
      </w:tblGrid>
      <w:tr>
        <w:tc>
          <w:tcPr>
            <w:tcW w:type="dxa" w:w="4561"/>
            <w:shd w:val="clear" w:color="auto" w:fill="1B3B6F"/>
          </w:tcPr>
          <w:p>
            <w:pPr>
              <w:jc w:val="center"/>
            </w:pPr>
            <w:r>
              <w:rPr>
                <w:b/>
                <w:color w:val="FFFFFF"/>
                <w:sz w:val="32"/>
              </w:rPr>
              <w:t>Totaalscore</w:t>
              <w:br/>
              <w:t>2.1 / 5.0  (43%)</w:t>
            </w:r>
          </w:p>
        </w:tc>
        <w:tc>
          <w:tcPr>
            <w:tcW w:type="dxa" w:w="4561"/>
            <w:shd w:val="clear" w:color="auto" w:fill="F7941D"/>
          </w:tcPr>
          <w:p>
            <w:pPr>
              <w:jc w:val="center"/>
            </w:pPr>
            <w:r>
              <w:rPr>
                <w:b/>
                <w:color w:val="FFFFFF"/>
                <w:sz w:val="32"/>
              </w:rPr>
              <w:t>Maturiteitsniveau</w:t>
              <w:br/>
              <w:t>In ontwikkeling</w:t>
            </w:r>
          </w:p>
        </w:tc>
      </w:tr>
    </w:tbl>
    <w:p/>
    <w:p>
      <w:pPr>
        <w:pBdr>
          <w:bottom w:val="single" w:sz="6" w:space="1" w:color="F7941D"/>
        </w:pBdr>
        <w:spacing w:after="80"/>
      </w:pPr>
    </w:p>
    <w:p>
      <w:pPr>
        <w:pStyle w:val="Heading2"/>
      </w:pPr>
      <w:r>
        <w:rPr>
          <w:color w:val="1B3B6F"/>
          <w:sz w:val="28"/>
        </w:rPr>
        <w:t>Overzicht scores per dimensie</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B3B6F"/>
          </w:tcPr>
          <w:p>
            <w:r>
              <w:rPr>
                <w:b/>
                <w:color w:val="FFFFFF"/>
                <w:sz w:val="20"/>
              </w:rPr>
              <w:t>Dimensie</w:t>
            </w:r>
          </w:p>
        </w:tc>
        <w:tc>
          <w:tcPr>
            <w:tcW w:type="dxa" w:w="2280"/>
            <w:shd w:val="clear" w:color="auto" w:fill="1B3B6F"/>
          </w:tcPr>
          <w:p>
            <w:r>
              <w:rPr>
                <w:b/>
                <w:color w:val="FFFFFF"/>
                <w:sz w:val="20"/>
              </w:rPr>
              <w:t>Score</w:t>
            </w:r>
          </w:p>
        </w:tc>
        <w:tc>
          <w:tcPr>
            <w:tcW w:type="dxa" w:w="2280"/>
            <w:shd w:val="clear" w:color="auto" w:fill="1B3B6F"/>
          </w:tcPr>
          <w:p>
            <w:r>
              <w:rPr>
                <w:b/>
                <w:color w:val="FFFFFF"/>
                <w:sz w:val="20"/>
              </w:rPr>
              <w:t>Percentage</w:t>
            </w:r>
          </w:p>
        </w:tc>
        <w:tc>
          <w:tcPr>
            <w:tcW w:type="dxa" w:w="2280"/>
            <w:shd w:val="clear" w:color="auto" w:fill="1B3B6F"/>
          </w:tcPr>
          <w:p>
            <w:r>
              <w:rPr>
                <w:b/>
                <w:color w:val="FFFFFF"/>
                <w:sz w:val="20"/>
              </w:rPr>
              <w:t>Niveau</w:t>
            </w:r>
          </w:p>
        </w:tc>
      </w:tr>
      <w:tr>
        <w:tc>
          <w:tcPr>
            <w:tcW w:type="dxa" w:w="2280"/>
          </w:tcPr>
          <w:p>
            <w:r>
              <w:rPr>
                <w:sz w:val="20"/>
              </w:rPr>
              <w:t>Data Readiness</w:t>
            </w:r>
          </w:p>
        </w:tc>
        <w:tc>
          <w:tcPr>
            <w:tcW w:type="dxa" w:w="2280"/>
          </w:tcPr>
          <w:p>
            <w:r>
              <w:rPr>
                <w:sz w:val="20"/>
              </w:rPr>
              <w:t>4.5 / 5.0</w:t>
            </w:r>
          </w:p>
        </w:tc>
        <w:tc>
          <w:tcPr>
            <w:tcW w:type="dxa" w:w="2280"/>
          </w:tcPr>
          <w:p>
            <w:r>
              <w:rPr>
                <w:sz w:val="20"/>
              </w:rPr>
              <w:t>90%</w:t>
            </w:r>
          </w:p>
        </w:tc>
        <w:tc>
          <w:tcPr>
            <w:tcW w:type="dxa" w:w="2280"/>
            <w:shd w:val="clear" w:color="auto" w:fill="28A745"/>
          </w:tcPr>
          <w:p>
            <w:r>
              <w:rPr>
                <w:b/>
                <w:color w:val="FFFFFF"/>
                <w:sz w:val="20"/>
              </w:rPr>
              <w:t>Leidend</w:t>
            </w:r>
          </w:p>
        </w:tc>
      </w:tr>
      <w:tr>
        <w:tc>
          <w:tcPr>
            <w:tcW w:type="dxa" w:w="2280"/>
          </w:tcPr>
          <w:p>
            <w:r>
              <w:rPr>
                <w:sz w:val="20"/>
              </w:rPr>
              <w:t>Strategic &amp; Leadership Readiness</w:t>
            </w:r>
          </w:p>
        </w:tc>
        <w:tc>
          <w:tcPr>
            <w:tcW w:type="dxa" w:w="2280"/>
          </w:tcPr>
          <w:p>
            <w:r>
              <w:rPr>
                <w:sz w:val="20"/>
              </w:rPr>
              <w:t>2.5 / 5.0</w:t>
            </w:r>
          </w:p>
        </w:tc>
        <w:tc>
          <w:tcPr>
            <w:tcW w:type="dxa" w:w="2280"/>
          </w:tcPr>
          <w:p>
            <w:r>
              <w:rPr>
                <w:sz w:val="20"/>
              </w:rPr>
              <w:t>50%</w:t>
            </w:r>
          </w:p>
        </w:tc>
        <w:tc>
          <w:tcPr>
            <w:tcW w:type="dxa" w:w="2280"/>
            <w:shd w:val="clear" w:color="auto" w:fill="F7941D"/>
          </w:tcPr>
          <w:p>
            <w:r>
              <w:rPr>
                <w:b/>
                <w:color w:val="FFFFFF"/>
                <w:sz w:val="20"/>
              </w:rPr>
              <w:t>In ontwikkeling</w:t>
            </w:r>
          </w:p>
        </w:tc>
      </w:tr>
      <w:tr>
        <w:tc>
          <w:tcPr>
            <w:tcW w:type="dxa" w:w="2280"/>
          </w:tcPr>
          <w:p>
            <w:r>
              <w:rPr>
                <w:sz w:val="20"/>
              </w:rPr>
              <w:t>Risk, Compliance &amp; Responsible AI</w:t>
            </w:r>
          </w:p>
        </w:tc>
        <w:tc>
          <w:tcPr>
            <w:tcW w:type="dxa" w:w="2280"/>
          </w:tcPr>
          <w:p>
            <w:r>
              <w:rPr>
                <w:sz w:val="20"/>
              </w:rPr>
              <w:t>2.0 / 5.0</w:t>
            </w:r>
          </w:p>
        </w:tc>
        <w:tc>
          <w:tcPr>
            <w:tcW w:type="dxa" w:w="2280"/>
          </w:tcPr>
          <w:p>
            <w:r>
              <w:rPr>
                <w:sz w:val="20"/>
              </w:rPr>
              <w:t>40%</w:t>
            </w:r>
          </w:p>
        </w:tc>
        <w:tc>
          <w:tcPr>
            <w:tcW w:type="dxa" w:w="2280"/>
            <w:shd w:val="clear" w:color="auto" w:fill="F7941D"/>
          </w:tcPr>
          <w:p>
            <w:r>
              <w:rPr>
                <w:b/>
                <w:color w:val="FFFFFF"/>
                <w:sz w:val="20"/>
              </w:rPr>
              <w:t>In ontwikkeling</w:t>
            </w:r>
          </w:p>
        </w:tc>
      </w:tr>
      <w:tr>
        <w:tc>
          <w:tcPr>
            <w:tcW w:type="dxa" w:w="2280"/>
          </w:tcPr>
          <w:p>
            <w:r>
              <w:rPr>
                <w:sz w:val="20"/>
              </w:rPr>
              <w:t>Technology Infrastructure &amp; Tooling</w:t>
            </w:r>
          </w:p>
        </w:tc>
        <w:tc>
          <w:tcPr>
            <w:tcW w:type="dxa" w:w="2280"/>
          </w:tcPr>
          <w:p>
            <w:r>
              <w:rPr>
                <w:sz w:val="20"/>
              </w:rPr>
              <w:t>2.0 / 5.0</w:t>
            </w:r>
          </w:p>
        </w:tc>
        <w:tc>
          <w:tcPr>
            <w:tcW w:type="dxa" w:w="2280"/>
          </w:tcPr>
          <w:p>
            <w:r>
              <w:rPr>
                <w:sz w:val="20"/>
              </w:rPr>
              <w:t>40%</w:t>
            </w:r>
          </w:p>
        </w:tc>
        <w:tc>
          <w:tcPr>
            <w:tcW w:type="dxa" w:w="2280"/>
            <w:shd w:val="clear" w:color="auto" w:fill="F7941D"/>
          </w:tcPr>
          <w:p>
            <w:r>
              <w:rPr>
                <w:b/>
                <w:color w:val="FFFFFF"/>
                <w:sz w:val="20"/>
              </w:rPr>
              <w:t>In ontwikkeling</w:t>
            </w:r>
          </w:p>
        </w:tc>
      </w:tr>
      <w:tr>
        <w:tc>
          <w:tcPr>
            <w:tcW w:type="dxa" w:w="2280"/>
          </w:tcPr>
          <w:p>
            <w:r>
              <w:rPr>
                <w:sz w:val="20"/>
              </w:rPr>
              <w:t>Skills &amp; Organizational Capability</w:t>
            </w:r>
          </w:p>
        </w:tc>
        <w:tc>
          <w:tcPr>
            <w:tcW w:type="dxa" w:w="2280"/>
          </w:tcPr>
          <w:p>
            <w:r>
              <w:rPr>
                <w:sz w:val="20"/>
              </w:rPr>
              <w:t>1.5 / 5.0</w:t>
            </w:r>
          </w:p>
        </w:tc>
        <w:tc>
          <w:tcPr>
            <w:tcW w:type="dxa" w:w="2280"/>
          </w:tcPr>
          <w:p>
            <w:r>
              <w:rPr>
                <w:sz w:val="20"/>
              </w:rPr>
              <w:t>30%</w:t>
            </w:r>
          </w:p>
        </w:tc>
        <w:tc>
          <w:tcPr>
            <w:tcW w:type="dxa" w:w="2280"/>
            <w:shd w:val="clear" w:color="auto" w:fill="DC3545"/>
          </w:tcPr>
          <w:p>
            <w:r>
              <w:rPr>
                <w:b/>
                <w:color w:val="FFFFFF"/>
                <w:sz w:val="20"/>
              </w:rPr>
              <w:t>Beginnend</w:t>
            </w:r>
          </w:p>
        </w:tc>
      </w:tr>
      <w:tr>
        <w:tc>
          <w:tcPr>
            <w:tcW w:type="dxa" w:w="2280"/>
          </w:tcPr>
          <w:p>
            <w:r>
              <w:rPr>
                <w:sz w:val="20"/>
              </w:rPr>
              <w:t>Use Case Maturity &amp; Adoption</w:t>
            </w:r>
          </w:p>
        </w:tc>
        <w:tc>
          <w:tcPr>
            <w:tcW w:type="dxa" w:w="2280"/>
          </w:tcPr>
          <w:p>
            <w:r>
              <w:rPr>
                <w:sz w:val="20"/>
              </w:rPr>
              <w:t>1.5 / 5.0</w:t>
            </w:r>
          </w:p>
        </w:tc>
        <w:tc>
          <w:tcPr>
            <w:tcW w:type="dxa" w:w="2280"/>
          </w:tcPr>
          <w:p>
            <w:r>
              <w:rPr>
                <w:sz w:val="20"/>
              </w:rPr>
              <w:t>30%</w:t>
            </w:r>
          </w:p>
        </w:tc>
        <w:tc>
          <w:tcPr>
            <w:tcW w:type="dxa" w:w="2280"/>
            <w:shd w:val="clear" w:color="auto" w:fill="DC3545"/>
          </w:tcPr>
          <w:p>
            <w:r>
              <w:rPr>
                <w:b/>
                <w:color w:val="FFFFFF"/>
                <w:sz w:val="20"/>
              </w:rPr>
              <w:t>Beginnend</w:t>
            </w:r>
          </w:p>
        </w:tc>
      </w:tr>
      <w:tr>
        <w:tc>
          <w:tcPr>
            <w:tcW w:type="dxa" w:w="2280"/>
          </w:tcPr>
          <w:p>
            <w:r>
              <w:rPr>
                <w:sz w:val="20"/>
              </w:rPr>
              <w:t>Operations, Culture &amp; Delivery</w:t>
            </w:r>
          </w:p>
        </w:tc>
        <w:tc>
          <w:tcPr>
            <w:tcW w:type="dxa" w:w="2280"/>
          </w:tcPr>
          <w:p>
            <w:r>
              <w:rPr>
                <w:sz w:val="20"/>
              </w:rPr>
              <w:t>1.0 / 5.0</w:t>
            </w:r>
          </w:p>
        </w:tc>
        <w:tc>
          <w:tcPr>
            <w:tcW w:type="dxa" w:w="2280"/>
          </w:tcPr>
          <w:p>
            <w:r>
              <w:rPr>
                <w:sz w:val="20"/>
              </w:rPr>
              <w:t>20%</w:t>
            </w:r>
          </w:p>
        </w:tc>
        <w:tc>
          <w:tcPr>
            <w:tcW w:type="dxa" w:w="2280"/>
            <w:shd w:val="clear" w:color="auto" w:fill="DC3545"/>
          </w:tcPr>
          <w:p>
            <w:r>
              <w:rPr>
                <w:b/>
                <w:color w:val="FFFFFF"/>
                <w:sz w:val="20"/>
              </w:rPr>
              <w:t>Beginnend</w:t>
            </w:r>
          </w:p>
        </w:tc>
      </w:tr>
    </w:tbl>
    <w:p/>
    <w:p>
      <w:pPr>
        <w:pBdr>
          <w:bottom w:val="single" w:sz="6" w:space="1" w:color="F7941D"/>
        </w:pBdr>
        <w:spacing w:after="80"/>
      </w:pPr>
    </w:p>
    <w:p>
      <w:pPr>
        <w:pStyle w:val="Heading1"/>
      </w:pPr>
      <w:r>
        <w:rPr>
          <w:color w:val="1B3B6F"/>
          <w:sz w:val="36"/>
        </w:rPr>
        <w:t>AI Readiness Assessment Rapport</w:t>
      </w:r>
    </w:p>
    <w:p>
      <w:pPr>
        <w:spacing w:after="80"/>
      </w:pPr>
    </w:p>
    <w:p>
      <w:pPr>
        <w:spacing w:after="120"/>
      </w:pPr>
      <w:r>
        <w:rPr>
          <w:b/>
          <w:sz w:val="22"/>
        </w:rPr>
        <w:t>Organisatie:</w:t>
      </w:r>
      <w:r>
        <w:rPr>
          <w:b w:val="0"/>
          <w:sz w:val="22"/>
        </w:rPr>
        <w:t xml:space="preserve"> Universiteit Leiden</w:t>
      </w:r>
    </w:p>
    <w:p>
      <w:pPr>
        <w:spacing w:after="120"/>
      </w:pPr>
      <w:r>
        <w:rPr>
          <w:b/>
          <w:sz w:val="22"/>
        </w:rPr>
        <w:t>Respondent:</w:t>
      </w:r>
      <w:r>
        <w:rPr>
          <w:b w:val="0"/>
          <w:sz w:val="22"/>
        </w:rPr>
        <w:t xml:space="preserve"> Kaspar van Hulst</w:t>
      </w:r>
    </w:p>
    <w:p>
      <w:pPr>
        <w:spacing w:after="120"/>
      </w:pPr>
      <w:r>
        <w:rPr>
          <w:b/>
          <w:sz w:val="22"/>
        </w:rPr>
        <w:t>Sector:</w:t>
      </w:r>
      <w:r>
        <w:rPr>
          <w:b w:val="0"/>
          <w:sz w:val="22"/>
        </w:rPr>
        <w:t xml:space="preserve"> Onderwijs</w:t>
      </w:r>
    </w:p>
    <w:p>
      <w:pPr>
        <w:spacing w:after="120"/>
      </w:pPr>
      <w:r>
        <w:rPr>
          <w:b/>
          <w:sz w:val="22"/>
        </w:rPr>
        <w:t>Datum:</w:t>
      </w:r>
      <w:r>
        <w:rPr>
          <w:b w:val="0"/>
          <w:sz w:val="22"/>
        </w:rPr>
        <w:t xml:space="preserve"> 4 april 2026</w:t>
      </w:r>
    </w:p>
    <w:p>
      <w:pPr>
        <w:spacing w:after="120"/>
      </w:pPr>
      <w:r>
        <w:rPr>
          <w:b/>
          <w:sz w:val="22"/>
        </w:rPr>
        <w:t>Assessment uitgevoerd door:</w:t>
      </w:r>
      <w:r>
        <w:rPr>
          <w:b w:val="0"/>
          <w:sz w:val="22"/>
        </w:rPr>
        <w:t xml:space="preserve"> Straightable Innovatie &amp; Strategie</w:t>
      </w:r>
    </w:p>
    <w:p>
      <w:pPr>
        <w:spacing w:after="80"/>
      </w:pPr>
    </w:p>
    <w:p>
      <w:pPr>
        <w:spacing w:after="120"/>
      </w:pPr>
      <w:r>
        <w:rPr>
          <w:b w:val="0"/>
          <w:sz w:val="22"/>
        </w:rPr>
        <w:t>---</w:t>
      </w:r>
    </w:p>
    <w:p>
      <w:pPr>
        <w:spacing w:after="80"/>
      </w:pPr>
    </w:p>
    <w:p>
      <w:pPr>
        <w:pStyle w:val="Heading2"/>
      </w:pPr>
      <w:r>
        <w:rPr>
          <w:color w:val="1B3B6F"/>
          <w:sz w:val="28"/>
        </w:rPr>
        <w:t>Managementsamenvatting</w:t>
      </w:r>
    </w:p>
    <w:p>
      <w:pPr>
        <w:spacing w:after="80"/>
      </w:pPr>
    </w:p>
    <w:p>
      <w:pPr>
        <w:spacing w:after="120"/>
      </w:pPr>
      <w:r>
        <w:rPr>
          <w:b w:val="0"/>
          <w:sz w:val="22"/>
        </w:rPr>
        <w:t xml:space="preserve">Universiteit Leiden bevindt zich in het </w:t>
      </w:r>
      <w:r>
        <w:rPr>
          <w:b/>
          <w:sz w:val="22"/>
        </w:rPr>
        <w:t>Developing</w:t>
      </w:r>
      <w:r>
        <w:rPr>
          <w:b w:val="0"/>
          <w:sz w:val="22"/>
        </w:rPr>
        <w:t xml:space="preserve"> maturiteitsniveau met een overall score van </w:t>
      </w:r>
      <w:r>
        <w:rPr>
          <w:b/>
          <w:sz w:val="22"/>
        </w:rPr>
        <w:t>2,14 op 5</w:t>
      </w:r>
      <w:r>
        <w:rPr>
          <w:b w:val="0"/>
          <w:sz w:val="22"/>
        </w:rPr>
        <w:t xml:space="preserve"> (42,9%). Dit betekent dat de universiteit een solide fundament heeft gelegd, maar nog significante stappen moet zetten om AI effectief en verantwoord in te zetten binnen onderwijs en onderzoek.</w:t>
      </w:r>
    </w:p>
    <w:p>
      <w:pPr>
        <w:spacing w:after="80"/>
      </w:pPr>
    </w:p>
    <w:p>
      <w:pPr>
        <w:spacing w:after="120"/>
      </w:pPr>
      <w:r>
        <w:rPr>
          <w:b w:val="0"/>
          <w:sz w:val="22"/>
        </w:rPr>
        <w:t>De meest opvallende bevinding is het sterke contrast tussen de uitstekende Data Readiness (4,5) en de beduidend lagere operationele en culturele gereedheid (1,0). Dit wijst op een organisatie die beschikt over hoogwaardige data-infrastructuur, maar worstelt met het vertalen hiervan naar concrete AI-toepassingen en breed gedragen werkwijzen. De dimensie Strategic &amp; Leadership Readiness scoort gemiddeld (2,5), wat suggereert dat er visie is op AI, maar dat deze nog onvoldoende is doorvertaald naar de werkvloer.</w:t>
      </w:r>
    </w:p>
    <w:p>
      <w:pPr>
        <w:spacing w:after="80"/>
      </w:pPr>
    </w:p>
    <w:p>
      <w:pPr>
        <w:spacing w:after="120"/>
      </w:pPr>
      <w:r>
        <w:rPr>
          <w:b w:val="0"/>
          <w:sz w:val="22"/>
        </w:rPr>
        <w:t>Voor de komende periode is de belangrijkste prioriteit het versterken van AI-vaardigheden en het creëren van een cultuur waarin docenten, onderzoekers en ondersteunend personeel AI als hulpmiddel omarmen in plaats van als bedreiging ervaren.</w:t>
      </w:r>
    </w:p>
    <w:p>
      <w:pPr>
        <w:spacing w:after="80"/>
      </w:pPr>
    </w:p>
    <w:p>
      <w:pPr>
        <w:spacing w:after="120"/>
      </w:pPr>
      <w:r>
        <w:rPr>
          <w:b w:val="0"/>
          <w:sz w:val="22"/>
        </w:rPr>
        <w:t>---</w:t>
      </w:r>
    </w:p>
    <w:p>
      <w:pPr>
        <w:spacing w:after="80"/>
      </w:pPr>
    </w:p>
    <w:p>
      <w:pPr>
        <w:pStyle w:val="Heading2"/>
      </w:pPr>
      <w:r>
        <w:rPr>
          <w:color w:val="1B3B6F"/>
          <w:sz w:val="28"/>
        </w:rPr>
        <w:t>Sterke punten</w:t>
      </w:r>
    </w:p>
    <w:p>
      <w:pPr>
        <w:spacing w:after="80"/>
      </w:pPr>
    </w:p>
    <w:p>
      <w:pPr>
        <w:spacing w:after="120"/>
      </w:pPr>
      <w:r>
        <w:rPr>
          <w:b/>
          <w:i w:val="0"/>
          <w:sz w:val="22"/>
        </w:rPr>
        <w:t>Data Readiness (score: 4,5 – 90%)</w:t>
      </w:r>
    </w:p>
    <w:p>
      <w:pPr>
        <w:spacing w:after="80"/>
      </w:pPr>
    </w:p>
    <w:p>
      <w:pPr>
        <w:spacing w:after="120"/>
      </w:pPr>
      <w:r>
        <w:rPr>
          <w:b w:val="0"/>
          <w:sz w:val="22"/>
        </w:rPr>
        <w:t>De universiteit scoort uitzonderlijk hoog op Data Readiness, wat aangeeft dat er robuuste systemen bestaan voor datacollectie, -opslag en -beheer. Dit is een cruciaal fundament voor elke AI-toepassing, van gepersonaliseerd leren tot onderzoeksanalyse. Deze sterkte positioneert Universiteit Leiden om snel hoogwaardige AI-modellen te trainen op eigen data, zonder eerst jaren te investeren in datahuishouding. De aanbeveling is om deze capaciteit actief te promoten bij faculteiten en onderzoeksgroepen, en te onderzoeken welke datasets geschikt zijn voor verantwoorde AI-experimenten binnen het onderwijs.</w:t>
      </w:r>
    </w:p>
    <w:p>
      <w:pPr>
        <w:spacing w:after="80"/>
      </w:pPr>
    </w:p>
    <w:p>
      <w:pPr>
        <w:spacing w:after="120"/>
      </w:pPr>
      <w:r>
        <w:rPr>
          <w:b/>
          <w:i w:val="0"/>
          <w:sz w:val="22"/>
        </w:rPr>
        <w:t>Strategic &amp; Leadership Readiness (score: 2,5 – 50%)</w:t>
      </w:r>
    </w:p>
    <w:p>
      <w:pPr>
        <w:spacing w:after="80"/>
      </w:pPr>
    </w:p>
    <w:p>
      <w:pPr>
        <w:spacing w:after="120"/>
      </w:pPr>
      <w:r>
        <w:rPr>
          <w:b w:val="0"/>
          <w:sz w:val="22"/>
        </w:rPr>
        <w:t>Hoewel deze score nog ruimte voor verbetering laat, geeft het aan dat er op bestuursniveau aandacht is voor AI als strategisch thema. Er is kennelijk nagedacht over de rol van AI in de universitaire missie en er zijn eerste kaders gesteld. Dit biedt de mogelijkheid om top-down draagvlak te creëren voor AI-initiatieven en budgetten vrij te maken. De uitdaging ligt in het vertalen van strategische intenties naar concrete roadmaps met meetbare doelen, zodat de hele organisatie dezelfde richting op beweegt.</w:t>
      </w:r>
    </w:p>
    <w:p>
      <w:pPr>
        <w:spacing w:after="80"/>
      </w:pPr>
    </w:p>
    <w:p>
      <w:pPr>
        <w:spacing w:after="120"/>
      </w:pPr>
      <w:r>
        <w:rPr>
          <w:b/>
          <w:i w:val="0"/>
          <w:sz w:val="22"/>
        </w:rPr>
        <w:t>Risk, Compliance &amp; Responsible AI (score: 2,0 – 40%)</w:t>
      </w:r>
    </w:p>
    <w:p>
      <w:pPr>
        <w:spacing w:after="80"/>
      </w:pPr>
    </w:p>
    <w:p>
      <w:pPr>
        <w:spacing w:after="120"/>
      </w:pPr>
      <w:r>
        <w:rPr>
          <w:b w:val="0"/>
          <w:sz w:val="22"/>
        </w:rPr>
        <w:t>De score op deze dimensie is weliswaar gemiddeld, maar voor een onderwijsinstelling is bewustzijn van risico's en compliance essentieel gezien de gevoelige studentdata en de maatschappelijke voorbeeldfunctie. De universiteit heeft blijkbaar eerste stappen gezet in het nadenken over ethische AI-inzet. Dit vormt een goede basis om een voorloperspositie in te nemen op het gebied van verantwoorde AI in het Nederlandse hoger onderwijs, mits er nu wordt geïnvesteerd in verdere uitwerking van governance-structuren.</w:t>
      </w:r>
    </w:p>
    <w:p>
      <w:pPr>
        <w:spacing w:after="80"/>
      </w:pPr>
    </w:p>
    <w:p>
      <w:pPr>
        <w:spacing w:after="120"/>
      </w:pPr>
      <w:r>
        <w:rPr>
          <w:b w:val="0"/>
          <w:sz w:val="22"/>
        </w:rPr>
        <w:t>---</w:t>
      </w:r>
    </w:p>
    <w:p>
      <w:pPr>
        <w:spacing w:after="80"/>
      </w:pPr>
    </w:p>
    <w:p>
      <w:pPr>
        <w:pStyle w:val="Heading2"/>
      </w:pPr>
      <w:r>
        <w:rPr>
          <w:color w:val="1B3B6F"/>
          <w:sz w:val="28"/>
        </w:rPr>
        <w:t>Verbeterpunten</w:t>
      </w:r>
    </w:p>
    <w:p>
      <w:pPr>
        <w:spacing w:after="80"/>
      </w:pPr>
    </w:p>
    <w:p>
      <w:pPr>
        <w:spacing w:after="120"/>
      </w:pPr>
      <w:r>
        <w:rPr>
          <w:b/>
          <w:i w:val="0"/>
          <w:sz w:val="22"/>
        </w:rPr>
        <w:t>Operations, Culture &amp; Delivery (score: 1,0 – 20%)</w:t>
      </w:r>
    </w:p>
    <w:p>
      <w:pPr>
        <w:spacing w:after="80"/>
      </w:pPr>
    </w:p>
    <w:p>
      <w:pPr>
        <w:spacing w:after="120"/>
      </w:pPr>
      <w:r>
        <w:rPr>
          <w:b w:val="0"/>
          <w:sz w:val="22"/>
        </w:rPr>
        <w:t>De laagste score in dit assessment onthult een fundamenteel probleem: de universitaire cultuur en operationele processen zijn nog nauwelijks ingericht op AI-adoptie. In de praktijk betekent dit dat individuele initiatieven blijven steken in pilotfases, dat er geen gestandaardiseerde werkwijzen zijn voor AI-implementatie, en dat medewerkers waarschijnlijk onvoldoende worden ondersteund bij AI-experimenten. Het risico is dat enthousiaste koplopers afhaken door gebrek aan structuur, terwijl sceptici bevestigd worden in hun terughoudendheid. Een concrete eerste stap is het opzetten van een centraal AI-ondersteuningsteam dat faculteiten begeleidt bij pilots en best practices deelt.</w:t>
      </w:r>
    </w:p>
    <w:p>
      <w:pPr>
        <w:spacing w:after="80"/>
      </w:pPr>
    </w:p>
    <w:p>
      <w:pPr>
        <w:spacing w:after="120"/>
      </w:pPr>
      <w:r>
        <w:rPr>
          <w:b/>
          <w:i w:val="0"/>
          <w:sz w:val="22"/>
        </w:rPr>
        <w:t>Use Case Maturity &amp; Adoption (score: 1,5 – 30%)</w:t>
      </w:r>
    </w:p>
    <w:p>
      <w:pPr>
        <w:spacing w:after="80"/>
      </w:pPr>
    </w:p>
    <w:p>
      <w:pPr>
        <w:spacing w:after="120"/>
      </w:pPr>
      <w:r>
        <w:rPr>
          <w:b w:val="0"/>
          <w:sz w:val="22"/>
        </w:rPr>
        <w:t>De universiteit heeft nog geen breed portfolio aan bewezen AI-toepassingen ontwikkeld. Dit is problematisch omdat onderwijs en onderzoek bij uitstek domeinen zijn waar AI meerwaarde kan bieden, van automatische feedback op essays tot patroonherkenning in onderzoeksdata. Zonder concrete succesverhalen blijft AI een abstract begrip voor de meeste medewerkers. Het risico is dat de universiteit achterop raakt bij concurrerende instellingen die wel succesvol AI implementeren. Begin met het identificeren van drie tot vijf laagdrempelige use cases met hoog zichtbaar effect, zoals AI-gestuurde studieadvisering of geautomatiseerde literatuuranalyse.</w:t>
      </w:r>
    </w:p>
    <w:p>
      <w:pPr>
        <w:spacing w:after="80"/>
      </w:pPr>
    </w:p>
    <w:p>
      <w:pPr>
        <w:spacing w:after="120"/>
      </w:pPr>
      <w:r>
        <w:rPr>
          <w:b/>
          <w:i w:val="0"/>
          <w:sz w:val="22"/>
        </w:rPr>
        <w:t>Skills &amp; Organizational Capability (score: 1,5 – 30%)</w:t>
      </w:r>
    </w:p>
    <w:p>
      <w:pPr>
        <w:spacing w:after="80"/>
      </w:pPr>
    </w:p>
    <w:p>
      <w:pPr>
        <w:spacing w:after="120"/>
      </w:pPr>
      <w:r>
        <w:rPr>
          <w:b w:val="0"/>
          <w:sz w:val="22"/>
        </w:rPr>
        <w:t>Er is een duidelijk tekort aan AI-vaardigheden binnen de organisatie. Dit betekent dat docenten, onderzoekers en ondersteunend personeel niet over de kennis beschikken om AI effectief en verantwoord in te zetten. Het risico is tweeledig: enerzijds worden kansen gemist, anderzijds kunnen ongetrainde medewerkers AI verkeerd inzetten met consequenties voor onderwijskwaliteit of onderzoeksintegriteit. De eerste stap is het ontwikkelen van een gedifferentieerd scholingsprogramma, met basismodules voor alle medewerkers en verdiepende tracks voor specifieke rollen zoals data scientists en onderwijskundigen.</w:t>
      </w:r>
    </w:p>
    <w:p>
      <w:pPr>
        <w:spacing w:after="80"/>
      </w:pPr>
    </w:p>
    <w:p>
      <w:pPr>
        <w:spacing w:after="120"/>
      </w:pPr>
      <w:r>
        <w:rPr>
          <w:b w:val="0"/>
          <w:sz w:val="22"/>
        </w:rPr>
        <w:t>---</w:t>
      </w:r>
    </w:p>
    <w:p>
      <w:pPr>
        <w:spacing w:after="80"/>
      </w:pPr>
    </w:p>
    <w:p>
      <w:pPr>
        <w:pStyle w:val="Heading2"/>
      </w:pPr>
      <w:r>
        <w:rPr>
          <w:color w:val="1B3B6F"/>
          <w:sz w:val="28"/>
        </w:rPr>
        <w:t>Prioritaire aanbevelingen</w:t>
      </w:r>
    </w:p>
    <w:p>
      <w:pPr>
        <w:spacing w:after="80"/>
      </w:pPr>
    </w:p>
    <w:p>
      <w:pPr>
        <w:spacing w:after="120"/>
      </w:pPr>
      <w:r>
        <w:rPr>
          <w:b/>
          <w:i w:val="0"/>
          <w:sz w:val="22"/>
        </w:rPr>
        <w:t>1. Lanceer een universiteitsbreed AI-vaardigheidsprogramma</w:t>
      </w:r>
    </w:p>
    <w:p>
      <w:pPr>
        <w:spacing w:after="80"/>
      </w:pPr>
    </w:p>
    <w:p>
      <w:pPr>
        <w:spacing w:after="120"/>
      </w:pPr>
      <w:r>
        <w:rPr>
          <w:b w:val="0"/>
          <w:sz w:val="22"/>
        </w:rPr>
        <w:t>Wat te doen: Ontwikkel een modulair trainingsprogramma met drie niveaus: AI-bewustzijn (alle medewerkers), AI-toepassing (docenten en onderzoekers), en AI-ontwikkeling (technisch personeel). Maak gebruik van bestaande expertise binnen informatica en data science opleidingen.</w:t>
      </w:r>
    </w:p>
    <w:p>
      <w:pPr>
        <w:spacing w:after="80"/>
      </w:pPr>
    </w:p>
    <w:p>
      <w:pPr>
        <w:spacing w:after="120"/>
      </w:pPr>
      <w:r>
        <w:rPr>
          <w:b w:val="0"/>
          <w:sz w:val="22"/>
        </w:rPr>
        <w:t>Waarom dit belangrijk is: De score van 1,5 op Skills &amp; Organizational Capability vormt een directe belemmering voor adoptie. Zonder vaardige medewerkers blijft de sterke data-infrastructuur onbenut.</w:t>
      </w:r>
    </w:p>
    <w:p>
      <w:pPr>
        <w:spacing w:after="80"/>
      </w:pPr>
    </w:p>
    <w:p>
      <w:pPr>
        <w:spacing w:after="120"/>
      </w:pPr>
      <w:r>
        <w:rPr>
          <w:b w:val="0"/>
          <w:sz w:val="22"/>
        </w:rPr>
        <w:t>Doorlooptijd: Kort (0-3 maanden) voor basismodule, Middellang (3-12 maanden) voor volledig curriculum</w:t>
      </w:r>
    </w:p>
    <w:p>
      <w:pPr>
        <w:spacing w:after="80"/>
      </w:pPr>
    </w:p>
    <w:p>
      <w:pPr>
        <w:spacing w:after="120"/>
      </w:pPr>
      <w:r>
        <w:rPr>
          <w:b w:val="0"/>
          <w:sz w:val="22"/>
        </w:rPr>
        <w:t>Verwacht effect: Verhoging van Skills-score naar minimaal 3,0 en versnelde adoptie van AI-tools op faculteitsniveau.</w:t>
      </w:r>
    </w:p>
    <w:p>
      <w:pPr>
        <w:spacing w:after="80"/>
      </w:pPr>
    </w:p>
    <w:p>
      <w:pPr>
        <w:spacing w:after="120"/>
      </w:pPr>
      <w:r>
        <w:rPr>
          <w:b w:val="0"/>
          <w:sz w:val="22"/>
        </w:rPr>
        <w:t>---</w:t>
      </w:r>
    </w:p>
    <w:p>
      <w:pPr>
        <w:spacing w:after="80"/>
      </w:pPr>
    </w:p>
    <w:p>
      <w:pPr>
        <w:spacing w:after="120"/>
      </w:pPr>
      <w:r>
        <w:rPr>
          <w:b/>
          <w:i w:val="0"/>
          <w:sz w:val="22"/>
        </w:rPr>
        <w:t>2. Richt een centraal AI Center of Excellence op</w:t>
      </w:r>
    </w:p>
    <w:p>
      <w:pPr>
        <w:spacing w:after="80"/>
      </w:pPr>
    </w:p>
    <w:p>
      <w:pPr>
        <w:spacing w:after="120"/>
      </w:pPr>
      <w:r>
        <w:rPr>
          <w:b w:val="0"/>
          <w:sz w:val="22"/>
        </w:rPr>
        <w:t>Wat te doen: Formeer een multidisciplinair team (5-8 fte) dat fungeert als intern consultancybureau voor AI-vraagstukken. Dit team ondersteunt faculteiten bij pilots, beheert een centrale use case-bibliotheek en bewaakt kennisdeling.</w:t>
      </w:r>
    </w:p>
    <w:p>
      <w:pPr>
        <w:spacing w:after="80"/>
      </w:pPr>
    </w:p>
    <w:p>
      <w:pPr>
        <w:spacing w:after="120"/>
      </w:pPr>
      <w:r>
        <w:rPr>
          <w:b w:val="0"/>
          <w:sz w:val="22"/>
        </w:rPr>
        <w:t>Waarom dit belangrijk is: De lage score op Operations, Culture &amp; Delivery (1,0) wijst op gefragmenteerde inspanningen. Een centraal punt voorkomt dubbel werk en versnelt professionalisering.</w:t>
      </w:r>
    </w:p>
    <w:p>
      <w:pPr>
        <w:spacing w:after="80"/>
      </w:pPr>
    </w:p>
    <w:p>
      <w:pPr>
        <w:spacing w:after="120"/>
      </w:pPr>
      <w:r>
        <w:rPr>
          <w:b w:val="0"/>
          <w:sz w:val="22"/>
        </w:rPr>
        <w:t>Doorlooptijd: Kort (0-3 maanden) voor oprichting en mandaat, Middellang (3-12 maanden) voor volledige operationaliteit</w:t>
      </w:r>
    </w:p>
    <w:p>
      <w:pPr>
        <w:spacing w:after="80"/>
      </w:pPr>
    </w:p>
    <w:p>
      <w:pPr>
        <w:spacing w:after="120"/>
      </w:pPr>
      <w:r>
        <w:rPr>
          <w:b w:val="0"/>
          <w:sz w:val="22"/>
        </w:rPr>
        <w:t>Verwacht effect: Verdubbeling van succesvol afgeronde AI-pilots binnen 12 maanden en structurele kennisborging.</w:t>
      </w:r>
    </w:p>
    <w:p>
      <w:pPr>
        <w:spacing w:after="80"/>
      </w:pPr>
    </w:p>
    <w:p>
      <w:pPr>
        <w:spacing w:after="120"/>
      </w:pPr>
      <w:r>
        <w:rPr>
          <w:b w:val="0"/>
          <w:sz w:val="22"/>
        </w:rPr>
        <w:t>---</w:t>
      </w:r>
    </w:p>
    <w:p>
      <w:pPr>
        <w:spacing w:after="80"/>
      </w:pPr>
    </w:p>
    <w:p>
      <w:pPr>
        <w:spacing w:after="120"/>
      </w:pPr>
      <w:r>
        <w:rPr>
          <w:b/>
          <w:i w:val="0"/>
          <w:sz w:val="22"/>
        </w:rPr>
        <w:t>3. Ontwikkel vijf lighthouse use cases</w:t>
      </w:r>
    </w:p>
    <w:p>
      <w:pPr>
        <w:spacing w:after="80"/>
      </w:pPr>
    </w:p>
    <w:p>
      <w:pPr>
        <w:spacing w:after="120"/>
      </w:pPr>
      <w:r>
        <w:rPr>
          <w:b w:val="0"/>
          <w:sz w:val="22"/>
        </w:rPr>
        <w:t>Wat te doen: Selecteer vijf AI-toepassingen met hoge zichtbaarheid en bewezen waarde, zoals adaptief leren, geautomatiseerde plagiaat- en AI-detectie, onderzoeksassistentie, studentenwerving-voorspelling en gebouwbeheer-optimalisatie. Implementeer deze als professionele pilots met duidelijke KPI's.</w:t>
      </w:r>
    </w:p>
    <w:p>
      <w:pPr>
        <w:spacing w:after="80"/>
      </w:pPr>
    </w:p>
    <w:p>
      <w:pPr>
        <w:spacing w:after="120"/>
      </w:pPr>
      <w:r>
        <w:rPr>
          <w:b w:val="0"/>
          <w:sz w:val="22"/>
        </w:rPr>
        <w:t>Waarom dit belangrijk is: De score van 1,5 op Use Case Maturity vraagt om concrete succesverhalen die sceptici overtuigen en momentum creëren.</w:t>
      </w:r>
    </w:p>
    <w:p>
      <w:pPr>
        <w:spacing w:after="80"/>
      </w:pPr>
    </w:p>
    <w:p>
      <w:pPr>
        <w:spacing w:after="120"/>
      </w:pPr>
      <w:r>
        <w:rPr>
          <w:b w:val="0"/>
          <w:sz w:val="22"/>
        </w:rPr>
        <w:t>Doorlooptijd: Middellang (3-12 maanden)</w:t>
      </w:r>
    </w:p>
    <w:p>
      <w:pPr>
        <w:spacing w:after="80"/>
      </w:pPr>
    </w:p>
    <w:p>
      <w:pPr>
        <w:spacing w:after="120"/>
      </w:pPr>
      <w:r>
        <w:rPr>
          <w:b w:val="0"/>
          <w:sz w:val="22"/>
        </w:rPr>
        <w:t>Verwacht effect: Minimaal drie operationele AI-toepassingen binnen een jaar, met meetbare impact op onderwijs- of onderzoekskwaliteit.</w:t>
      </w:r>
    </w:p>
    <w:p>
      <w:pPr>
        <w:spacing w:after="80"/>
      </w:pPr>
    </w:p>
    <w:p>
      <w:pPr>
        <w:spacing w:after="120"/>
      </w:pPr>
      <w:r>
        <w:rPr>
          <w:b w:val="0"/>
          <w:sz w:val="22"/>
        </w:rPr>
        <w:t>---</w:t>
      </w:r>
    </w:p>
    <w:p>
      <w:pPr>
        <w:spacing w:after="80"/>
      </w:pPr>
    </w:p>
    <w:p>
      <w:pPr>
        <w:spacing w:after="120"/>
      </w:pPr>
      <w:r>
        <w:rPr>
          <w:b/>
          <w:i w:val="0"/>
          <w:sz w:val="22"/>
        </w:rPr>
        <w:t>4. Vertaal AI-strategie naar facultaire roadmaps</w:t>
      </w:r>
    </w:p>
    <w:p>
      <w:pPr>
        <w:spacing w:after="80"/>
      </w:pPr>
    </w:p>
    <w:p>
      <w:pPr>
        <w:spacing w:after="120"/>
      </w:pPr>
      <w:r>
        <w:rPr>
          <w:b w:val="0"/>
          <w:sz w:val="22"/>
        </w:rPr>
        <w:t>Wat te doen: Organiseer strategiesessies met elke faculteit om de centrale AI-visie te vertalen naar discipline-specifieke toepassingen en prioriteiten. Leg dit vast in concrete roadmaps met eigenaarschap en budget.</w:t>
      </w:r>
    </w:p>
    <w:p>
      <w:pPr>
        <w:spacing w:after="80"/>
      </w:pPr>
    </w:p>
    <w:p>
      <w:pPr>
        <w:spacing w:after="120"/>
      </w:pPr>
      <w:r>
        <w:rPr>
          <w:b w:val="0"/>
          <w:sz w:val="22"/>
        </w:rPr>
        <w:t>Waarom dit belangrijk is: De score van 2,5 op Strategic &amp; Leadership Readiness toont dat visie aanwezig is, maar de operationele scores suggereren dat deze niet doorsijpelt. Facultaire roadmaps overbruggen deze kloof.</w:t>
      </w:r>
    </w:p>
    <w:p>
      <w:pPr>
        <w:spacing w:after="80"/>
      </w:pPr>
    </w:p>
    <w:p>
      <w:pPr>
        <w:spacing w:after="120"/>
      </w:pPr>
      <w:r>
        <w:rPr>
          <w:b w:val="0"/>
          <w:sz w:val="22"/>
        </w:rPr>
        <w:t>Doorlooptijd: Kort (0-3 maanden) voor eerste drie faculteiten, Middellang (3-12 maanden) voor universiteitsbreed</w:t>
      </w:r>
    </w:p>
    <w:p>
      <w:pPr>
        <w:spacing w:after="80"/>
      </w:pPr>
    </w:p>
    <w:p>
      <w:pPr>
        <w:spacing w:after="120"/>
      </w:pPr>
      <w:r>
        <w:rPr>
          <w:b w:val="0"/>
          <w:sz w:val="22"/>
        </w:rPr>
        <w:t>Verwacht effect: Verhoogde betrokkenheid van faculteitsbesturen en gerichter gebruik van centrale AI-middelen.</w:t>
      </w:r>
    </w:p>
    <w:p>
      <w:pPr>
        <w:spacing w:after="80"/>
      </w:pPr>
    </w:p>
    <w:p>
      <w:pPr>
        <w:spacing w:after="120"/>
      </w:pPr>
      <w:r>
        <w:rPr>
          <w:b w:val="0"/>
          <w:sz w:val="22"/>
        </w:rPr>
        <w:t>---</w:t>
      </w:r>
    </w:p>
    <w:p>
      <w:pPr>
        <w:spacing w:after="80"/>
      </w:pPr>
    </w:p>
    <w:p>
      <w:pPr>
        <w:spacing w:after="120"/>
      </w:pPr>
      <w:r>
        <w:rPr>
          <w:b/>
          <w:i w:val="0"/>
          <w:sz w:val="22"/>
        </w:rPr>
        <w:t>5. Implementeer een AI-governance framework</w:t>
      </w:r>
    </w:p>
    <w:p>
      <w:pPr>
        <w:spacing w:after="80"/>
      </w:pPr>
    </w:p>
    <w:p>
      <w:pPr>
        <w:spacing w:after="120"/>
      </w:pPr>
      <w:r>
        <w:rPr>
          <w:b w:val="0"/>
          <w:sz w:val="22"/>
        </w:rPr>
        <w:t>Wat te doen: Stel een AI Ethics Board in met vertegenwoordigers uit onderwijs, onderzoek, juridische zaken en studentenvertegenwoordiging. Ontwikkel richtlijnen voor verantwoord AI-gebruik in onderwijs en onderzoek, inclusief transparantie-eisen en escalatieprocedures.</w:t>
      </w:r>
    </w:p>
    <w:p>
      <w:pPr>
        <w:spacing w:after="80"/>
      </w:pPr>
    </w:p>
    <w:p>
      <w:pPr>
        <w:spacing w:after="120"/>
      </w:pPr>
      <w:r>
        <w:rPr>
          <w:b w:val="0"/>
          <w:sz w:val="22"/>
        </w:rPr>
        <w:t>Waarom dit belangrijk is: Met een score van 2,0 op Risk, Compliance &amp; Responsible AI en de naderende EU AI Act is actie urgent. Als onderwijsinstelling heeft Leiden bovendien een maatschappelijke voorbeeldfunctie.</w:t>
      </w:r>
    </w:p>
    <w:p>
      <w:pPr>
        <w:spacing w:after="80"/>
      </w:pPr>
    </w:p>
    <w:p>
      <w:pPr>
        <w:spacing w:after="120"/>
      </w:pPr>
      <w:r>
        <w:rPr>
          <w:b w:val="0"/>
          <w:sz w:val="22"/>
        </w:rPr>
        <w:t>Doorlooptijd: Kort (0-3 maanden) voor oprichting board, Middellang (3-12 maanden) voor volledig framework</w:t>
      </w:r>
    </w:p>
    <w:p>
      <w:pPr>
        <w:spacing w:after="80"/>
      </w:pPr>
    </w:p>
    <w:p>
      <w:pPr>
        <w:spacing w:after="120"/>
      </w:pPr>
      <w:r>
        <w:rPr>
          <w:b w:val="0"/>
          <w:sz w:val="22"/>
        </w:rPr>
        <w:t>Verwacht effect: Compliance-readiness voor EU AI Act en versterkt vertrouwen van studenten en medewerkers in AI-initiatieven.</w:t>
      </w:r>
    </w:p>
    <w:p>
      <w:pPr>
        <w:spacing w:after="80"/>
      </w:pPr>
    </w:p>
    <w:p>
      <w:pPr>
        <w:spacing w:after="120"/>
      </w:pPr>
      <w:r>
        <w:rPr>
          <w:b w:val="0"/>
          <w:sz w:val="22"/>
        </w:rPr>
        <w:t>---</w:t>
      </w:r>
    </w:p>
    <w:p>
      <w:pPr>
        <w:spacing w:after="80"/>
      </w:pPr>
    </w:p>
    <w:p>
      <w:pPr>
        <w:spacing w:after="120"/>
      </w:pPr>
      <w:r>
        <w:rPr>
          <w:b/>
          <w:i w:val="0"/>
          <w:sz w:val="22"/>
        </w:rPr>
        <w:t>6. Benut data-assets voor onderzoeksversnelling</w:t>
      </w:r>
    </w:p>
    <w:p>
      <w:pPr>
        <w:spacing w:after="80"/>
      </w:pPr>
    </w:p>
    <w:p>
      <w:pPr>
        <w:spacing w:after="120"/>
      </w:pPr>
      <w:r>
        <w:rPr>
          <w:b w:val="0"/>
          <w:sz w:val="22"/>
        </w:rPr>
        <w:t>Wat te doen: Inventariseer welke datasets geschikt zijn voor AI-onderzoek en creëer een interne data-marketplace waar onderzoeksgroepen veilig data kunnen delen en AI-modellen kunnen trainen.</w:t>
      </w:r>
    </w:p>
    <w:p>
      <w:pPr>
        <w:spacing w:after="80"/>
      </w:pPr>
    </w:p>
    <w:p>
      <w:pPr>
        <w:spacing w:after="120"/>
      </w:pPr>
      <w:r>
        <w:rPr>
          <w:b w:val="0"/>
          <w:sz w:val="22"/>
        </w:rPr>
        <w:t>Waarom dit belangrijk is: De uitstekende Data Readiness-score (4,5) is momenteel een onbenutte asset. Door deze actief in te zetten, wordt de sterkte omgezet in onderzoeksoutput.</w:t>
      </w:r>
    </w:p>
    <w:p>
      <w:pPr>
        <w:spacing w:after="80"/>
      </w:pPr>
    </w:p>
    <w:p>
      <w:pPr>
        <w:spacing w:after="120"/>
      </w:pPr>
      <w:r>
        <w:rPr>
          <w:b w:val="0"/>
          <w:sz w:val="22"/>
        </w:rPr>
        <w:t>Doorlooptijd: Middellang (3-12 maanden)</w:t>
      </w:r>
    </w:p>
    <w:p>
      <w:pPr>
        <w:spacing w:after="80"/>
      </w:pPr>
    </w:p>
    <w:p>
      <w:pPr>
        <w:spacing w:after="120"/>
      </w:pPr>
      <w:r>
        <w:rPr>
          <w:b w:val="0"/>
          <w:sz w:val="22"/>
        </w:rPr>
        <w:t>Verwacht effect: Toename van AI-gerelateerde publicaties en externe onderzoeksfinanciering.</w:t>
      </w:r>
    </w:p>
    <w:p>
      <w:pPr>
        <w:spacing w:after="80"/>
      </w:pPr>
    </w:p>
    <w:p>
      <w:pPr>
        <w:spacing w:after="120"/>
      </w:pPr>
      <w:r>
        <w:rPr>
          <w:b w:val="0"/>
          <w:sz w:val="22"/>
        </w:rPr>
        <w:t>---</w:t>
      </w:r>
    </w:p>
    <w:p>
      <w:pPr>
        <w:spacing w:after="80"/>
      </w:pPr>
    </w:p>
    <w:p>
      <w:pPr>
        <w:spacing w:after="120"/>
      </w:pPr>
      <w:r>
        <w:rPr>
          <w:b/>
          <w:i w:val="0"/>
          <w:sz w:val="22"/>
        </w:rPr>
        <w:t>7. Ontwikkel een AI-cultuurprogramma</w:t>
      </w:r>
    </w:p>
    <w:p>
      <w:pPr>
        <w:spacing w:after="80"/>
      </w:pPr>
    </w:p>
    <w:p>
      <w:pPr>
        <w:spacing w:after="120"/>
      </w:pPr>
      <w:r>
        <w:rPr>
          <w:b w:val="0"/>
          <w:sz w:val="22"/>
        </w:rPr>
        <w:t>Wat te doen: Lanceer een breed communicatie- en betrokkenheidsprogramma rond AI, met elementen als maandelijkse AI-cafés, interne showcases van succesvolle pilots, en een AI-ambassadeursnetwerk per faculteit.</w:t>
      </w:r>
    </w:p>
    <w:p>
      <w:pPr>
        <w:spacing w:after="80"/>
      </w:pPr>
    </w:p>
    <w:p>
      <w:pPr>
        <w:spacing w:after="120"/>
      </w:pPr>
      <w:r>
        <w:rPr>
          <w:b w:val="0"/>
          <w:sz w:val="22"/>
        </w:rPr>
        <w:t>Waarom dit belangrijk is: De score van 1,0 op Operations, Culture &amp; Delivery vraagt om meer dan alleen structuren; er is een cultuurverandering nodig waarin AI wordt gezien als kans in plaats van bedreiging.</w:t>
      </w:r>
    </w:p>
    <w:p>
      <w:pPr>
        <w:spacing w:after="80"/>
      </w:pPr>
    </w:p>
    <w:p>
      <w:pPr>
        <w:spacing w:after="120"/>
      </w:pPr>
      <w:r>
        <w:rPr>
          <w:b w:val="0"/>
          <w:sz w:val="22"/>
        </w:rPr>
        <w:t>Doorlooptijd: Kort (0-3 maanden) voor lancering, Lang (1-3 jaar) voor duurzame cultuurverandering</w:t>
      </w:r>
    </w:p>
    <w:p>
      <w:pPr>
        <w:spacing w:after="80"/>
      </w:pPr>
    </w:p>
    <w:p>
      <w:pPr>
        <w:spacing w:after="120"/>
      </w:pPr>
      <w:r>
        <w:rPr>
          <w:b w:val="0"/>
          <w:sz w:val="22"/>
        </w:rPr>
        <w:t>Verwacht effect: Meetbare verhoging van medewerkerstevredenheid over AI-ondersteuning en toename van bottom-up AI-initiatieven.</w:t>
      </w:r>
    </w:p>
    <w:p>
      <w:pPr>
        <w:spacing w:after="80"/>
      </w:pPr>
    </w:p>
    <w:p>
      <w:pPr>
        <w:spacing w:after="120"/>
      </w:pPr>
      <w:r>
        <w:rPr>
          <w:b w:val="0"/>
          <w:sz w:val="22"/>
        </w:rPr>
        <w:t>---</w:t>
      </w:r>
    </w:p>
    <w:p>
      <w:pPr>
        <w:spacing w:after="80"/>
      </w:pPr>
    </w:p>
    <w:p>
      <w:pPr>
        <w:pStyle w:val="Heading2"/>
      </w:pPr>
      <w:r>
        <w:rPr>
          <w:color w:val="1B3B6F"/>
          <w:sz w:val="28"/>
        </w:rPr>
        <w:t>Compliance &amp; Governance gereedheid</w:t>
      </w:r>
    </w:p>
    <w:p>
      <w:pPr>
        <w:spacing w:after="80"/>
      </w:pPr>
    </w:p>
    <w:p>
      <w:pPr>
        <w:spacing w:after="120"/>
      </w:pPr>
      <w:r>
        <w:rPr>
          <w:b w:val="0"/>
          <w:sz w:val="22"/>
        </w:rPr>
        <w:t>De analyse van de vier compliance-kaders laat een gemengd beeld zien dat aandacht verdient, zeker voor een publieke onderwijsinstelling met verantwoordelijkheid voor gevoelige studentgegevens.</w:t>
      </w:r>
    </w:p>
    <w:p>
      <w:pPr>
        <w:spacing w:after="80"/>
      </w:pPr>
    </w:p>
    <w:p>
      <w:pPr>
        <w:spacing w:after="120"/>
      </w:pPr>
      <w:r>
        <w:rPr>
          <w:b/>
          <w:sz w:val="22"/>
        </w:rPr>
        <w:t>EU AI Act</w:t>
      </w:r>
      <w:r>
        <w:rPr>
          <w:b w:val="0"/>
          <w:sz w:val="22"/>
        </w:rPr>
        <w:t xml:space="preserve"> (dekking: 122 van 265 vragen, 46% | gemiddelde score: 2,82)</w:t>
      </w:r>
    </w:p>
    <w:p>
      <w:pPr>
        <w:spacing w:after="120"/>
      </w:pPr>
      <w:r>
        <w:rPr>
          <w:b w:val="0"/>
          <w:sz w:val="22"/>
        </w:rPr>
        <w:t>De EU AI Act-dekking is onvoldoende gezien de naderende inwerkingtreding. Vooral voor AI-systemen die invloed hebben op studenten (toelating, beoordeling, begeleiding) gelden mogelijk hoge risico-classificaties. Advies: voer binnen drie maanden een impact assessment uit op alle bestaande en geplande AI-systemen.</w:t>
      </w:r>
    </w:p>
    <w:p>
      <w:pPr>
        <w:spacing w:after="80"/>
      </w:pPr>
    </w:p>
    <w:p>
      <w:pPr>
        <w:spacing w:after="120"/>
      </w:pPr>
      <w:r>
        <w:rPr>
          <w:b/>
          <w:sz w:val="22"/>
        </w:rPr>
        <w:t>NIST AI RMF</w:t>
      </w:r>
      <w:r>
        <w:rPr>
          <w:b w:val="0"/>
          <w:sz w:val="22"/>
        </w:rPr>
        <w:t xml:space="preserve"> (dekking: 201 van 265 vragen, 76% | gemiddelde score: 2,43)</w:t>
      </w:r>
    </w:p>
    <w:p>
      <w:pPr>
        <w:spacing w:after="120"/>
      </w:pPr>
      <w:r>
        <w:rPr>
          <w:b w:val="0"/>
          <w:sz w:val="22"/>
        </w:rPr>
        <w:t>Dit Amerikaanse framework is goed gedekt, maar de gemiddelde score is laag. Dit suggereert dat risicomanagementprocessen bestaan maar onderontwikkeld zijn. Advies: gebruik NIST AI RMF als basis voor het interne governance framework en identificeer specifieke gaps in de govern- en map-functies.</w:t>
      </w:r>
    </w:p>
    <w:p>
      <w:pPr>
        <w:spacing w:after="80"/>
      </w:pPr>
    </w:p>
    <w:p>
      <w:pPr>
        <w:spacing w:after="120"/>
      </w:pPr>
      <w:r>
        <w:rPr>
          <w:b/>
          <w:sz w:val="22"/>
        </w:rPr>
        <w:t>ISO 42001</w:t>
      </w:r>
      <w:r>
        <w:rPr>
          <w:b w:val="0"/>
          <w:sz w:val="22"/>
        </w:rPr>
        <w:t xml:space="preserve"> (dekking: 202 van 265 vragen, 76% | gemiddelde score: 2,33)</w:t>
      </w:r>
    </w:p>
    <w:p>
      <w:pPr>
        <w:spacing w:after="120"/>
      </w:pPr>
      <w:r>
        <w:rPr>
          <w:b w:val="0"/>
          <w:sz w:val="22"/>
        </w:rPr>
        <w:t>De internationale norm voor AI-managementsystemen kent een vergelijkbaar patroon: brede dekking, maar zwakke implementatie. Advies: overweeg ISO 42001-certificering als strategisch doel voor 2027 om externe geloofwaardigheid te versterken.</w:t>
      </w:r>
    </w:p>
    <w:p>
      <w:pPr>
        <w:spacing w:after="80"/>
      </w:pPr>
    </w:p>
    <w:p>
      <w:pPr>
        <w:spacing w:after="120"/>
      </w:pPr>
      <w:r>
        <w:rPr>
          <w:b/>
          <w:sz w:val="22"/>
        </w:rPr>
        <w:t>AI TRiSM</w:t>
      </w:r>
      <w:r>
        <w:rPr>
          <w:b w:val="0"/>
          <w:sz w:val="22"/>
        </w:rPr>
        <w:t xml:space="preserve"> (dekking: 97 van 265 vragen, 37% | gemiddelde score: 3,0)</w:t>
      </w:r>
    </w:p>
    <w:p>
      <w:pPr>
        <w:spacing w:after="120"/>
      </w:pPr>
      <w:r>
        <w:rPr>
          <w:b w:val="0"/>
          <w:sz w:val="22"/>
        </w:rPr>
        <w:t>Gartner's Trust, Risk and Security Management framework heeft de laagste dekking maar de hoogste score waar het wél gedekt is. Dit wijst op goede praktijken in een te smal toepassingsgebied. Advies: breid AI TRiSM-principes uit naar alle AI-initiatieven, met name op het gebied van explainability en bias-monitoring.</w:t>
      </w:r>
    </w:p>
    <w:p>
      <w:pPr>
        <w:spacing w:after="80"/>
      </w:pPr>
    </w:p>
    <w:p>
      <w:pPr>
        <w:spacing w:after="120"/>
      </w:pPr>
      <w:r>
        <w:rPr>
          <w:b w:val="0"/>
          <w:sz w:val="22"/>
        </w:rPr>
        <w:t>Er zijn geen inconsistenties gedetecteerd tussen de vragenlijstantwoorden en eventueel geüploade documenten, wat wijst op een consistent beeld van de huidige situatie.</w:t>
      </w:r>
    </w:p>
    <w:p>
      <w:pPr>
        <w:spacing w:after="80"/>
      </w:pPr>
    </w:p>
    <w:p>
      <w:pPr>
        <w:spacing w:after="120"/>
      </w:pPr>
      <w:r>
        <w:rPr>
          <w:b w:val="0"/>
          <w:sz w:val="22"/>
        </w:rPr>
        <w:t>---</w:t>
      </w:r>
    </w:p>
    <w:p>
      <w:pPr>
        <w:spacing w:after="80"/>
      </w:pPr>
    </w:p>
    <w:p>
      <w:pPr>
        <w:pStyle w:val="Heading2"/>
      </w:pPr>
      <w:r>
        <w:rPr>
          <w:color w:val="1B3B6F"/>
          <w:sz w:val="28"/>
        </w:rPr>
        <w:t>Conclusie</w:t>
      </w:r>
    </w:p>
    <w:p>
      <w:pPr>
        <w:spacing w:after="80"/>
      </w:pPr>
    </w:p>
    <w:p>
      <w:pPr>
        <w:spacing w:after="120"/>
      </w:pPr>
      <w:r>
        <w:rPr>
          <w:b w:val="0"/>
          <w:sz w:val="22"/>
        </w:rPr>
        <w:t>Universiteit Leiden staat aan het begin van een veelbelovende AI-reis. De uitstekende data-infrastructuur en het aanwezige strategische bewustzijn vormen een solide vertrekpunt, maar de weg naar volwassen AI-adoptie vraagt om gerichte investeringen in mensen, processen en cultuur.</w:t>
      </w:r>
    </w:p>
    <w:p>
      <w:pPr>
        <w:spacing w:after="80"/>
      </w:pPr>
    </w:p>
    <w:p>
      <w:pPr>
        <w:spacing w:after="120"/>
      </w:pPr>
      <w:r>
        <w:rPr>
          <w:b w:val="0"/>
          <w:sz w:val="22"/>
        </w:rPr>
        <w:t>Als onderwijsinstelling heeft de universiteit een unieke kans én verantwoordelijkheid: niet alleen om AI in te zetten voor beter onderwijs en onderzoek, maar ook om studenten voor te bereiden op een AI-gedreven arbeidsmarkt en maatschappij. Dit vraagt om het goede voorbeeld.</w:t>
      </w:r>
    </w:p>
    <w:p>
      <w:pPr>
        <w:spacing w:after="80"/>
      </w:pPr>
    </w:p>
    <w:p>
      <w:pPr>
        <w:spacing w:after="120"/>
      </w:pPr>
      <w:r>
        <w:rPr>
          <w:b w:val="0"/>
          <w:sz w:val="22"/>
        </w:rPr>
        <w:t>De aanbevelingen in dit rapport zijn bewust praktisch en haalbaar gehouden. Door te starten met vaardigheidsontwikkeling en een centraal ondersteuningspunt, kan binnen twaalf maanden substantiële vooruitgang worden geboekt zonder de academische cultuur geweld aan te doen.</w:t>
      </w:r>
    </w:p>
    <w:p>
      <w:pPr>
        <w:spacing w:after="80"/>
      </w:pPr>
    </w:p>
    <w:p>
      <w:pPr>
        <w:spacing w:after="120"/>
      </w:pPr>
      <w:r>
        <w:rPr>
          <w:b/>
          <w:i w:val="0"/>
          <w:sz w:val="22"/>
        </w:rPr>
        <w:t>Straightable nodigt het College van Bestuur uit voor een verdiepende sessie om deze bevindingen te bespreken en samen een gedetailleerde implementatie-roadmap op te stellen.</w:t>
      </w:r>
    </w:p>
    <w:p>
      <w:pPr>
        <w:spacing w:after="80"/>
      </w:pPr>
    </w:p>
    <w:p>
      <w:pPr>
        <w:spacing w:after="120"/>
      </w:pPr>
      <w:r>
        <w:rPr>
          <w:b w:val="0"/>
          <w:sz w:val="22"/>
        </w:rPr>
        <w:t>---</w:t>
      </w:r>
    </w:p>
    <w:p>
      <w:pPr>
        <w:spacing w:after="80"/>
      </w:pPr>
    </w:p>
    <w:p>
      <w:pPr>
        <w:spacing w:after="120"/>
      </w:pPr>
      <w:r>
        <w:rPr>
          <w:b w:val="0"/>
          <w:sz w:val="22"/>
        </w:rPr>
        <w:t>*Dit rapport is opgesteld door Straightable Innovatie &amp; Strategie op basis van het AI Readiness Assessment framework. Voor vragen</w:t>
      </w:r>
    </w:p>
    <w:p>
      <w:pPr>
        <w:pBdr>
          <w:bottom w:val="single" w:sz="6" w:space="1" w:color="F7941D"/>
        </w:pBdr>
        <w:spacing w:after="80"/>
      </w:pPr>
    </w:p>
    <w:p>
      <w:pPr>
        <w:pStyle w:val="Heading2"/>
      </w:pPr>
      <w:r>
        <w:rPr>
          <w:color w:val="1B3B6F"/>
          <w:sz w:val="28"/>
        </w:rPr>
        <w:t>GAP-analyse: Hiaten en ontwikkelpunten</w:t>
      </w:r>
    </w:p>
    <w:p>
      <w:pPr>
        <w:spacing w:after="120"/>
      </w:pPr>
      <w:r>
        <w:rPr>
          <w:b w:val="0"/>
          <w:i/>
          <w:sz w:val="22"/>
        </w:rPr>
        <w:t>De GAP-analyse hieronder brengt in kaart welke dimensies het grootste verschil vertonen ten opzichte van het gewenste maturiteitsniveau (score ≥ 4.0 / 5.0, equivalent aan minimaal 80%). Dit zijn de gebieden die de meeste prioriteit verdienen voor gerichte interventies.</w:t>
      </w:r>
    </w:p>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B3B6F"/>
          </w:tcPr>
          <w:p>
            <w:r>
              <w:rPr>
                <w:b/>
                <w:color w:val="FFFFFF"/>
                <w:sz w:val="20"/>
              </w:rPr>
              <w:t>Dimensie</w:t>
            </w:r>
          </w:p>
        </w:tc>
        <w:tc>
          <w:tcPr>
            <w:tcW w:type="dxa" w:w="1824"/>
            <w:shd w:val="clear" w:color="auto" w:fill="1B3B6F"/>
          </w:tcPr>
          <w:p>
            <w:r>
              <w:rPr>
                <w:b/>
                <w:color w:val="FFFFFF"/>
                <w:sz w:val="20"/>
              </w:rPr>
              <w:t>Huidige score</w:t>
            </w:r>
          </w:p>
        </w:tc>
        <w:tc>
          <w:tcPr>
            <w:tcW w:type="dxa" w:w="1824"/>
            <w:shd w:val="clear" w:color="auto" w:fill="1B3B6F"/>
          </w:tcPr>
          <w:p>
            <w:r>
              <w:rPr>
                <w:b/>
                <w:color w:val="FFFFFF"/>
                <w:sz w:val="20"/>
              </w:rPr>
              <w:t>Streefwaarde</w:t>
            </w:r>
          </w:p>
        </w:tc>
        <w:tc>
          <w:tcPr>
            <w:tcW w:type="dxa" w:w="1824"/>
            <w:shd w:val="clear" w:color="auto" w:fill="1B3B6F"/>
          </w:tcPr>
          <w:p>
            <w:r>
              <w:rPr>
                <w:b/>
                <w:color w:val="FFFFFF"/>
                <w:sz w:val="20"/>
              </w:rPr>
              <w:t>GAP</w:t>
            </w:r>
          </w:p>
        </w:tc>
        <w:tc>
          <w:tcPr>
            <w:tcW w:type="dxa" w:w="1824"/>
            <w:shd w:val="clear" w:color="auto" w:fill="1B3B6F"/>
          </w:tcPr>
          <w:p>
            <w:r>
              <w:rPr>
                <w:b/>
                <w:color w:val="FFFFFF"/>
                <w:sz w:val="20"/>
              </w:rPr>
              <w:t>Prioriteit</w:t>
            </w:r>
          </w:p>
        </w:tc>
      </w:tr>
      <w:tr>
        <w:tc>
          <w:tcPr>
            <w:tcW w:type="dxa" w:w="1824"/>
          </w:tcPr>
          <w:p>
            <w:r>
              <w:rPr>
                <w:sz w:val="20"/>
              </w:rPr>
              <w:t>Operations, Culture &amp; Delivery</w:t>
            </w:r>
          </w:p>
        </w:tc>
        <w:tc>
          <w:tcPr>
            <w:tcW w:type="dxa" w:w="1824"/>
          </w:tcPr>
          <w:p>
            <w:r>
              <w:rPr>
                <w:sz w:val="20"/>
              </w:rPr>
              <w:t>1.0 / 5.0  (20%)</w:t>
            </w:r>
          </w:p>
        </w:tc>
        <w:tc>
          <w:tcPr>
            <w:tcW w:type="dxa" w:w="1824"/>
          </w:tcPr>
          <w:p>
            <w:r>
              <w:rPr>
                <w:sz w:val="20"/>
              </w:rPr>
              <w:t>4.0 / 5.0  (80%)</w:t>
            </w:r>
          </w:p>
        </w:tc>
        <w:tc>
          <w:tcPr>
            <w:tcW w:type="dxa" w:w="1824"/>
          </w:tcPr>
          <w:p>
            <w:r>
              <w:rPr>
                <w:sz w:val="20"/>
              </w:rPr>
              <w:t>-3.0  (-60%)</w:t>
            </w:r>
          </w:p>
        </w:tc>
        <w:tc>
          <w:tcPr>
            <w:tcW w:type="dxa" w:w="1824"/>
            <w:shd w:val="clear" w:color="auto" w:fill="DC3545"/>
          </w:tcPr>
          <w:p>
            <w:r>
              <w:rPr>
                <w:b/>
                <w:color w:val="FFFFFF"/>
                <w:sz w:val="20"/>
              </w:rPr>
              <w:t>Hoog</w:t>
            </w:r>
          </w:p>
        </w:tc>
      </w:tr>
      <w:tr>
        <w:tc>
          <w:tcPr>
            <w:tcW w:type="dxa" w:w="1824"/>
          </w:tcPr>
          <w:p>
            <w:r>
              <w:rPr>
                <w:sz w:val="20"/>
              </w:rPr>
              <w:t>Skills &amp; Organizational Capability</w:t>
            </w:r>
          </w:p>
        </w:tc>
        <w:tc>
          <w:tcPr>
            <w:tcW w:type="dxa" w:w="1824"/>
          </w:tcPr>
          <w:p>
            <w:r>
              <w:rPr>
                <w:sz w:val="20"/>
              </w:rPr>
              <w:t>1.5 / 5.0  (30%)</w:t>
            </w:r>
          </w:p>
        </w:tc>
        <w:tc>
          <w:tcPr>
            <w:tcW w:type="dxa" w:w="1824"/>
          </w:tcPr>
          <w:p>
            <w:r>
              <w:rPr>
                <w:sz w:val="20"/>
              </w:rPr>
              <w:t>4.0 / 5.0  (80%)</w:t>
            </w:r>
          </w:p>
        </w:tc>
        <w:tc>
          <w:tcPr>
            <w:tcW w:type="dxa" w:w="1824"/>
          </w:tcPr>
          <w:p>
            <w:r>
              <w:rPr>
                <w:sz w:val="20"/>
              </w:rPr>
              <w:t>-2.5  (-50%)</w:t>
            </w:r>
          </w:p>
        </w:tc>
        <w:tc>
          <w:tcPr>
            <w:tcW w:type="dxa" w:w="1824"/>
            <w:shd w:val="clear" w:color="auto" w:fill="DC3545"/>
          </w:tcPr>
          <w:p>
            <w:r>
              <w:rPr>
                <w:b/>
                <w:color w:val="FFFFFF"/>
                <w:sz w:val="20"/>
              </w:rPr>
              <w:t>Hoog</w:t>
            </w:r>
          </w:p>
        </w:tc>
      </w:tr>
      <w:tr>
        <w:tc>
          <w:tcPr>
            <w:tcW w:type="dxa" w:w="1824"/>
          </w:tcPr>
          <w:p>
            <w:r>
              <w:rPr>
                <w:sz w:val="20"/>
              </w:rPr>
              <w:t>Use Case Maturity &amp; Adoption</w:t>
            </w:r>
          </w:p>
        </w:tc>
        <w:tc>
          <w:tcPr>
            <w:tcW w:type="dxa" w:w="1824"/>
          </w:tcPr>
          <w:p>
            <w:r>
              <w:rPr>
                <w:sz w:val="20"/>
              </w:rPr>
              <w:t>1.5 / 5.0  (30%)</w:t>
            </w:r>
          </w:p>
        </w:tc>
        <w:tc>
          <w:tcPr>
            <w:tcW w:type="dxa" w:w="1824"/>
          </w:tcPr>
          <w:p>
            <w:r>
              <w:rPr>
                <w:sz w:val="20"/>
              </w:rPr>
              <w:t>4.0 / 5.0  (80%)</w:t>
            </w:r>
          </w:p>
        </w:tc>
        <w:tc>
          <w:tcPr>
            <w:tcW w:type="dxa" w:w="1824"/>
          </w:tcPr>
          <w:p>
            <w:r>
              <w:rPr>
                <w:sz w:val="20"/>
              </w:rPr>
              <w:t>-2.5  (-50%)</w:t>
            </w:r>
          </w:p>
        </w:tc>
        <w:tc>
          <w:tcPr>
            <w:tcW w:type="dxa" w:w="1824"/>
            <w:shd w:val="clear" w:color="auto" w:fill="DC3545"/>
          </w:tcPr>
          <w:p>
            <w:r>
              <w:rPr>
                <w:b/>
                <w:color w:val="FFFFFF"/>
                <w:sz w:val="20"/>
              </w:rPr>
              <w:t>Hoog</w:t>
            </w:r>
          </w:p>
        </w:tc>
      </w:tr>
      <w:tr>
        <w:tc>
          <w:tcPr>
            <w:tcW w:type="dxa" w:w="1824"/>
          </w:tcPr>
          <w:p>
            <w:r>
              <w:rPr>
                <w:sz w:val="20"/>
              </w:rPr>
              <w:t>Risk, Compliance &amp; Responsible AI</w:t>
            </w:r>
          </w:p>
        </w:tc>
        <w:tc>
          <w:tcPr>
            <w:tcW w:type="dxa" w:w="1824"/>
          </w:tcPr>
          <w:p>
            <w:r>
              <w:rPr>
                <w:sz w:val="20"/>
              </w:rPr>
              <w:t>2.0 / 5.0  (40%)</w:t>
            </w:r>
          </w:p>
        </w:tc>
        <w:tc>
          <w:tcPr>
            <w:tcW w:type="dxa" w:w="1824"/>
          </w:tcPr>
          <w:p>
            <w:r>
              <w:rPr>
                <w:sz w:val="20"/>
              </w:rPr>
              <w:t>4.0 / 5.0  (80%)</w:t>
            </w:r>
          </w:p>
        </w:tc>
        <w:tc>
          <w:tcPr>
            <w:tcW w:type="dxa" w:w="1824"/>
          </w:tcPr>
          <w:p>
            <w:r>
              <w:rPr>
                <w:sz w:val="20"/>
              </w:rPr>
              <w:t>-2.0  (-40%)</w:t>
            </w:r>
          </w:p>
        </w:tc>
        <w:tc>
          <w:tcPr>
            <w:tcW w:type="dxa" w:w="1824"/>
            <w:shd w:val="clear" w:color="auto" w:fill="DC3545"/>
          </w:tcPr>
          <w:p>
            <w:r>
              <w:rPr>
                <w:b/>
                <w:color w:val="FFFFFF"/>
                <w:sz w:val="20"/>
              </w:rPr>
              <w:t>Hoog</w:t>
            </w:r>
          </w:p>
        </w:tc>
      </w:tr>
      <w:tr>
        <w:tc>
          <w:tcPr>
            <w:tcW w:type="dxa" w:w="1824"/>
          </w:tcPr>
          <w:p>
            <w:r>
              <w:rPr>
                <w:sz w:val="20"/>
              </w:rPr>
              <w:t>Technology Infrastructure &amp; Tooling</w:t>
            </w:r>
          </w:p>
        </w:tc>
        <w:tc>
          <w:tcPr>
            <w:tcW w:type="dxa" w:w="1824"/>
          </w:tcPr>
          <w:p>
            <w:r>
              <w:rPr>
                <w:sz w:val="20"/>
              </w:rPr>
              <w:t>2.0 / 5.0  (40%)</w:t>
            </w:r>
          </w:p>
        </w:tc>
        <w:tc>
          <w:tcPr>
            <w:tcW w:type="dxa" w:w="1824"/>
          </w:tcPr>
          <w:p>
            <w:r>
              <w:rPr>
                <w:sz w:val="20"/>
              </w:rPr>
              <w:t>4.0 / 5.0  (80%)</w:t>
            </w:r>
          </w:p>
        </w:tc>
        <w:tc>
          <w:tcPr>
            <w:tcW w:type="dxa" w:w="1824"/>
          </w:tcPr>
          <w:p>
            <w:r>
              <w:rPr>
                <w:sz w:val="20"/>
              </w:rPr>
              <w:t>-2.0  (-40%)</w:t>
            </w:r>
          </w:p>
        </w:tc>
        <w:tc>
          <w:tcPr>
            <w:tcW w:type="dxa" w:w="1824"/>
            <w:shd w:val="clear" w:color="auto" w:fill="DC3545"/>
          </w:tcPr>
          <w:p>
            <w:r>
              <w:rPr>
                <w:b/>
                <w:color w:val="FFFFFF"/>
                <w:sz w:val="20"/>
              </w:rPr>
              <w:t>Hoog</w:t>
            </w:r>
          </w:p>
        </w:tc>
      </w:tr>
      <w:tr>
        <w:tc>
          <w:tcPr>
            <w:tcW w:type="dxa" w:w="1824"/>
          </w:tcPr>
          <w:p>
            <w:r>
              <w:rPr>
                <w:sz w:val="20"/>
              </w:rPr>
              <w:t>Strategic &amp; Leadership Readiness</w:t>
            </w:r>
          </w:p>
        </w:tc>
        <w:tc>
          <w:tcPr>
            <w:tcW w:type="dxa" w:w="1824"/>
          </w:tcPr>
          <w:p>
            <w:r>
              <w:rPr>
                <w:sz w:val="20"/>
              </w:rPr>
              <w:t>2.5 / 5.0  (50%)</w:t>
            </w:r>
          </w:p>
        </w:tc>
        <w:tc>
          <w:tcPr>
            <w:tcW w:type="dxa" w:w="1824"/>
          </w:tcPr>
          <w:p>
            <w:r>
              <w:rPr>
                <w:sz w:val="20"/>
              </w:rPr>
              <w:t>4.0 / 5.0  (80%)</w:t>
            </w:r>
          </w:p>
        </w:tc>
        <w:tc>
          <w:tcPr>
            <w:tcW w:type="dxa" w:w="1824"/>
          </w:tcPr>
          <w:p>
            <w:r>
              <w:rPr>
                <w:sz w:val="20"/>
              </w:rPr>
              <w:t>-1.5  (-30%)</w:t>
            </w:r>
          </w:p>
        </w:tc>
        <w:tc>
          <w:tcPr>
            <w:tcW w:type="dxa" w:w="1824"/>
            <w:shd w:val="clear" w:color="auto" w:fill="F7941D"/>
          </w:tcPr>
          <w:p>
            <w:r>
              <w:rPr>
                <w:b/>
                <w:color w:val="FFFFFF"/>
                <w:sz w:val="20"/>
              </w:rPr>
              <w:t>Middel</w:t>
            </w:r>
          </w:p>
        </w:tc>
      </w:tr>
      <w:tr>
        <w:tc>
          <w:tcPr>
            <w:tcW w:type="dxa" w:w="1824"/>
          </w:tcPr>
          <w:p>
            <w:r>
              <w:rPr>
                <w:sz w:val="20"/>
              </w:rPr>
              <w:t>Data Readiness</w:t>
            </w:r>
          </w:p>
        </w:tc>
        <w:tc>
          <w:tcPr>
            <w:tcW w:type="dxa" w:w="1824"/>
          </w:tcPr>
          <w:p>
            <w:r>
              <w:rPr>
                <w:sz w:val="20"/>
              </w:rPr>
              <w:t>4.5 / 5.0  (90%)</w:t>
            </w:r>
          </w:p>
        </w:tc>
        <w:tc>
          <w:tcPr>
            <w:tcW w:type="dxa" w:w="1824"/>
          </w:tcPr>
          <w:p>
            <w:r>
              <w:rPr>
                <w:sz w:val="20"/>
              </w:rPr>
              <w:t>4.0 / 5.0  (80%)</w:t>
            </w:r>
          </w:p>
        </w:tc>
        <w:tc>
          <w:tcPr>
            <w:tcW w:type="dxa" w:w="1824"/>
          </w:tcPr>
          <w:p>
            <w:r>
              <w:rPr>
                <w:sz w:val="20"/>
              </w:rPr>
              <w:t>✓</w:t>
            </w:r>
          </w:p>
        </w:tc>
        <w:tc>
          <w:tcPr>
            <w:tcW w:type="dxa" w:w="1824"/>
            <w:shd w:val="clear" w:color="auto" w:fill="28A745"/>
          </w:tcPr>
          <w:p>
            <w:r>
              <w:rPr>
                <w:b/>
                <w:color w:val="FFFFFF"/>
                <w:sz w:val="20"/>
              </w:rPr>
              <w:t>Op niveau</w:t>
            </w:r>
          </w:p>
        </w:tc>
      </w:tr>
    </w:tbl>
    <w:p/>
    <w:p>
      <w:pPr>
        <w:pBdr>
          <w:bottom w:val="single" w:sz="6" w:space="1" w:color="F7941D"/>
        </w:pBdr>
        <w:spacing w:after="80"/>
      </w:pPr>
    </w:p>
    <w:p>
      <w:pPr>
        <w:pStyle w:val="Heading2"/>
      </w:pPr>
      <w:r>
        <w:rPr>
          <w:color w:val="1B3B6F"/>
          <w:sz w:val="28"/>
        </w:rPr>
        <w:t>Compliance &amp; Governance dekking</w:t>
      </w:r>
    </w:p>
    <w:p>
      <w:pPr>
        <w:spacing w:after="120"/>
      </w:pPr>
      <w:r>
        <w:rPr>
          <w:b w:val="0"/>
          <w:i w:val="0"/>
          <w:sz w:val="22"/>
        </w:rPr>
        <w:t>De onderstaande tabel toont in hoeverre de beantwoorde vragen aansluiten bij de vier toonaangevende AI-governancekaders. Een lage dekkingsgraad duidt op mogelijke blinde vlekken in de governance en compliance voorbereiding van de organisatie.</w:t>
      </w:r>
    </w:p>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B3B6F"/>
          </w:tcPr>
          <w:p>
            <w:r>
              <w:rPr>
                <w:b/>
                <w:color w:val="FFFFFF"/>
                <w:sz w:val="20"/>
              </w:rPr>
              <w:t>Kader</w:t>
            </w:r>
          </w:p>
        </w:tc>
        <w:tc>
          <w:tcPr>
            <w:tcW w:type="dxa" w:w="3041"/>
            <w:shd w:val="clear" w:color="auto" w:fill="1B3B6F"/>
          </w:tcPr>
          <w:p>
            <w:r>
              <w:rPr>
                <w:b/>
                <w:color w:val="FFFFFF"/>
                <w:sz w:val="20"/>
              </w:rPr>
              <w:t>Vragen gedekt</w:t>
            </w:r>
          </w:p>
        </w:tc>
        <w:tc>
          <w:tcPr>
            <w:tcW w:type="dxa" w:w="3041"/>
            <w:shd w:val="clear" w:color="auto" w:fill="1B3B6F"/>
          </w:tcPr>
          <w:p>
            <w:r>
              <w:rPr>
                <w:b/>
                <w:color w:val="FFFFFF"/>
                <w:sz w:val="20"/>
              </w:rPr>
              <w:t>Gemiddelde score</w:t>
            </w:r>
          </w:p>
        </w:tc>
      </w:tr>
      <w:tr>
        <w:tc>
          <w:tcPr>
            <w:tcW w:type="dxa" w:w="3041"/>
          </w:tcPr>
          <w:p>
            <w:r>
              <w:rPr>
                <w:sz w:val="20"/>
              </w:rPr>
              <w:t>EU AI Act</w:t>
            </w:r>
          </w:p>
        </w:tc>
        <w:tc>
          <w:tcPr>
            <w:tcW w:type="dxa" w:w="3041"/>
          </w:tcPr>
          <w:p>
            <w:r>
              <w:rPr>
                <w:sz w:val="20"/>
              </w:rPr>
              <w:t>122 / 265 (46%)</w:t>
            </w:r>
          </w:p>
        </w:tc>
        <w:tc>
          <w:tcPr>
            <w:tcW w:type="dxa" w:w="3041"/>
          </w:tcPr>
          <w:p>
            <w:r>
              <w:rPr>
                <w:sz w:val="20"/>
              </w:rPr>
              <w:t>2.8 / 5.0</w:t>
            </w:r>
          </w:p>
        </w:tc>
      </w:tr>
      <w:tr>
        <w:tc>
          <w:tcPr>
            <w:tcW w:type="dxa" w:w="3041"/>
          </w:tcPr>
          <w:p>
            <w:r>
              <w:rPr>
                <w:sz w:val="20"/>
              </w:rPr>
              <w:t>NIST AI RMF</w:t>
            </w:r>
          </w:p>
        </w:tc>
        <w:tc>
          <w:tcPr>
            <w:tcW w:type="dxa" w:w="3041"/>
          </w:tcPr>
          <w:p>
            <w:r>
              <w:rPr>
                <w:sz w:val="20"/>
              </w:rPr>
              <w:t>201 / 265 (76%)</w:t>
            </w:r>
          </w:p>
        </w:tc>
        <w:tc>
          <w:tcPr>
            <w:tcW w:type="dxa" w:w="3041"/>
          </w:tcPr>
          <w:p>
            <w:r>
              <w:rPr>
                <w:sz w:val="20"/>
              </w:rPr>
              <w:t>2.4 / 5.0</w:t>
            </w:r>
          </w:p>
        </w:tc>
      </w:tr>
      <w:tr>
        <w:tc>
          <w:tcPr>
            <w:tcW w:type="dxa" w:w="3041"/>
          </w:tcPr>
          <w:p>
            <w:r>
              <w:rPr>
                <w:sz w:val="20"/>
              </w:rPr>
              <w:t>ISO 42001</w:t>
            </w:r>
          </w:p>
        </w:tc>
        <w:tc>
          <w:tcPr>
            <w:tcW w:type="dxa" w:w="3041"/>
          </w:tcPr>
          <w:p>
            <w:r>
              <w:rPr>
                <w:sz w:val="20"/>
              </w:rPr>
              <w:t>202 / 265 (76%)</w:t>
            </w:r>
          </w:p>
        </w:tc>
        <w:tc>
          <w:tcPr>
            <w:tcW w:type="dxa" w:w="3041"/>
          </w:tcPr>
          <w:p>
            <w:r>
              <w:rPr>
                <w:sz w:val="20"/>
              </w:rPr>
              <w:t>2.3 / 5.0</w:t>
            </w:r>
          </w:p>
        </w:tc>
      </w:tr>
      <w:tr>
        <w:tc>
          <w:tcPr>
            <w:tcW w:type="dxa" w:w="3041"/>
          </w:tcPr>
          <w:p>
            <w:r>
              <w:rPr>
                <w:sz w:val="20"/>
              </w:rPr>
              <w:t>AI TRiSM</w:t>
            </w:r>
          </w:p>
        </w:tc>
        <w:tc>
          <w:tcPr>
            <w:tcW w:type="dxa" w:w="3041"/>
          </w:tcPr>
          <w:p>
            <w:r>
              <w:rPr>
                <w:sz w:val="20"/>
              </w:rPr>
              <w:t>97 / 265 (37%)</w:t>
            </w:r>
          </w:p>
        </w:tc>
        <w:tc>
          <w:tcPr>
            <w:tcW w:type="dxa" w:w="3041"/>
          </w:tcPr>
          <w:p>
            <w:r>
              <w:rPr>
                <w:sz w:val="20"/>
              </w:rPr>
              <w:t>3.0 / 5.0</w:t>
            </w:r>
          </w:p>
        </w:tc>
      </w:tr>
    </w:tbl>
    <w:p/>
    <w:p>
      <w:pPr>
        <w:pBdr>
          <w:bottom w:val="single" w:sz="6" w:space="1" w:color="F7941D"/>
        </w:pBdr>
        <w:spacing w:after="80"/>
      </w:pPr>
    </w:p>
    <w:p>
      <w:pPr>
        <w:jc w:val="center"/>
      </w:pPr>
      <w:r>
        <w:rPr>
          <w:i/>
          <w:color w:val="888888"/>
          <w:sz w:val="18"/>
        </w:rPr>
        <w:t>Vertrouwelijk — Straightable Innovatie &amp; Strategie — 04 April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