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30302"/>
          <w:sz w:val="28"/>
        </w:rPr>
        <w:t>Harbourview House: analytics and a question-answering prototype</w:t>
      </w:r>
    </w:p>
    <w:p>
      <w:pPr>
        <w:spacing w:after="80"/>
      </w:pPr>
      <w:r>
        <w:rPr>
          <w:color w:val="54586B"/>
          <w:sz w:val="17"/>
        </w:rPr>
        <w:t>Axon take-home · Kassey G · synthetic data, as of 15 January 2026 · code, tests and README in the repository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The main goal: resident data stays secure and redacted at every step</w:t>
      </w:r>
    </w:p>
    <w:p>
      <w:pPr>
        <w:pStyle w:val="ListBullet"/>
        <w:spacing w:after="20"/>
        <w:ind w:left="259"/>
      </w:pPr>
      <w:r>
        <w:rPr>
          <w:b/>
        </w:rPr>
        <w:t xml:space="preserve">One place. </w:t>
      </w:r>
      <w:r>
        <w:t>An open model self-hosted in Axon's own AWS account in Canada (ca-central-1), not an outside AI service. The prototype runs Google Gemma 3 12B on a laptop; nothing leaves it, and no paid API.</w:t>
      </w:r>
    </w:p>
    <w:p>
      <w:pPr>
        <w:pStyle w:val="ListBullet"/>
        <w:spacing w:after="20"/>
        <w:ind w:left="259"/>
      </w:pPr>
      <w:r>
        <w:rPr>
          <w:b/>
        </w:rPr>
        <w:t xml:space="preserve">Redact first. </w:t>
      </w:r>
      <w:r>
        <w:t>Names, phones, health card numbers, SINs and resident IDs become tags before rules or the model read a note or a question. A question about a person, or one that tries to change the instructions, is declined before the model.</w:t>
      </w:r>
    </w:p>
    <w:p>
      <w:pPr>
        <w:pStyle w:val="ListBullet"/>
        <w:spacing w:after="20"/>
        <w:ind w:left="259"/>
      </w:pPr>
      <w:r>
        <w:rPr>
          <w:b/>
        </w:rPr>
        <w:t xml:space="preserve">The model never sees records or results. </w:t>
      </w:r>
      <w:r>
        <w:t>It fills in a spec from a catalogue; code runs a read-only query on one house's file and writes the answer from the result, so it can't invent a number.</w:t>
      </w:r>
    </w:p>
    <w:p>
      <w:pPr>
        <w:pStyle w:val="ListBullet"/>
        <w:spacing w:after="20"/>
        <w:ind w:left="259"/>
      </w:pPr>
      <w:r>
        <w:rPr>
          <w:b/>
        </w:rPr>
        <w:t xml:space="preserve">Totals only. </w:t>
      </w:r>
      <w:r>
        <w:t>The funder export hides counts from 1 to 4. Every AI-assisted value is labelled. One audit line per question, never results. The app never saves what people type.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Task A: key decisions (FY2025, January to December)</w:t>
      </w:r>
    </w:p>
    <w:p>
      <w:pPr>
        <w:pStyle w:val="ListBullet"/>
        <w:spacing w:after="20"/>
        <w:ind w:left="259"/>
      </w:pPr>
      <w:r>
        <w:rPr>
          <w:b/>
        </w:rPr>
        <w:t xml:space="preserve">Extract date </w:t>
      </w:r>
      <w:r>
        <w:t>15 January 2026: the latest date, and every follow-up status agrees with it.</w:t>
      </w:r>
    </w:p>
    <w:p>
      <w:pPr>
        <w:pStyle w:val="ListBullet"/>
        <w:spacing w:after="20"/>
        <w:ind w:left="259"/>
      </w:pPr>
      <w:r>
        <w:rPr>
          <w:b/>
        </w:rPr>
        <w:t xml:space="preserve">Funnel. </w:t>
      </w:r>
      <w:r>
        <w:t>Only referrals with 60 days to progress count: 72 of 129 admitted (56%); 12 later ones are “too recent to judge”, not failures. Median and P90 days per step, among people who moved on.</w:t>
      </w:r>
    </w:p>
    <w:p>
      <w:pPr>
        <w:pStyle w:val="ListBullet"/>
        <w:spacing w:after="20"/>
        <w:ind w:left="259"/>
      </w:pPr>
      <w:r>
        <w:rPr>
          <w:b/>
        </w:rPr>
        <w:t xml:space="preserve">Occupancy </w:t>
      </w:r>
      <w:r>
        <w:t>is bed-nights over beds × nights: 90%. Three missing discharge dates are estimated for occupancy only.</w:t>
      </w:r>
    </w:p>
    <w:p>
      <w:pPr>
        <w:pStyle w:val="ListBullet"/>
        <w:spacing w:after="20"/>
        <w:ind w:left="259"/>
      </w:pPr>
      <w:r>
        <w:rPr>
          <w:b/>
        </w:rPr>
        <w:t xml:space="preserve">Length of stay </w:t>
      </w:r>
      <w:r>
        <w:t>counts the 14 still in the house as “at least this long” (Kaplan-Meier): 95 days. Finished stays alone say 86, biased short.</w:t>
      </w:r>
    </w:p>
    <w:p>
      <w:pPr>
        <w:pStyle w:val="ListBullet"/>
        <w:spacing w:after="20"/>
        <w:ind w:left="259"/>
      </w:pPr>
      <w:r>
        <w:rPr>
          <w:b/>
        </w:rPr>
        <w:t xml:space="preserve">Outcomes. </w:t>
      </w:r>
      <w:r>
        <w:t>Everyone who left in the year and is due counts, early leavers included, and unknowns stay apart. At 6 months: 41 due, engaged 46% (none of the unreached engaged) to 85% (all of them). “Engaged among those reached” (76%) is never shown. Under 20 due: counts only, “too few to judge”.</w:t>
      </w:r>
    </w:p>
    <w:p>
      <w:pPr>
        <w:pStyle w:val="ListBullet"/>
        <w:spacing w:after="20"/>
        <w:ind w:left="259"/>
      </w:pPr>
      <w:r>
        <w:rPr>
          <w:b/>
        </w:rPr>
        <w:t xml:space="preserve">Completion vs discharge. </w:t>
      </w:r>
      <w:r>
        <w:t>Recorded reason first (29 of 81 admitted completed); staff notes fill “other” or blank reasons, marked, and never enter funder figures.</w:t>
      </w:r>
    </w:p>
    <w:p>
      <w:pPr>
        <w:pStyle w:val="ListBullet"/>
        <w:spacing w:after="20"/>
        <w:ind w:left="259"/>
      </w:pPr>
      <w:r>
        <w:rPr>
          <w:b/>
        </w:rPr>
        <w:t xml:space="preserve">Data problems </w:t>
      </w:r>
      <w:r>
        <w:t>(16 checks: missing intake or discharge dates, intakes before referral, blank follow-ups, PHI in notes) each have a rule. They are written up, not shown: the dashboard is not a validation tool.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Staff notes become structured fields (C1, built)</w:t>
      </w:r>
    </w:p>
    <w:p>
      <w:r>
        <w:t>Redact, then rules for familiar wording, then the self-hosted model, which fills fixed fields and must quote the note; a validator rejects any quote not in the note and any field that can't apply to where the person is. Fields: meetings, passes, incidents, mood and risk, why a referral closed, why someone left, where they went. On 70 labelled notes (all reviewed by me): 94% of findings at 91% precision, every risk flag; rules alone find 25% in reworded notes; 5 invented quotes were rejected.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Task B: question → JSON spec → read-only query → chart</w:t>
      </w:r>
    </w:p>
    <w:p>
      <w:r>
        <w:t>The model only writes a spec from a fixed catalogue (enums; filters in, not in, between), never SQL. Code validates it, compiles parameterised SQL, allows one SELECT, and runs it on a read-only, locked connection to one house. Fuzzy words (sober, active, relapse) get a clarifying question, saved as a versioned house definition. On 45 labelled questions (reviewed by me): right kind of reply 100%, acceptable declines 100%, unsafe answers 0, same numbers as expected 73%.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Assumptions, trade-offs, next</w:t>
      </w:r>
    </w:p>
    <w:p>
      <w:pPr>
        <w:pStyle w:val="ListBullet"/>
        <w:spacing w:after="20"/>
        <w:ind w:left="259"/>
      </w:pPr>
      <w:r>
        <w:rPr>
          <w:b/>
        </w:rPr>
        <w:t xml:space="preserve">Assumptions: </w:t>
      </w:r>
      <w:r>
        <w:t>follow-ups timed from discharge; aftercare doesn't fill a bed; residents from before July 2024 may be missing, so early months are flagged; FY2024 is July to December.</w:t>
      </w:r>
    </w:p>
    <w:p>
      <w:pPr>
        <w:pStyle w:val="ListBullet"/>
        <w:spacing w:after="20"/>
        <w:ind w:left="259"/>
      </w:pPr>
      <w:r>
        <w:rPr>
          <w:b/>
        </w:rPr>
        <w:t xml:space="preserve">Trade-offs: </w:t>
      </w:r>
      <w:r>
        <w:t>a narrow catalogue declines rather than guesses; a local 12B model is private and free but slower (about 10 s) and sometimes picks the wrong grouping or filter; rule-based redaction misses a name with no context; DuckDB stands in for MongoDB (its rules are written up); iteration, versioning and caching are designed, with spec hashes and versioned definitions built.</w:t>
      </w:r>
    </w:p>
    <w:p>
      <w:pPr>
        <w:pStyle w:val="ListBullet"/>
        <w:spacing w:after="20"/>
        <w:ind w:left="259"/>
      </w:pPr>
      <w:r>
        <w:rPr>
          <w:b/>
        </w:rPr>
        <w:t xml:space="preserve">Next: </w:t>
      </w:r>
      <w:r>
        <w:t>fix the remaining grouping and filter misses without tuning to the test set; add a self-hosted name detector and the house's contact list to redaction; grow the evaluation from real, redacted questions; record each follow-up attempt with its date.</w:t>
      </w:r>
    </w:p>
    <w:p>
      <w:r>
        <w:br w:type="page"/>
      </w:r>
    </w:p>
    <w:p>
      <w:pPr>
        <w:spacing w:after="0"/>
      </w:pPr>
      <w:r>
        <w:rPr>
          <w:b/>
          <w:color w:val="030302"/>
          <w:sz w:val="28"/>
        </w:rPr>
        <w:t>Appendix: Task C</w:t>
      </w:r>
    </w:p>
    <w:p>
      <w:pPr>
        <w:spacing w:after="80"/>
      </w:pPr>
      <w:r>
        <w:rPr>
          <w:color w:val="54586B"/>
          <w:sz w:val="17"/>
        </w:rPr>
        <w:t>Short answers; C1 is built and described on page 1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C1. Turning messy staff notes into structured fields</w:t>
      </w:r>
    </w:p>
    <w:p>
      <w:r>
        <w:t>Rules first, then a self-hosted model, then people. Rules are cheap and precise on wording staff use often; the model handles everything else, fills a fixed schema and must quote its evidence; which fields can apply depends on where the person is, so a past incident is never read as a current risk. Risk flags always go to a person. Values sit next to recorded fields with an AI-assisted label and stay out of funder figures until confirmed.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C2. Knowing it is accurate</w:t>
      </w:r>
    </w:p>
    <w:p>
      <w:pPr>
        <w:pStyle w:val="ListBullet"/>
        <w:spacing w:after="20"/>
        <w:ind w:left="259"/>
      </w:pPr>
      <w:r>
        <w:rPr>
          <w:b/>
        </w:rPr>
        <w:t xml:space="preserve">Evaluation set: </w:t>
      </w:r>
      <w:r>
        <w:t>500 to 1,000 notes stratified by house, writer and month, rare events (risk, incidents) over-sampled, redacted before labelling.</w:t>
      </w:r>
    </w:p>
    <w:p>
      <w:pPr>
        <w:pStyle w:val="ListBullet"/>
        <w:spacing w:after="20"/>
        <w:ind w:left="259"/>
      </w:pPr>
      <w:r>
        <w:rPr>
          <w:b/>
        </w:rPr>
        <w:t xml:space="preserve">Labelling: </w:t>
      </w:r>
      <w:r>
        <w:t>two trained staff label each note independently; a clinical lead settles disagreements; their agreement is the ceiling the system is judged against.</w:t>
      </w:r>
    </w:p>
    <w:p>
      <w:pPr>
        <w:pStyle w:val="ListBullet"/>
        <w:spacing w:after="20"/>
        <w:ind w:left="259"/>
      </w:pPr>
      <w:r>
        <w:rPr>
          <w:b/>
        </w:rPr>
        <w:t xml:space="preserve">Metrics: </w:t>
      </w:r>
      <w:r>
        <w:t>precision, recall and F1 per field; recall first for risk flags, where a miss can cause harm; invented-quote rate from the validator.</w:t>
      </w:r>
    </w:p>
    <w:p>
      <w:pPr>
        <w:pStyle w:val="ListBullet"/>
        <w:spacing w:after="20"/>
        <w:ind w:left="259"/>
      </w:pPr>
      <w:r>
        <w:rPr>
          <w:b/>
        </w:rPr>
        <w:t xml:space="preserve">Human in the loop: </w:t>
      </w:r>
      <w:r>
        <w:t>in the case-management workflow, every risk flag and anything rules and model disagree on is confirmed by staff; corrections become new labels; a sample of accepted values is audited monthly.</w:t>
      </w:r>
    </w:p>
    <w:p>
      <w:pPr>
        <w:pStyle w:val="ListBullet"/>
        <w:spacing w:after="20"/>
        <w:ind w:left="259"/>
      </w:pPr>
      <w:r>
        <w:rPr>
          <w:b/>
        </w:rPr>
        <w:t xml:space="preserve">Drift: </w:t>
      </w:r>
      <w:r>
        <w:t>watch note vocabulary, flag rates per house and staff override rates; re-run the labelled set after every model or prompt change and when a new house joins.</w:t>
      </w:r>
    </w:p>
    <w:p>
      <w:pPr>
        <w:keepNext/>
        <w:spacing w:before="100" w:after="20"/>
      </w:pPr>
      <w:r>
        <w:rPr>
          <w:b/>
          <w:color w:val="35522F"/>
          <w:sz w:val="21"/>
        </w:rPr>
        <w:t>C3. One prediction: who we may lose touch with after discharge</w:t>
      </w:r>
    </w:p>
    <w:p>
      <w:r>
        <w:t>At discharge, flag people likely to be unreachable at 6 months, so staff collect extra contacts and call sooner. The action is low-harm (an extra call), and it narrows the 46%–85% outcome range funders see.</w:t>
      </w:r>
    </w:p>
    <w:p>
      <w:pPr>
        <w:pStyle w:val="ListBullet"/>
        <w:spacing w:after="20"/>
        <w:ind w:left="259"/>
      </w:pPr>
      <w:r>
        <w:rPr>
          <w:b/>
        </w:rPr>
        <w:t xml:space="preserve">Data prerequisites: </w:t>
      </w:r>
      <w:r>
        <w:t>dated follow-up attempts and their result, contact quality at discharge, housing, aftercare plan, stay length and exit type; pooled across houses under data agreements, since Harbourview has only 18 people we couldn't reach.</w:t>
      </w:r>
    </w:p>
    <w:p>
      <w:pPr>
        <w:pStyle w:val="ListBullet"/>
        <w:spacing w:after="20"/>
        <w:ind w:left="259"/>
      </w:pPr>
      <w:r>
        <w:rPr>
          <w:b/>
        </w:rPr>
        <w:t xml:space="preserve">Main risks: </w:t>
      </w:r>
      <w:r>
        <w:t>bias against people with unstable housing; small samples and unstable estimates; misuse, such as choosing whom to call to make results look better, or reading the score as a judgement of the person.</w:t>
      </w:r>
    </w:p>
    <w:p>
      <w:pPr>
        <w:pStyle w:val="ListBullet"/>
        <w:spacing w:after="20"/>
        <w:ind w:left="259"/>
      </w:pPr>
      <w:r>
        <w:rPr>
          <w:b/>
        </w:rPr>
        <w:t xml:space="preserve">Before shipping: </w:t>
      </w:r>
      <w:r>
        <w:t>outreach-only use agreed in writing; beats a simple rule on houses it wasn't trained on; equally calibrated across groups; staff see the reasons and decide; privacy impact assessment and clinical sign-off; never used for admissions or funder reports.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2127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