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0fc6ad68232c2b467694384420be184d4b4c03"/>
    <w:p>
      <w:pPr>
        <w:pStyle w:val="Heading1"/>
      </w:pPr>
      <w:r>
        <w:t xml:space="preserve">Week 6 — ATT&amp;CK Framework: Mapping a Spearphishing Attachment Chain</w:t>
      </w:r>
    </w:p>
    <w:bookmarkStart w:id="20" w:name="project-and-weekly-task"/>
    <w:p>
      <w:pPr>
        <w:pStyle w:val="Heading2"/>
      </w:pPr>
      <w:r>
        <w:t xml:space="preserve">Project and weekly task</w:t>
      </w:r>
    </w:p>
    <w:p>
      <w:pPr>
        <w:pStyle w:val="FirstParagraph"/>
      </w:pPr>
      <w:r>
        <w:t xml:space="preserve">Project topic: Detecting Spearphishing Attacks in Corporate Networks. Student: Danial Rahman. Group: CS-2421. Course: Introduction to Threat Hunting (ITH). Date: 24 October 2026.</w:t>
      </w:r>
    </w:p>
    <w:p>
      <w:pPr>
        <w:pStyle w:val="BodyText"/>
      </w:pPr>
      <w:r>
        <w:t xml:space="preserve">Section 3.3 of the 2026–2027 syllabus sets the Week 6 practice task as:</w:t>
      </w:r>
      <w:r>
        <w:t xml:space="preserve"> </w:t>
      </w:r>
      <w:r>
        <w:rPr>
          <w:iCs/>
          <w:i/>
        </w:rPr>
        <w:t xml:space="preserve">study one specific ATT&amp;CK technique (e.g. T1059 — Command-Line Interface), simulate an attack and map the results to ATT&amp;CK tactics and techniques,</w:t>
      </w:r>
      <w:r>
        <w:t xml:space="preserve"> </w:t>
      </w:r>
      <w:r>
        <w:t xml:space="preserve">with the MITRE ATT&amp;CK Navigator documentation as recommended reading. This increment applies that task to our group topic. The technique we study in depth is</w:t>
      </w:r>
      <w:r>
        <w:t xml:space="preserve"> </w:t>
      </w:r>
      <w:r>
        <w:rPr>
          <w:bCs/>
          <w:b/>
        </w:rPr>
        <w:t xml:space="preserve">T1566.001 — Spearphishing Attachment</w:t>
      </w:r>
      <w:r>
        <w:t xml:space="preserve">, and we follow it through the execution chain it triggers so the mapping covers a full initial-access-to-C2 sequence rather than a single cell.</w:t>
      </w:r>
    </w:p>
    <w:p>
      <w:pPr>
        <w:pStyle w:val="BodyText"/>
      </w:pPr>
      <w:r>
        <w:t xml:space="preserve">Week 4 organised the RSA breach with the Cyber Kill Chain; Week 5 built a hypothesis-driven PowerShell hunt in Splunk. Week 6 keeps the same phishing theme but moves to the ATT&amp;CK framework: we describe a technique precisely, generate synthetic telemetry for it, and produce an ATT&amp;CK Navigator layer. All data is synthetic and nothing is executed (see</w:t>
      </w:r>
      <w:r>
        <w:t xml:space="preserve"> </w:t>
      </w:r>
      <w:r>
        <w:rPr>
          <w:iCs/>
          <w:i/>
        </w:rPr>
        <w:t xml:space="preserve">Safety and scope</w:t>
      </w:r>
      <w:r>
        <w:t xml:space="preserve">).</w:t>
      </w:r>
    </w:p>
    <w:bookmarkEnd w:id="20"/>
    <w:bookmarkStart w:id="21" w:name="the-attck-framework-in-brief"/>
    <w:p>
      <w:pPr>
        <w:pStyle w:val="Heading2"/>
      </w:pPr>
      <w:r>
        <w:t xml:space="preserve">The ATT&amp;CK framework in brief</w:t>
      </w:r>
    </w:p>
    <w:p>
      <w:pPr>
        <w:pStyle w:val="FirstParagraph"/>
      </w:pPr>
      <w:r>
        <w:t xml:space="preserve">ATT&amp;CK organises adversary behaviour into</w:t>
      </w:r>
      <w:r>
        <w:t xml:space="preserve"> </w:t>
      </w:r>
      <w:r>
        <w:rPr>
          <w:bCs/>
          <w:b/>
        </w:rPr>
        <w:t xml:space="preserve">tactics</w:t>
      </w:r>
      <w:r>
        <w:t xml:space="preserve"> </w:t>
      </w:r>
      <w:r>
        <w:t xml:space="preserve">(the attacker’s goal — e.g. Initial Access, Execution),</w:t>
      </w:r>
      <w:r>
        <w:t xml:space="preserve"> </w:t>
      </w:r>
      <w:r>
        <w:rPr>
          <w:bCs/>
          <w:b/>
        </w:rPr>
        <w:t xml:space="preserve">techniques</w:t>
      </w:r>
      <w:r>
        <w:t xml:space="preserve"> </w:t>
      </w:r>
      <w:r>
        <w:t xml:space="preserve">(how the goal is achieved — e.g. Spearphishing Attachment),</w:t>
      </w:r>
      <w:r>
        <w:t xml:space="preserve"> </w:t>
      </w:r>
      <w:r>
        <w:rPr>
          <w:bCs/>
          <w:b/>
        </w:rPr>
        <w:t xml:space="preserve">sub-techniques</w:t>
      </w:r>
      <w:r>
        <w:t xml:space="preserve"> </w:t>
      </w:r>
      <w:r>
        <w:t xml:space="preserve">(specific variants), and</w:t>
      </w:r>
      <w:r>
        <w:t xml:space="preserve"> </w:t>
      </w:r>
      <w:r>
        <w:rPr>
          <w:bCs/>
          <w:b/>
        </w:rPr>
        <w:t xml:space="preserve">procedures</w:t>
      </w:r>
      <w:r>
        <w:t xml:space="preserve"> </w:t>
      </w:r>
      <w:r>
        <w:t xml:space="preserve">(concrete in-the-wild implementations). We use</w:t>
      </w:r>
      <w:r>
        <w:t xml:space="preserve"> </w:t>
      </w:r>
      <w:r>
        <w:rPr>
          <w:bCs/>
          <w:b/>
        </w:rPr>
        <w:t xml:space="preserve">Enterprise ATT&amp;CK v20</w:t>
      </w:r>
      <w:r>
        <w:t xml:space="preserve">, read directly from MITRE’s official STIX bundle; the facts below (names, tactics, group counts, mitigations, detection strategies) are extracted by</w:t>
      </w:r>
      <w:r>
        <w:t xml:space="preserve"> </w:t>
      </w:r>
      <w:r>
        <w:rPr>
          <w:rStyle w:val="VerbatimChar"/>
        </w:rPr>
        <w:t xml:space="preserve">scripts/build_attack_reference.py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data/attack_v20_subset.json</w:t>
      </w:r>
      <w:r>
        <w:t xml:space="preserve"> </w:t>
      </w:r>
      <w:r>
        <w:t xml:space="preserve">so they are verifiable and reproducible, not quoted from memory.</w:t>
      </w:r>
    </w:p>
    <w:p>
      <w:pPr>
        <w:pStyle w:val="BlockText"/>
      </w:pPr>
      <w:r>
        <w:t xml:space="preserve">Note on tactic naming: in ATT&amp;CK v20 the tactic that earlier versions called</w:t>
      </w:r>
      <w:r>
        <w:t xml:space="preserve"> </w:t>
      </w:r>
      <w:r>
        <w:rPr>
          <w:iCs/>
          <w:i/>
        </w:rPr>
        <w:t xml:space="preserve">Defense Evasion</w:t>
      </w:r>
      <w:r>
        <w:t xml:space="preserve"> </w:t>
      </w:r>
      <w:r>
        <w:t xml:space="preserve">is represented in the STIX data under the shortname</w:t>
      </w:r>
      <w:r>
        <w:t xml:space="preserve"> </w:t>
      </w:r>
      <w:r>
        <w:rPr>
          <w:rStyle w:val="VerbatimChar"/>
        </w:rPr>
        <w:t xml:space="preserve">stealth</w:t>
      </w:r>
      <w:r>
        <w:t xml:space="preserve">. We use the familiar label</w:t>
      </w:r>
      <w:r>
        <w:t xml:space="preserve"> </w:t>
      </w:r>
      <w:r>
        <w:t xml:space="preserve">“</w:t>
      </w:r>
      <w:r>
        <w:t xml:space="preserve">Defense Evasion</w:t>
      </w:r>
      <w:r>
        <w:t xml:space="preserve">”</w:t>
      </w:r>
      <w:r>
        <w:t xml:space="preserve"> </w:t>
      </w:r>
      <w:r>
        <w:t xml:space="preserve">in prose and figures.</w:t>
      </w:r>
    </w:p>
    <w:bookmarkEnd w:id="21"/>
    <w:bookmarkStart w:id="22" w:name="X5d70b326aa58bcd974d126385730bebf8dc9525"/>
    <w:p>
      <w:pPr>
        <w:pStyle w:val="Heading2"/>
      </w:pPr>
      <w:r>
        <w:t xml:space="preserve">Technique studied: T1566.001 — Spearphishing Attachment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Tactic:</w:t>
      </w:r>
      <w:r>
        <w:t xml:space="preserve"> </w:t>
      </w:r>
      <w:r>
        <w:t xml:space="preserve">Initial Access (TA0001)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ATT&amp;CK version:</w:t>
      </w:r>
      <w:r>
        <w:t xml:space="preserve"> </w:t>
      </w:r>
      <w:r>
        <w:t xml:space="preserve">2.2 ·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t xml:space="preserve">https://attack.mitre.org/techniques/T1566/001/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 (MITRE):</w:t>
      </w:r>
      <w:r>
        <w:t xml:space="preserve"> </w:t>
      </w:r>
      <w:r>
        <w:t xml:space="preserve">adversaries send spearphishing emails with a malicious attachment to gain access to victim systems. The attachment (an Office document, executable, PDF or archive) relies on</w:t>
      </w:r>
      <w:r>
        <w:t xml:space="preserve"> </w:t>
      </w:r>
      <w:r>
        <w:rPr>
          <w:bCs/>
          <w:b/>
        </w:rPr>
        <w:t xml:space="preserve">User Execution (T1204.002)</w:t>
      </w:r>
      <w:r>
        <w:t xml:space="preserve"> </w:t>
      </w:r>
      <w:r>
        <w:t xml:space="preserve">after the recipient opens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Prevalence:</w:t>
      </w:r>
      <w:r>
        <w:t xml:space="preserve"> </w:t>
      </w:r>
      <w:r>
        <w:t xml:space="preserve">attributed to</w:t>
      </w:r>
      <w:r>
        <w:t xml:space="preserve"> </w:t>
      </w:r>
      <w:r>
        <w:rPr>
          <w:bCs/>
          <w:b/>
        </w:rPr>
        <w:t xml:space="preserve">79 named groups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62 pieces of software</w:t>
      </w:r>
      <w:r>
        <w:t xml:space="preserve"> </w:t>
      </w:r>
      <w:r>
        <w:t xml:space="preserve">in ATT&amp;CK v20 — among the most widely used initial-access techniques, which is why it anchors our project.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Mitigations (MITRE):</w:t>
      </w:r>
      <w:r>
        <w:t xml:space="preserve"> </w:t>
      </w:r>
      <w:r>
        <w:t xml:space="preserve">M1017 User Training, M1018 User Account Management, M1021 Restrict Web-Based Content, M1031 Network Intrusion Prevention, M1047 Audit, M1049 Antivirus/Antimalware, M1054 Software Configuration.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MITRE detection strategy DET0236</w:t>
      </w:r>
      <w:r>
        <w:t xml:space="preserve"> </w:t>
      </w:r>
      <w:r>
        <w:t xml:space="preserve">correlates</w:t>
      </w:r>
      <w:r>
        <w:t xml:space="preserve"> </w:t>
      </w:r>
      <w:r>
        <w:rPr>
          <w:iCs/>
          <w:i/>
        </w:rPr>
        <w:t xml:space="preserve">inbound email metadata → attachment on disk → process execution → outbound network activity</w:t>
      </w:r>
      <w:r>
        <w:t xml:space="preserve"> </w:t>
      </w:r>
      <w:r>
        <w:t xml:space="preserve">— exactly the behavioural chain our hunt reconstructs. Its Windows analytic (AN0655) names the log sources we model: mail-gateway content, Sysmon EventCode 11 (file create), EventCode 1 (process create) and EventCode 3/22 (network/DNS).</w:t>
      </w:r>
    </w:p>
    <w:bookmarkEnd w:id="22"/>
    <w:bookmarkStart w:id="26" w:name="the-simulated-attack-chain"/>
    <w:p>
      <w:pPr>
        <w:pStyle w:val="Heading2"/>
      </w:pPr>
      <w:r>
        <w:t xml:space="preserve">The simulated attack chain</w:t>
      </w:r>
    </w:p>
    <w:p>
      <w:pPr>
        <w:pStyle w:val="FirstParagraph"/>
      </w:pPr>
      <w:r>
        <w:t xml:space="preserve">We model one suspicious host (</w:t>
      </w:r>
      <w:r>
        <w:rPr>
          <w:bCs/>
          <w:b/>
        </w:rPr>
        <w:t xml:space="preserve">FIN-WS01</w:t>
      </w:r>
      <w:r>
        <w:t xml:space="preserve">) carried through five ATT&amp;CK techniques, plus three control hosts that look similar but must not be confused with the attack.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step (synthetic)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gateway delivers a macro-document attachment; sender fails SPF/DMARC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T1566.001</w:t>
            </w:r>
            <w:r>
              <w:t xml:space="preserve"> </w:t>
            </w:r>
            <w:r>
              <w:t xml:space="preserve">Spearphishing 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opens the document; WINWORD.EXE writes it to</w:t>
            </w:r>
            <w:r>
              <w:t xml:space="preserve"> </w:t>
            </w:r>
            <w:r>
              <w:rPr>
                <w:rStyle w:val="VerbatimChar"/>
              </w:rPr>
              <w:t xml:space="preserve">\Downloads\</w:t>
            </w:r>
            <w:r>
              <w:t xml:space="preserve"> </w:t>
            </w:r>
            <w:r>
              <w:t xml:space="preserve">and spawns a child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T1204.002</w:t>
            </w:r>
            <w:r>
              <w:t xml:space="preserve"> </w:t>
            </w:r>
            <w:r>
              <w:t xml:space="preserve">Malicious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child process is</w:t>
            </w:r>
            <w:r>
              <w:t xml:space="preserve"> </w:t>
            </w:r>
            <w:r>
              <w:rPr>
                <w:rStyle w:val="VerbatimChar"/>
              </w:rPr>
              <w:t xml:space="preserve">powershell.exe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T1059.001</w:t>
            </w:r>
            <w:r>
              <w:t xml:space="preserve"> </w:t>
            </w: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command line carries an</w:t>
            </w:r>
            <w:r>
              <w:t xml:space="preserve"> </w:t>
            </w:r>
            <w:r>
              <w:rPr>
                <w:rStyle w:val="VerbatimChar"/>
              </w:rPr>
              <w:t xml:space="preserve">-EncodedCommand</w:t>
            </w:r>
            <w:r>
              <w:t xml:space="preserve"> </w:t>
            </w:r>
            <w: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T1027.010</w:t>
            </w:r>
            <w:r>
              <w:t xml:space="preserve"> </w:t>
            </w:r>
            <w:r>
              <w:t xml:space="preserve">Command Obfuscation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Evasion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iCs/>
                <w:i/>
              </w:rPr>
              <w:t xml:space="preserve">same</w:t>
            </w:r>
            <w:r>
              <w:t xml:space="preserve"> </w:t>
            </w:r>
            <w:r>
              <w:t xml:space="preserve">PowerShell process opens an outbound TCP/443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T1071.001</w:t>
            </w:r>
            <w:r>
              <w:t xml:space="preserve"> </w:t>
            </w:r>
            <w:r>
              <w:t xml:space="preserve">Web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&amp; Control</w:t>
            </w:r>
          </w:p>
        </w:tc>
      </w:tr>
    </w:tbl>
    <w:p>
      <w:pPr>
        <w:pStyle w:val="CaptionedFigure"/>
      </w:pPr>
      <w:r>
        <w:drawing>
          <wp:inline>
            <wp:extent cx="5334000" cy="1505300"/>
            <wp:effectExtent b="0" l="0" r="0" t="0"/>
            <wp:docPr descr="Observed ATT&amp;CK chain on FIN-WS01" title="" id="24" name="Picture"/>
            <a:graphic>
              <a:graphicData uri="http://schemas.openxmlformats.org/drawingml/2006/picture">
                <pic:pic>
                  <pic:nvPicPr>
                    <pic:cNvPr descr="attack_cha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ATT&amp;CK chain on FIN-WS01</w:t>
      </w:r>
    </w:p>
    <w:p>
      <w:pPr>
        <w:pStyle w:val="BodyText"/>
      </w:pPr>
      <w:r>
        <w:t xml:space="preserve">This is the mapping the syllabus asks for: each observed artefact is tied to a specific ATT&amp;CK technique and its tactic, forming a path across the matrix rather than a single technique in isolation.</w:t>
      </w:r>
    </w:p>
    <w:bookmarkEnd w:id="26"/>
    <w:bookmarkStart w:id="27" w:name="safety-and-scope"/>
    <w:p>
      <w:pPr>
        <w:pStyle w:val="Heading2"/>
      </w:pPr>
      <w:r>
        <w:t xml:space="preserve">Safety and scope</w:t>
      </w:r>
    </w:p>
    <w:p>
      <w:pPr>
        <w:pStyle w:val="FirstParagraph"/>
      </w:pPr>
      <w:r>
        <w:t xml:space="preserve">Nothing in this increment is live or dangerous: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email is generated.</w:t>
      </w:r>
      <w:r>
        <w:t xml:space="preserve"> </w:t>
      </w:r>
      <w:r>
        <w:t xml:space="preserve">Mail activity is represented as mail-gateway</w:t>
      </w:r>
      <w:r>
        <w:t xml:space="preserve"> </w:t>
      </w:r>
      <w:r>
        <w:rPr>
          <w:iCs/>
          <w:i/>
        </w:rPr>
        <w:t xml:space="preserve">log records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data/mail_events.ndjson</w:t>
      </w:r>
      <w:r>
        <w:t xml:space="preserve">) — sender, recipient, SPF/DKIM/DMARC verdict and an attachment name plus the SHA-256 of a short harmless placeholder string. There is no message body, no macro, no script and no attachment file.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process runs and no connection is made.</w:t>
      </w:r>
      <w:r>
        <w:t xml:space="preserve"> </w:t>
      </w:r>
      <w:r>
        <w:t xml:space="preserve">Endpoint activity is synthetic telemetry in the Sysmon schema (</w:t>
      </w:r>
      <w:r>
        <w:rPr>
          <w:rStyle w:val="VerbatimChar"/>
        </w:rPr>
        <w:t xml:space="preserve">data/endpoint_events.ndjson</w:t>
      </w:r>
      <w:r>
        <w:t xml:space="preserve">, EventID 1/3/11). The</w:t>
      </w:r>
      <w:r>
        <w:t xml:space="preserve"> </w:t>
      </w:r>
      <w:r>
        <w:t xml:space="preserve">“</w:t>
      </w:r>
      <w:r>
        <w:t xml:space="preserve">encoded command</w:t>
      </w:r>
      <w:r>
        <w:t xml:space="preserve">”</w:t>
      </w:r>
      <w:r>
        <w:t xml:space="preserve"> </w:t>
      </w:r>
      <w:r>
        <w:t xml:space="preserve">values are short Base64 of harmless placeholder text.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Nothing resolves or routes.</w:t>
      </w:r>
      <w:r>
        <w:t xml:space="preserve"> </w:t>
      </w:r>
      <w:r>
        <w:t xml:space="preserve">Senders use the reserved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TLD; all IPs are from the RFC 5737 documentation ranges (</w:t>
      </w:r>
      <w:r>
        <w:rPr>
          <w:rStyle w:val="VerbatimChar"/>
        </w:rPr>
        <w:t xml:space="preserve">192.0.2.0/24</w:t>
      </w:r>
      <w:r>
        <w:t xml:space="preserve">,</w:t>
      </w:r>
      <w:r>
        <w:t xml:space="preserve"> </w:t>
      </w:r>
      <w:r>
        <w:rPr>
          <w:rStyle w:val="VerbatimChar"/>
        </w:rPr>
        <w:t xml:space="preserve">198.51.100.0/24</w:t>
      </w:r>
      <w:r>
        <w:t xml:space="preserve">,</w:t>
      </w:r>
      <w:r>
        <w:t xml:space="preserve"> </w:t>
      </w:r>
      <w:r>
        <w:rPr>
          <w:rStyle w:val="VerbatimChar"/>
        </w:rPr>
        <w:t xml:space="preserve">203.0.113.0/24</w:t>
      </w:r>
      <w:r>
        <w:t xml:space="preserve">).</w:t>
      </w:r>
    </w:p>
    <w:p>
      <w:pPr>
        <w:pStyle w:val="FirstParagraph"/>
      </w:pPr>
      <w:r>
        <w:t xml:space="preserve">The generator is deterministic, so every figure and count in this report is reproducible with</w:t>
      </w:r>
      <w:r>
        <w:t xml:space="preserve"> </w:t>
      </w:r>
      <w:r>
        <w:rPr>
          <w:rStyle w:val="VerbatimChar"/>
        </w:rPr>
        <w:t xml:space="preserve">python3 scripts/generate_telemetry.py</w:t>
      </w:r>
      <w:r>
        <w:t xml:space="preserve">.</w:t>
      </w:r>
    </w:p>
    <w:bookmarkEnd w:id="27"/>
    <w:bookmarkStart w:id="31" w:name="X27f427acd201e2fc6704a9117aa1aa8060dbf82"/>
    <w:p>
      <w:pPr>
        <w:pStyle w:val="Heading2"/>
      </w:pPr>
      <w:r>
        <w:t xml:space="preserve">The hunt: narrowing four hosts to one candidate</w:t>
      </w:r>
    </w:p>
    <w:p>
      <w:pPr>
        <w:pStyle w:val="FirstParagraph"/>
      </w:pPr>
      <w:r>
        <w:rPr>
          <w:rStyle w:val="VerbatimChar"/>
        </w:rPr>
        <w:t xml:space="preserve">scripts/hunt_and_map.py</w:t>
      </w:r>
      <w:r>
        <w:t xml:space="preserve"> </w:t>
      </w:r>
      <w:r>
        <w:t xml:space="preserve">reads the telemetry and applies the DET0236 logic: mail reputation → Office writes a document → Office spawns an interpreter → encoded argument →</w:t>
      </w:r>
      <w:r>
        <w:t xml:space="preserve"> </w:t>
      </w:r>
      <w:r>
        <w:rPr>
          <w:bCs/>
          <w:b/>
        </w:rPr>
        <w:t xml:space="preserve">egress from the same process entity</w:t>
      </w:r>
      <w:r>
        <w:t xml:space="preserve">. The last condition is the key discriminator and reuses the process-correlation lesson from Week 5.</w:t>
      </w:r>
    </w:p>
    <w:p>
      <w:pPr>
        <w:pStyle w:val="CaptionedFigure"/>
      </w:pPr>
      <w:r>
        <w:drawing>
          <wp:inline>
            <wp:extent cx="5334000" cy="2575953"/>
            <wp:effectExtent b="0" l="0" r="0" t="0"/>
            <wp:docPr descr="Hunt funnel" title="" id="29" name="Picture"/>
            <a:graphic>
              <a:graphicData uri="http://schemas.openxmlformats.org/drawingml/2006/picture">
                <pic:pic>
                  <pic:nvPicPr>
                    <pic:cNvPr descr="hunt_funne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Hunt funnel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Techniques 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FIN-WS01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SUSPICIOUS</w:t>
            </w:r>
            <w:r>
              <w:t xml:space="preserve"> </w:t>
            </w:r>
            <w:r>
              <w:t xml:space="preserve">— full delivery-to-C2 chain, investigate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T1566.001, T1204.002, T1059.001, T1027.010, T1071.001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FIN-WS02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 — no Office→interpreter chain (PDF opened from Explorer)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FIN-WS03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 MATCH — Excel→PowerShell but no encoding, internal destination; approved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T1204.002, T1059.001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FIN-WS04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— encoded Office PowerShell, but outbound traffic belonged to a</w:t>
            </w:r>
            <w:r>
              <w:t xml:space="preserve"> </w:t>
            </w:r>
            <w:r>
              <w:rPr>
                <w:iCs/>
                <w:i/>
              </w:rPr>
              <w:t xml:space="preserve">different</w:t>
            </w:r>
            <w:r>
              <w:t xml:space="preserve"> </w:t>
            </w: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T1204.002, T1059.001, T1027.010</w:t>
            </w:r>
          </w:p>
        </w:tc>
      </w:tr>
    </w:tbl>
    <w:p>
      <w:pPr>
        <w:pStyle w:val="BodyText"/>
      </w:pPr>
      <w:r>
        <w:t xml:space="preserve">FIN-WS03 and FIN-WS04 are deliberate controls. FIN-WS03 shows that</w:t>
      </w:r>
      <w:r>
        <w:t xml:space="preserve"> </w:t>
      </w:r>
      <w:r>
        <w:t xml:space="preserve">“</w:t>
      </w:r>
      <w:r>
        <w:t xml:space="preserve">Office spawned PowerShell</w:t>
      </w:r>
      <w:r>
        <w:t xml:space="preserve">”</w:t>
      </w:r>
      <w:r>
        <w:t xml:space="preserve"> </w:t>
      </w:r>
      <w:r>
        <w:t xml:space="preserve">alone is a false positive (approved reporting automation). FIN-WS04 shows why host-only correlation is too broad: the encoded PowerShell and the outbound connection are real, but they are not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process, so FIN-WS04 is excluded from the C2 step. Only FIN-WS01 satisfies the complete chain.</w:t>
      </w:r>
    </w:p>
    <w:bookmarkEnd w:id="31"/>
    <w:bookmarkStart w:id="33" w:name="attck-navigator-layer"/>
    <w:p>
      <w:pPr>
        <w:pStyle w:val="Heading2"/>
      </w:pPr>
      <w:r>
        <w:t xml:space="preserve">ATT&amp;CK Navigator layer</w:t>
      </w:r>
    </w:p>
    <w:p>
      <w:pPr>
        <w:pStyle w:val="FirstParagraph"/>
      </w:pPr>
      <w:r>
        <w:rPr>
          <w:rStyle w:val="VerbatimChar"/>
        </w:rPr>
        <w:t xml:space="preserve">attack/navigator_layer.json</w:t>
      </w:r>
      <w:r>
        <w:t xml:space="preserve"> </w:t>
      </w:r>
      <w:r>
        <w:t xml:space="preserve">is a valid Navigator 4.5 layer (ATT&amp;CK v20). Each technique is scored by the number of synthetic hosts exhibiting it, so the attack path lights up on the matrix. To view it: open</w:t>
      </w:r>
      <w:r>
        <w:t xml:space="preserve"> </w:t>
      </w:r>
      <w:hyperlink r:id="rId32">
        <w:r>
          <w:rPr>
            <w:rStyle w:val="Hyperlink"/>
          </w:rPr>
          <w:t xml:space="preserve">ATT&amp;CK Navigator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Open Existing Layer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Upload from local</w:t>
      </w:r>
      <w:r>
        <w:t xml:space="preserve"> </w:t>
      </w:r>
      <w:r>
        <w:t xml:space="preserve">→ select the file.</w:t>
      </w:r>
    </w:p>
    <w:bookmarkEnd w:id="33"/>
    <w:bookmarkStart w:id="34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dataset has four hosts and a single attack path; the counts show that the logic behaves as intended, not detection accuracy. A real spearphishing hunt would add the email body, attachment detonation, document-macro telemetry, DNS and proxy logs, and would treat</w:t>
      </w:r>
      <w:r>
        <w:t xml:space="preserve"> </w:t>
      </w:r>
      <w:r>
        <w:rPr>
          <w:rStyle w:val="VerbatimChar"/>
        </w:rPr>
        <w:t xml:space="preserve">-EncodedCommand</w:t>
      </w:r>
      <w:r>
        <w:t xml:space="preserve"> </w:t>
      </w:r>
      <w:r>
        <w:t xml:space="preserve">as one indicator among many (legitimate tools also encode commands). The mapping reflects our modelled chain; an attacker could reach the same tactics through other techniques (e.g. T1566.002 link-based delivery, or</w:t>
      </w:r>
      <w:r>
        <w:t xml:space="preserve"> </w:t>
      </w:r>
      <w:r>
        <w:rPr>
          <w:rStyle w:val="VerbatimChar"/>
        </w:rPr>
        <w:t xml:space="preserve">mshta</w:t>
      </w:r>
      <w:r>
        <w:t xml:space="preserve">/</w:t>
      </w:r>
      <w:r>
        <w:rPr>
          <w:rStyle w:val="VerbatimChar"/>
        </w:rPr>
        <w:t xml:space="preserve">regsvr32</w:t>
      </w:r>
      <w:r>
        <w:t xml:space="preserve"> </w:t>
      </w:r>
      <w:r>
        <w:t xml:space="preserve">execution).</w:t>
      </w:r>
    </w:p>
    <w:bookmarkEnd w:id="34"/>
    <w:bookmarkStart w:id="35" w:name="what-week-6-adds-to-the-project"/>
    <w:p>
      <w:pPr>
        <w:pStyle w:val="Heading2"/>
      </w:pPr>
      <w:r>
        <w:t xml:space="preserve">What Week 6 adds to the project</w:t>
      </w:r>
    </w:p>
    <w:p>
      <w:pPr>
        <w:pStyle w:val="FirstParagraph"/>
      </w:pPr>
      <w:r>
        <w:t xml:space="preserve">A precise ATT&amp;CK technique study grounded in the official v20 STIX data, a safe synthetic telemetry set for a spearphishing chain, a reproducible hunt that maps observations to five techniques across four tactics, two figures, and an importable Navigator layer. Week 7 implements MITRE CAR analytics that detect the execution stage of this same chain in a SIEM.</w:t>
      </w:r>
    </w:p>
    <w:bookmarkEnd w:id="35"/>
    <w:bookmarkStart w:id="36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3"/>
        </w:numPr>
        <w:pStyle w:val="Compact"/>
      </w:pPr>
      <w:r>
        <w:t xml:space="preserve">[R1] MITRE ATT&amp;CK — Spearphishing Attachment T1566.001. https://attack.mitre.org/techniques/T1566/001/</w:t>
      </w:r>
    </w:p>
    <w:p>
      <w:pPr>
        <w:numPr>
          <w:ilvl w:val="0"/>
          <w:numId w:val="1003"/>
        </w:numPr>
        <w:pStyle w:val="Compact"/>
      </w:pPr>
      <w:r>
        <w:t xml:space="preserve">[R2] MITRE ATT&amp;CK — User Execution: Malicious File T1204.002. https://attack.mitre.org/techniques/T1204/002/</w:t>
      </w:r>
    </w:p>
    <w:p>
      <w:pPr>
        <w:numPr>
          <w:ilvl w:val="0"/>
          <w:numId w:val="1003"/>
        </w:numPr>
        <w:pStyle w:val="Compact"/>
      </w:pPr>
      <w:r>
        <w:t xml:space="preserve">[R3] MITRE ATT&amp;CK — PowerShell T1059.001. https://attack.mitre.org/techniques/T1059/001/</w:t>
      </w:r>
    </w:p>
    <w:p>
      <w:pPr>
        <w:numPr>
          <w:ilvl w:val="0"/>
          <w:numId w:val="1003"/>
        </w:numPr>
        <w:pStyle w:val="Compact"/>
      </w:pPr>
      <w:r>
        <w:t xml:space="preserve">[R4] MITRE ATT&amp;CK — Command Obfuscation T1027.010. https://attack.mitre.org/techniques/T1027/010/</w:t>
      </w:r>
    </w:p>
    <w:p>
      <w:pPr>
        <w:numPr>
          <w:ilvl w:val="0"/>
          <w:numId w:val="1003"/>
        </w:numPr>
        <w:pStyle w:val="Compact"/>
      </w:pPr>
      <w:r>
        <w:t xml:space="preserve">[R5] MITRE ATT&amp;CK — Web Protocols T1071.001. https://attack.mitre.org/techniques/T1071/001/</w:t>
      </w:r>
    </w:p>
    <w:p>
      <w:pPr>
        <w:numPr>
          <w:ilvl w:val="0"/>
          <w:numId w:val="1003"/>
        </w:numPr>
        <w:pStyle w:val="Compact"/>
      </w:pPr>
      <w:r>
        <w:t xml:space="preserve">[R6] MITRE ATT&amp;CK Navigator. https://mitre-attack.github.io/attack-navigator/</w:t>
      </w:r>
    </w:p>
    <w:p>
      <w:pPr>
        <w:numPr>
          <w:ilvl w:val="0"/>
          <w:numId w:val="1003"/>
        </w:numPr>
        <w:pStyle w:val="Compact"/>
      </w:pPr>
      <w:r>
        <w:t xml:space="preserve">[R7] MITRE ATT&amp;CK STIX data (enterprise-attack v20). https://github.com/mitre-attack/attack-stix-data</w:t>
      </w:r>
    </w:p>
    <w:p>
      <w:pPr>
        <w:numPr>
          <w:ilvl w:val="0"/>
          <w:numId w:val="1003"/>
        </w:numPr>
        <w:pStyle w:val="Compact"/>
      </w:pPr>
      <w:r>
        <w:t xml:space="preserve">[R8] RFC 5737 — IPv4 Address Blocks Reserved for Documentation. https://datatracker.ietf.org/doc/html/rfc5737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hyperlink" Id="rId32" Target="https://mitre-attack.github.io/attack-navigat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mitre-attack.github.io/attack-navigat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2026-10-24T07:50:18Z</dcterms:created>
  <dcterms:modified xsi:type="dcterms:W3CDTF">2026-10-24T07:50:18Z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