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6f2709200e6f15ff04e6551395ef0d1b8366ff"/>
    <w:p>
      <w:pPr>
        <w:pStyle w:val="Heading1"/>
      </w:pPr>
      <w:r>
        <w:t xml:space="preserve">Week 7 — Using MITRE CAR: Implementing and Executing Analytics in a SIEM</w:t>
      </w:r>
    </w:p>
    <w:bookmarkStart w:id="20" w:name="project-and-weekly-task"/>
    <w:p>
      <w:pPr>
        <w:pStyle w:val="Heading2"/>
      </w:pPr>
      <w:r>
        <w:t xml:space="preserve">Project and weekly task</w:t>
      </w:r>
    </w:p>
    <w:p>
      <w:pPr>
        <w:pStyle w:val="FirstParagraph"/>
      </w:pPr>
      <w:r>
        <w:t xml:space="preserve">Project topic: Detecting Spearphishing Attacks in Corporate Networks. Student: Danial Rahman. Group: CS-2421. Course: Introduction to Threat Hunting (ITH). Date: 24 October 2026.</w:t>
      </w:r>
    </w:p>
    <w:p>
      <w:pPr>
        <w:pStyle w:val="BodyText"/>
      </w:pPr>
      <w:r>
        <w:t xml:space="preserve">Section 3.3 of the 2026–2027 syllabus sets the Week 7 practice task as:</w:t>
      </w:r>
      <w:r>
        <w:t xml:space="preserve"> </w:t>
      </w:r>
      <w:r>
        <w:rPr>
          <w:iCs/>
          <w:i/>
        </w:rPr>
        <w:t xml:space="preserve">select an analytic model from CAR and implement it in a SIEM; map the analytic to related ATT&amp;CK techniques,</w:t>
      </w:r>
      <w:r>
        <w:t xml:space="preserve"> </w:t>
      </w:r>
      <w:r>
        <w:t xml:space="preserve">with the MITRE CAR documentation as recommended reading. This increment selects two analytics from the</w:t>
      </w:r>
      <w:r>
        <w:t xml:space="preserve"> </w:t>
      </w:r>
      <w:r>
        <w:rPr>
          <w:bCs/>
          <w:b/>
        </w:rPr>
        <w:t xml:space="preserve">MITRE Cyber Analytics Repository (CAR)</w:t>
      </w:r>
      <w:r>
        <w:t xml:space="preserve">, implements them as portable Sigma rules,</w:t>
      </w:r>
      <w:r>
        <w:t xml:space="preserve"> </w:t>
      </w:r>
      <w:r>
        <w:rPr>
          <w:bCs/>
          <w:b/>
        </w:rPr>
        <w:t xml:space="preserve">converts them to Splunk SPL and SQLite with pySigma, and executes the SQLite form against a log store</w:t>
      </w:r>
      <w:r>
        <w:t xml:space="preserve"> </w:t>
      </w:r>
      <w:r>
        <w:t xml:space="preserve">built from the Week 6 telemetry. It then maps each analytic back to ATT&amp;CK v20.</w:t>
      </w:r>
    </w:p>
    <w:p>
      <w:pPr>
        <w:pStyle w:val="BodyText"/>
      </w:pPr>
      <w:r>
        <w:t xml:space="preserve">This continues the same phishing chain: Week 6 mapped the</w:t>
      </w:r>
      <w:r>
        <w:t xml:space="preserve"> </w:t>
      </w:r>
      <w:r>
        <w:rPr>
          <w:iCs/>
          <w:i/>
        </w:rPr>
        <w:t xml:space="preserve">behaviour</w:t>
      </w:r>
      <w:r>
        <w:t xml:space="preserve"> </w:t>
      </w:r>
      <w:r>
        <w:t xml:space="preserve">(T1566.001 → … → T1071.001); Week 7 builds the</w:t>
      </w:r>
      <w:r>
        <w:t xml:space="preserve"> </w:t>
      </w:r>
      <w:r>
        <w:rPr>
          <w:iCs/>
          <w:i/>
        </w:rPr>
        <w:t xml:space="preserve">detections</w:t>
      </w:r>
      <w:r>
        <w:t xml:space="preserve"> </w:t>
      </w:r>
      <w:r>
        <w:t xml:space="preserve">for its execution stage and shows how raw CAR analytics are tuned to cut false positives.</w:t>
      </w:r>
    </w:p>
    <w:bookmarkEnd w:id="20"/>
    <w:bookmarkStart w:id="21" w:name="analytics-vs-detections"/>
    <w:p>
      <w:pPr>
        <w:pStyle w:val="Heading2"/>
      </w:pPr>
      <w:r>
        <w:t xml:space="preserve">Analytics vs detections</w:t>
      </w:r>
    </w:p>
    <w:p>
      <w:pPr>
        <w:pStyle w:val="FirstParagraph"/>
      </w:pPr>
      <w:r>
        <w:t xml:space="preserve">CAR distinguishes an</w:t>
      </w:r>
      <w:r>
        <w:t xml:space="preserve"> </w:t>
      </w:r>
      <w:r>
        <w:rPr>
          <w:bCs/>
          <w:b/>
        </w:rPr>
        <w:t xml:space="preserve">analytic</w:t>
      </w:r>
      <w:r>
        <w:t xml:space="preserve"> </w:t>
      </w:r>
      <w:r>
        <w:t xml:space="preserve">(a documented, data-model-based hunting idea, often vendor-neutral pseudocode) from a</w:t>
      </w:r>
      <w:r>
        <w:t xml:space="preserve"> </w:t>
      </w:r>
      <w:r>
        <w:rPr>
          <w:bCs/>
          <w:b/>
        </w:rPr>
        <w:t xml:space="preserve">detection</w:t>
      </w:r>
      <w:r>
        <w:t xml:space="preserve"> </w:t>
      </w:r>
      <w:r>
        <w:t xml:space="preserve">(a concrete query that runs in one product). The syllabus task is to take the analytic and realise it as a detection in a SIEM. We make that bridge explicit with a pipeline:</w:t>
      </w:r>
    </w:p>
    <w:p>
      <w:pPr>
        <w:pStyle w:val="SourceCode"/>
      </w:pPr>
      <w:r>
        <w:rPr>
          <w:rStyle w:val="VerbatimChar"/>
        </w:rPr>
        <w:t xml:space="preserve">MITRE CAR analytic  -&gt;  Sigma rule (rules/*.yml)  -&gt;  pySigma backend  -&gt;  SPL (Splunk)  +  SQLite  -&gt;  executed results</w:t>
      </w:r>
    </w:p>
    <w:p>
      <w:pPr>
        <w:pStyle w:val="FirstParagraph"/>
      </w:pPr>
      <w:r>
        <w:t xml:space="preserve">Writing the rule once in Sigma and converting it means the same analytic runs in Splunk (the group lab) and in a local SQLite store (reproducible here with no SIEM licence).</w:t>
      </w:r>
    </w:p>
    <w:bookmarkEnd w:id="21"/>
    <w:bookmarkStart w:id="22" w:name="analytics-selected"/>
    <w:p>
      <w:pPr>
        <w:pStyle w:val="Heading2"/>
      </w:pPr>
      <w:r>
        <w:t xml:space="preserve">Analytics selected</w:t>
      </w:r>
    </w:p>
    <w:p>
      <w:pPr>
        <w:pStyle w:val="FirstParagraph"/>
      </w:pPr>
      <w:r>
        <w:rPr>
          <w:bCs/>
          <w:b/>
        </w:rPr>
        <w:t xml:space="preserve">CAR-2014-04-003 — PowerShell Execution</w:t>
      </w:r>
      <w:r>
        <w:t xml:space="preserve"> </w:t>
      </w:r>
      <w:r>
        <w:t xml:space="preserve">(https://car.mitre.org/analytics/CAR-2014-04-003/). CAR’s pseudocode is:</w:t>
      </w:r>
      <w:r>
        <w:t xml:space="preserve"> </w:t>
      </w:r>
      <w:r>
        <w:rPr>
          <w:rStyle w:val="VerbatimChar"/>
        </w:rPr>
        <w:t xml:space="preserve">filter processes where exe == "powershell.exe" AND parent_exe != "explorer.exe"</w:t>
      </w:r>
      <w:r>
        <w:t xml:space="preserve">. It maps to</w:t>
      </w:r>
      <w:r>
        <w:t xml:space="preserve"> </w:t>
      </w:r>
      <w:r>
        <w:rPr>
          <w:bCs/>
          <w:b/>
        </w:rPr>
        <w:t xml:space="preserve">T1059.001 (PowerShell)</w:t>
      </w:r>
      <w:r>
        <w:t xml:space="preserve"> </w:t>
      </w:r>
      <w:r>
        <w:t xml:space="preserve">and is deliberately broad. We implement it in two forms: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rules/car_2014_04_003_powershell.yml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raw</w:t>
      </w:r>
      <w:r>
        <w:t xml:space="preserve"> </w:t>
      </w:r>
      <w:r>
        <w:t xml:space="preserve">analytic, faithful to the CAR pseudocode.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rules/car_2014_04_003_powershell_tuned.yml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tuned</w:t>
      </w:r>
      <w:r>
        <w:t xml:space="preserve"> </w:t>
      </w:r>
      <w:r>
        <w:t xml:space="preserve">variant that keeps only an Office parent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an encoded-command argument, adding coverage of</w:t>
      </w:r>
      <w:r>
        <w:t xml:space="preserve"> </w:t>
      </w:r>
      <w:r>
        <w:rPr>
          <w:bCs/>
          <w:b/>
        </w:rPr>
        <w:t xml:space="preserve">T1027.010 (Command Obfuscation)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T1204.002 (Malicious File)</w:t>
      </w:r>
      <w:r>
        <w:t xml:space="preserve">. This is the detection aligned to our phishing chain.</w:t>
      </w:r>
    </w:p>
    <w:p>
      <w:pPr>
        <w:pStyle w:val="FirstParagraph"/>
      </w:pPr>
      <w:r>
        <w:rPr>
          <w:bCs/>
          <w:b/>
        </w:rPr>
        <w:t xml:space="preserve">CAR-2013-02-003 — Processes Spawning cmd.exe</w:t>
      </w:r>
      <w:r>
        <w:t xml:space="preserve"> </w:t>
      </w:r>
      <w:r>
        <w:t xml:space="preserve">(https://car.mitre.org/analytics/CAR-2013-02-003/). CAR notes that when a document or mail reader launches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it</w:t>
      </w:r>
      <w:r>
        <w:t xml:space="preserve"> </w:t>
      </w:r>
      <w:r>
        <w:t xml:space="preserve">“</w:t>
      </w:r>
      <w:r>
        <w:t xml:space="preserve">may suggest that a malicious document has been loaded.</w:t>
      </w:r>
      <w:r>
        <w:t xml:space="preserve">”</w:t>
      </w:r>
      <w:r>
        <w:t xml:space="preserve"> </w:t>
      </w:r>
      <w:r>
        <w:rPr>
          <w:rStyle w:val="VerbatimChar"/>
        </w:rPr>
        <w:t xml:space="preserve">rules/car_2013_02_003_cmd_parent.yml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with an Office/reader parent, covering</w:t>
      </w:r>
      <w:r>
        <w:t xml:space="preserve"> </w:t>
      </w:r>
      <w:r>
        <w:rPr>
          <w:bCs/>
          <w:b/>
        </w:rPr>
        <w:t xml:space="preserve">T1059.003 (Windows Command Shell)</w:t>
      </w:r>
      <w:r>
        <w:t xml:space="preserve"> </w:t>
      </w:r>
      <w:r>
        <w:t xml:space="preserve">for the Office→cmd→PowerShell variant of the attack.</w:t>
      </w:r>
    </w:p>
    <w:bookmarkEnd w:id="22"/>
    <w:bookmarkStart w:id="23" w:name="conversion-with-pysigma"/>
    <w:p>
      <w:pPr>
        <w:pStyle w:val="Heading2"/>
      </w:pPr>
      <w:r>
        <w:t xml:space="preserve">Conversion with pySigma</w:t>
      </w:r>
    </w:p>
    <w:p>
      <w:pPr>
        <w:pStyle w:val="FirstParagraph"/>
      </w:pPr>
      <w:r>
        <w:rPr>
          <w:rStyle w:val="VerbatimChar"/>
        </w:rPr>
        <w:t xml:space="preserve">scripts/convert_rules.py</w:t>
      </w:r>
      <w:r>
        <w:t xml:space="preserve"> </w:t>
      </w:r>
      <w:r>
        <w:t xml:space="preserve">loads each rule, applies the Sysmon pipeline for the Splunk output, and writes</w:t>
      </w:r>
      <w:r>
        <w:t xml:space="preserve"> </w:t>
      </w:r>
      <w:r>
        <w:rPr>
          <w:rStyle w:val="VerbatimChar"/>
        </w:rPr>
        <w:t xml:space="preserve">queries/*.spl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queries/*.sql</w:t>
      </w:r>
      <w:r>
        <w:t xml:space="preserve">. Representative output:</w:t>
      </w:r>
    </w:p>
    <w:p>
      <w:pPr>
        <w:pStyle w:val="BodyText"/>
      </w:pPr>
      <w:r>
        <w:t xml:space="preserve">Raw CAR-2014-04-003, Splunk:</w:t>
      </w:r>
    </w:p>
    <w:p>
      <w:pPr>
        <w:pStyle w:val="SourceCode"/>
      </w:pPr>
      <w:r>
        <w:rPr>
          <w:rStyle w:val="VerbatimChar"/>
        </w:rPr>
        <w:t xml:space="preserve">EventID=1 Image="*\\powershell.exe" NOT ParentImage="*\\explorer.exe"</w:t>
      </w:r>
    </w:p>
    <w:p>
      <w:pPr>
        <w:pStyle w:val="FirstParagraph"/>
      </w:pPr>
      <w:r>
        <w:t xml:space="preserve">Tuned CAR-2014-04-003, Splunk:</w:t>
      </w:r>
    </w:p>
    <w:p>
      <w:pPr>
        <w:pStyle w:val="SourceCode"/>
      </w:pPr>
      <w:r>
        <w:rPr>
          <w:rStyle w:val="VerbatimChar"/>
        </w:rPr>
        <w:t xml:space="preserve">EventID=1 Image="*\\powershell.exe"</w:t>
      </w:r>
      <w:r>
        <w:br/>
      </w:r>
      <w:r>
        <w:rPr>
          <w:rStyle w:val="VerbatimChar"/>
        </w:rPr>
        <w:t xml:space="preserve">  ParentImage IN ("*\\WINWORD.EXE", "*\\EXCEL.EXE", "*\\POWERPNT.EXE")</w:t>
      </w:r>
      <w:r>
        <w:br/>
      </w:r>
      <w:r>
        <w:rPr>
          <w:rStyle w:val="VerbatimChar"/>
        </w:rPr>
        <w:t xml:space="preserve">  CommandLine IN ("* -enc *", "* -enc*", "*-EncodedCommand*")</w:t>
      </w:r>
    </w:p>
    <w:p>
      <w:pPr>
        <w:pStyle w:val="FirstParagraph"/>
      </w:pPr>
      <w:r>
        <w:t xml:space="preserve">Tuned CAR-2014-04-003, SQLite (executed here):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(Image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'%\powershell.exe'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(ParentImage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'%\WINWORD.EXE'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ParentImage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'%\EXCEL.EXE'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ParentImage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'%\POWERPNT.EXE'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(CommandLine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 -enc 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CommandLine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 -enc%'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CommandLine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'%-EncodedCommand%'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Backend and pipeline versions are recorded in</w:t>
      </w:r>
      <w:r>
        <w:t xml:space="preserve"> </w:t>
      </w:r>
      <w:r>
        <w:rPr>
          <w:rStyle w:val="VerbatimChar"/>
        </w:rPr>
        <w:t xml:space="preserve">docs/conversion.json</w:t>
      </w:r>
      <w:r>
        <w:t xml:space="preserve">.</w:t>
      </w:r>
    </w:p>
    <w:bookmarkEnd w:id="23"/>
    <w:bookmarkStart w:id="27" w:name="execution"/>
    <w:p>
      <w:pPr>
        <w:pStyle w:val="Heading2"/>
      </w:pPr>
      <w:r>
        <w:t xml:space="preserve">Execution</w:t>
      </w:r>
    </w:p>
    <w:p>
      <w:pPr>
        <w:pStyle w:val="FirstParagraph"/>
      </w:pPr>
      <w:r>
        <w:rPr>
          <w:rStyle w:val="VerbatimChar"/>
        </w:rPr>
        <w:t xml:space="preserve">scripts/run_hunt.py</w:t>
      </w:r>
      <w:r>
        <w:t xml:space="preserve"> </w:t>
      </w:r>
      <w:r>
        <w:t xml:space="preserve">builds an in-memory SQLite table from the Sysmon-schema</w:t>
      </w:r>
      <w:r>
        <w:t xml:space="preserve"> </w:t>
      </w:r>
      <w:r>
        <w:rPr>
          <w:rStyle w:val="VerbatimChar"/>
        </w:rPr>
        <w:t xml:space="preserve">data/endpoint_events.ndjson</w:t>
      </w:r>
      <w:r>
        <w:t xml:space="preserve"> </w:t>
      </w:r>
      <w:r>
        <w:t xml:space="preserve">(4 process-creation records across FIN-WS01–04), loads each committed</w:t>
      </w:r>
      <w:r>
        <w:t xml:space="preserve"> </w:t>
      </w:r>
      <w:r>
        <w:rPr>
          <w:rStyle w:val="VerbatimChar"/>
        </w:rPr>
        <w:t xml:space="preserve">queries/*.sql</w:t>
      </w:r>
      <w:r>
        <w:t xml:space="preserve">, and runs it. This is real query execution against a real data store, not a hand-written simulation of query behaviour. Full log:</w:t>
      </w:r>
      <w:r>
        <w:t xml:space="preserve"> </w:t>
      </w:r>
      <w:r>
        <w:rPr>
          <w:rStyle w:val="VerbatimChar"/>
        </w:rPr>
        <w:t xml:space="preserve">docs/execution_output.txt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CAR-2014-04-003</w:t>
            </w:r>
            <w:r>
              <w:t xml:space="preserve"> </w:t>
            </w:r>
            <w:r>
              <w:rPr>
                <w:bCs/>
                <w:b/>
              </w:rP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FIN-WS01, FIN-WS03, FIN-WS04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CAR-2014-04-003</w:t>
            </w:r>
            <w:r>
              <w:t xml:space="preserve"> </w:t>
            </w:r>
            <w:r>
              <w:rPr>
                <w:bCs/>
                <w:b/>
              </w:rPr>
              <w:t xml:space="preserve">tuned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FIN-WS01, FIN-WS04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CAR-2013-02-003 (cmd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CaptionedFigure"/>
      </w:pPr>
      <w:r>
        <w:drawing>
          <wp:inline>
            <wp:extent cx="5334000" cy="2905125"/>
            <wp:effectExtent b="0" l="0" r="0" t="0"/>
            <wp:docPr descr="Raw vs tuned matches" title="" id="25" name="Picture"/>
            <a:graphic>
              <a:graphicData uri="http://schemas.openxmlformats.org/drawingml/2006/picture">
                <pic:pic>
                  <pic:nvPicPr>
                    <pic:cNvPr descr="raw_vs_tun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vs tuned matches</w:t>
      </w:r>
    </w:p>
    <w:bookmarkEnd w:id="27"/>
    <w:bookmarkStart w:id="28" w:name="X2d68ad44204cb8ee7269bc3637cd68c971ab3e4"/>
    <w:p>
      <w:pPr>
        <w:pStyle w:val="Heading2"/>
      </w:pPr>
      <w:r>
        <w:t xml:space="preserve">Interpretation: tuning removes false positives</w:t>
      </w:r>
    </w:p>
    <w:p>
      <w:pPr>
        <w:pStyle w:val="FirstParagraph"/>
      </w:pPr>
      <w:r>
        <w:t xml:space="preserve">The raw analytic matches</w:t>
      </w:r>
      <w:r>
        <w:t xml:space="preserve"> </w:t>
      </w:r>
      <w:r>
        <w:rPr>
          <w:bCs/>
          <w:b/>
        </w:rPr>
        <w:t xml:space="preserve">three</w:t>
      </w:r>
      <w:r>
        <w:t xml:space="preserve"> </w:t>
      </w:r>
      <w:r>
        <w:t xml:space="preserve">hosts, including</w:t>
      </w:r>
      <w:r>
        <w:t xml:space="preserve"> </w:t>
      </w:r>
      <w:r>
        <w:rPr>
          <w:bCs/>
          <w:b/>
        </w:rPr>
        <w:t xml:space="preserve">FIN-WS03</w:t>
      </w:r>
      <w:r>
        <w:t xml:space="preserve"> </w:t>
      </w:r>
      <w:r>
        <w:t xml:space="preserve">— approved Excel reporting automation (</w:t>
      </w:r>
      <w:r>
        <w:rPr>
          <w:rStyle w:val="VerbatimChar"/>
        </w:rPr>
        <w:t xml:space="preserve">svc_report</w:t>
      </w:r>
      <w:r>
        <w:t xml:space="preserve"> </w:t>
      </w:r>
      <w:r>
        <w:t xml:space="preserve">running a signed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to an internal file server). Treated as an alert, that is a false positive. The</w:t>
      </w:r>
      <w:r>
        <w:t xml:space="preserve"> </w:t>
      </w:r>
      <w:r>
        <w:rPr>
          <w:bCs/>
          <w:b/>
        </w:rPr>
        <w:t xml:space="preserve">tuned</w:t>
      </w:r>
      <w:r>
        <w:t xml:space="preserve"> </w:t>
      </w:r>
      <w:r>
        <w:t xml:space="preserve">analytic requires an Office parent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encoded command, dropping FIN-WS03 and leaving</w:t>
      </w:r>
      <w:r>
        <w:t xml:space="preserve"> </w:t>
      </w:r>
      <w:r>
        <w:rPr>
          <w:bCs/>
          <w:b/>
        </w:rPr>
        <w:t xml:space="preserve">FIN-WS01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FIN-WS04</w:t>
      </w:r>
      <w:r>
        <w:t xml:space="preserve">.</w:t>
      </w:r>
    </w:p>
    <w:p>
      <w:pPr>
        <w:pStyle w:val="BodyText"/>
      </w:pPr>
      <w:r>
        <w:t xml:space="preserve">FIN-WS04 still matches the tuned rule because, at the single-process-event level, it genuinely is encoded PowerShell launched by Word. It is only dismissed by the</w:t>
      </w:r>
      <w:r>
        <w:t xml:space="preserve"> </w:t>
      </w:r>
      <w:r>
        <w:rPr>
          <w:bCs/>
          <w:b/>
        </w:rPr>
        <w:t xml:space="preserve">Week 6 correlation step</w:t>
      </w:r>
      <w:r>
        <w:t xml:space="preserve">: its outbound connection belonged to a different process (chrome.exe), so it never completes the chain. This is the lesson the three increments build toward — a single analytic finds</w:t>
      </w:r>
      <w:r>
        <w:t xml:space="preserve"> </w:t>
      </w:r>
      <w:r>
        <w:rPr>
          <w:iCs/>
          <w:i/>
        </w:rPr>
        <w:t xml:space="preserve">candidates</w:t>
      </w:r>
      <w:r>
        <w:t xml:space="preserve">; correlation and analyst context resolve them. Raw 3 → tuned 2 → correlated 1 is the funnel.</w:t>
      </w:r>
    </w:p>
    <w:p>
      <w:pPr>
        <w:pStyle w:val="BodyText"/>
      </w:pPr>
      <w:r>
        <w:t xml:space="preserve">CAR-2013-02-003 returns zero rows here because the simulated chain used PowerShell rather than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. It is kept deliberately as coverage for the Office→cmd→PowerShell variant; a zero-row analytic that encodes a real hypothesis is still a useful part of a detection set.</w:t>
      </w:r>
    </w:p>
    <w:bookmarkEnd w:id="28"/>
    <w:bookmarkStart w:id="29" w:name="attck-mapping-and-coverage-layer"/>
    <w:p>
      <w:pPr>
        <w:pStyle w:val="Heading2"/>
      </w:pPr>
      <w:r>
        <w:t xml:space="preserve">ATT&amp;CK mapping and coverage layer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ATT&amp;CK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CAR-2014-04-003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T1059.001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CAR-2014-04-003 tuned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T1059.001, T1027.010, T1204.002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CAR-2013-02-003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T1059.003, T1204.002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attack/navigator_layer.json</w:t>
      </w:r>
      <w:r>
        <w:t xml:space="preserve"> </w:t>
      </w:r>
      <w:r>
        <w:t xml:space="preserve">is an importable ATT&amp;CK Navigator layer (v20) showing this coverage. It overlaps the Week 6 layer on the Execution tactic, which is the point: Week 6 maps the adversary behaviour, Week 7 maps what our analytics actually detect.</w:t>
      </w:r>
    </w:p>
    <w:bookmarkEnd w:id="29"/>
    <w:bookmarkStart w:id="30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SQLite store holds four synthetic records, so the row counts demonstrate rule logic and tuning effect, not real-world precision or recall. The SPL is generated for a standard Sysmon index and should be validated in the group’s Splunk lab against real field extractions before use. Pattern-matching on</w:t>
      </w:r>
      <w:r>
        <w:t xml:space="preserve"> </w:t>
      </w:r>
      <w:r>
        <w:rPr>
          <w:rStyle w:val="VerbatimChar"/>
        </w:rPr>
        <w:t xml:space="preserve">-enc</w:t>
      </w:r>
      <w:r>
        <w:t xml:space="preserve"> </w:t>
      </w:r>
      <w:r>
        <w:t xml:space="preserve">catches only the abbreviations listed; real obfuscation detection needs deobfuscation and script-block logging (EventID 4104). The analytics cover the execution stage of one chain; full spearphishing detection also needs mail, file-create and network analytics (the Week 6 DET0236 strategy).</w:t>
      </w:r>
    </w:p>
    <w:bookmarkEnd w:id="30"/>
    <w:bookmarkStart w:id="31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week7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"pysigma&gt;=1.5,&lt;2"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"pysigma-backend-splunk&gt;=1.1,&lt;2"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"pysigma-backend-sqlite&gt;=2.1,&lt;3"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"pysigma-pipeline-sysmon&gt;=1,&lt;2"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"pysigma-pipeline-windows&gt;=1,&lt;2"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scripts/convert_rules.py     </w:t>
      </w:r>
      <w:r>
        <w:rPr>
          <w:rStyle w:val="CommentTok"/>
        </w:rPr>
        <w:t xml:space="preserve"># rules -&gt; queries/*.spl + queries/*.sql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scripts/run_hunt.py          </w:t>
      </w:r>
      <w:r>
        <w:rPr>
          <w:rStyle w:val="CommentTok"/>
        </w:rPr>
        <w:t xml:space="preserve"># execute SQLite queries, write docs/*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scripts/make_figures.py      </w:t>
      </w:r>
      <w:r>
        <w:rPr>
          <w:rStyle w:val="CommentTok"/>
        </w:rPr>
        <w:t xml:space="preserve"># render figure + Navigator layer</w:t>
      </w:r>
    </w:p>
    <w:p>
      <w:pPr>
        <w:pStyle w:val="FirstParagraph"/>
      </w:pPr>
      <w:r>
        <w:t xml:space="preserve">For the Splunk lab: ingest</w:t>
      </w:r>
      <w:r>
        <w:t xml:space="preserve"> </w:t>
      </w:r>
      <w:r>
        <w:rPr>
          <w:rStyle w:val="VerbatimChar"/>
        </w:rPr>
        <w:t xml:space="preserve">data/endpoint_events.ndjson</w:t>
      </w:r>
      <w:r>
        <w:t xml:space="preserve"> </w:t>
      </w:r>
      <w:r>
        <w:t xml:space="preserve">into a Sysmon index and paste</w:t>
      </w:r>
      <w:r>
        <w:t xml:space="preserve"> </w:t>
      </w:r>
      <w:r>
        <w:rPr>
          <w:rStyle w:val="VerbatimChar"/>
        </w:rPr>
        <w:t xml:space="preserve">queries/*.spl</w:t>
      </w:r>
      <w:r>
        <w:t xml:space="preserve"> </w:t>
      </w:r>
      <w:r>
        <w:t xml:space="preserve">into Search &amp; Reporting. Do not present saved results as a live run.</w: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  <w:pStyle w:val="Compact"/>
      </w:pPr>
      <w:r>
        <w:t xml:space="preserve">[R1] MITRE CAR — CAR-2014-04-003 PowerShell Execution. https://car.mitre.org/analytics/CAR-2014-04-003/</w:t>
      </w:r>
    </w:p>
    <w:p>
      <w:pPr>
        <w:numPr>
          <w:ilvl w:val="0"/>
          <w:numId w:val="1002"/>
        </w:numPr>
        <w:pStyle w:val="Compact"/>
      </w:pPr>
      <w:r>
        <w:t xml:space="preserve">[R2] MITRE CAR — CAR-2013-02-003 Processes Spawning cmd.exe. https://car.mitre.org/analytics/CAR-2013-02-003/</w:t>
      </w:r>
    </w:p>
    <w:p>
      <w:pPr>
        <w:numPr>
          <w:ilvl w:val="0"/>
          <w:numId w:val="1002"/>
        </w:numPr>
        <w:pStyle w:val="Compact"/>
      </w:pPr>
      <w:r>
        <w:t xml:space="preserve">[R3] MITRE CAR documentation. https://car.mitre.org/</w:t>
      </w:r>
    </w:p>
    <w:p>
      <w:pPr>
        <w:numPr>
          <w:ilvl w:val="0"/>
          <w:numId w:val="1002"/>
        </w:numPr>
        <w:pStyle w:val="Compact"/>
      </w:pPr>
      <w:r>
        <w:t xml:space="preserve">[R4] Sigma — generic signature format. https://github.com/SigmaHQ/sigma</w:t>
      </w:r>
    </w:p>
    <w:p>
      <w:pPr>
        <w:numPr>
          <w:ilvl w:val="0"/>
          <w:numId w:val="1002"/>
        </w:numPr>
        <w:pStyle w:val="Compact"/>
      </w:pPr>
      <w:r>
        <w:t xml:space="preserve">[R5] pySigma. https://github.com/SigmaHQ/pySigma</w:t>
      </w:r>
    </w:p>
    <w:p>
      <w:pPr>
        <w:numPr>
          <w:ilvl w:val="0"/>
          <w:numId w:val="1002"/>
        </w:numPr>
        <w:pStyle w:val="Compact"/>
      </w:pPr>
      <w:r>
        <w:t xml:space="preserve">[R6] MITRE ATT&amp;CK — T1059.001, T1059.003, T1027.010, T1204.002. https://attack.mitre.org/</w:t>
      </w:r>
    </w:p>
    <w:p>
      <w:pPr>
        <w:numPr>
          <w:ilvl w:val="0"/>
          <w:numId w:val="1002"/>
        </w:numPr>
        <w:pStyle w:val="Compact"/>
      </w:pPr>
      <w:r>
        <w:t xml:space="preserve">[R7] MITRE ATT&amp;CK Navigator. https://mitre-attack.github.io/attack-navigator/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2026-10-24T07:50:19Z</dcterms:created>
  <dcterms:modified xsi:type="dcterms:W3CDTF">2026-10-24T07:50:19Z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