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Product Inventory Management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SWTID-2026-9614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Inventory Management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673350"/>
            <wp:effectExtent b="0" l="0" r="0" t="0"/>
            <wp:docPr descr="Graphical user interface, text, application, email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6227930" cy="11178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4117647058824"/>
        <w:gridCol w:w="1571.7647058823532"/>
        <w:gridCol w:w="1360"/>
        <w:gridCol w:w="1614.1176470588234"/>
        <w:gridCol w:w="1741.1764705882354"/>
        <w:gridCol w:w="1783.5294117647059"/>
        <w:tblGridChange w:id="0">
          <w:tblGrid>
            <w:gridCol w:w="1289.4117647058824"/>
            <w:gridCol w:w="1571.7647058823532"/>
            <w:gridCol w:w="1360"/>
            <w:gridCol w:w="1614.1176470588234"/>
            <w:gridCol w:w="1741.1764705882354"/>
            <w:gridCol w:w="1783.529411764705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business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product stock efficiently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complicated or expensive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system to add and update products quickly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inventory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freelancer selling products online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Track available items and pricing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Data gets lost without a centralized 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secure dashboard where only I can manage my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Stressed about losing important product data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shop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stock quantity regularly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easy real-time CRUD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fast and responsive web app to update inventory anytime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when stock information is outdated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new entrepreneur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Organize products in one place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inventory apps require complex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user-friendly inventory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miro.com/templates/customer-problem-statement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