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0495" w14:textId="77777777" w:rsidR="000A41EC" w:rsidRPr="00D15041" w:rsidRDefault="000A41EC" w:rsidP="000A41EC">
      <w:pPr>
        <w:jc w:val="center"/>
        <w:rPr>
          <w:rFonts w:ascii="Times New Roman" w:eastAsia="Times New Roman" w:hAnsi="Times New Roman" w:cs="Times New Roman"/>
          <w:color w:val="000000"/>
          <w:kern w:val="0"/>
          <w:bdr w:val="none" w:sz="0" w:space="0" w:color="auto" w:frame="1"/>
          <w:shd w:val="clear" w:color="auto" w:fill="FFFFFF"/>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The Built Environment of Medical Marijuana: How the Location of Dispensaries Impacts Access to Medical Marijuana</w:t>
      </w:r>
    </w:p>
    <w:p w14:paraId="693D7CE0" w14:textId="77777777" w:rsidR="000A41EC" w:rsidRPr="00D15041" w:rsidRDefault="000A41EC" w:rsidP="000A41EC">
      <w:pPr>
        <w:jc w:val="center"/>
        <w:rPr>
          <w:rFonts w:ascii="Times New Roman" w:eastAsia="Times New Roman" w:hAnsi="Times New Roman" w:cs="Times New Roman"/>
          <w:color w:val="000000"/>
          <w:kern w:val="0"/>
          <w:bdr w:val="none" w:sz="0" w:space="0" w:color="auto" w:frame="1"/>
          <w:shd w:val="clear" w:color="auto" w:fill="FFFFFF"/>
          <w14:ligatures w14:val="none"/>
        </w:rPr>
      </w:pPr>
    </w:p>
    <w:p w14:paraId="76EC98C7" w14:textId="77777777" w:rsidR="000A41EC" w:rsidRPr="00D15041" w:rsidRDefault="000A41EC" w:rsidP="000A41EC">
      <w:pPr>
        <w:jc w:val="center"/>
        <w:rPr>
          <w:rFonts w:ascii="Times New Roman" w:eastAsia="Times New Roman" w:hAnsi="Times New Roman" w:cs="Times New Roman"/>
          <w:color w:val="000000"/>
          <w:kern w:val="0"/>
          <w:bdr w:val="none" w:sz="0" w:space="0" w:color="auto" w:frame="1"/>
          <w:shd w:val="clear" w:color="auto" w:fill="FFFFFF"/>
          <w14:ligatures w14:val="none"/>
        </w:rPr>
      </w:pPr>
    </w:p>
    <w:p w14:paraId="6DAE10B6" w14:textId="77777777" w:rsidR="000A41EC" w:rsidRPr="00D15041" w:rsidRDefault="000A41EC" w:rsidP="000A41EC">
      <w:pPr>
        <w:jc w:val="center"/>
        <w:rPr>
          <w:rFonts w:ascii="Times New Roman" w:eastAsia="Times New Roman" w:hAnsi="Times New Roman" w:cs="Times New Roman"/>
          <w:color w:val="000000"/>
          <w:kern w:val="0"/>
          <w:bdr w:val="none" w:sz="0" w:space="0" w:color="auto" w:frame="1"/>
          <w:shd w:val="clear" w:color="auto" w:fill="FFFFFF"/>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A. Lee Hannah</w:t>
      </w:r>
      <w:r w:rsidRPr="00D15041">
        <w:rPr>
          <w:rStyle w:val="FootnoteReference"/>
          <w:rFonts w:ascii="Times New Roman" w:eastAsia="Times New Roman" w:hAnsi="Times New Roman" w:cs="Times New Roman"/>
          <w:color w:val="000000"/>
          <w:kern w:val="0"/>
          <w:bdr w:val="none" w:sz="0" w:space="0" w:color="auto" w:frame="1"/>
          <w:shd w:val="clear" w:color="auto" w:fill="FFFFFF"/>
          <w14:ligatures w14:val="none"/>
        </w:rPr>
        <w:footnoteReference w:id="1"/>
      </w:r>
    </w:p>
    <w:p w14:paraId="49C41139" w14:textId="77777777" w:rsidR="000A41EC" w:rsidRPr="00D15041" w:rsidRDefault="000A41EC" w:rsidP="000A41EC">
      <w:pPr>
        <w:jc w:val="center"/>
        <w:rPr>
          <w:rFonts w:ascii="Times New Roman" w:eastAsia="Times New Roman" w:hAnsi="Times New Roman" w:cs="Times New Roman"/>
          <w:color w:val="000000"/>
          <w:kern w:val="0"/>
          <w:bdr w:val="none" w:sz="0" w:space="0" w:color="auto" w:frame="1"/>
          <w:shd w:val="clear" w:color="auto" w:fill="FFFFFF"/>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Cogan Shimizu</w:t>
      </w:r>
      <w:r w:rsidRPr="00D15041">
        <w:rPr>
          <w:rStyle w:val="FootnoteReference"/>
          <w:rFonts w:ascii="Times New Roman" w:eastAsia="Times New Roman" w:hAnsi="Times New Roman" w:cs="Times New Roman"/>
          <w:color w:val="000000"/>
          <w:kern w:val="0"/>
          <w:bdr w:val="none" w:sz="0" w:space="0" w:color="auto" w:frame="1"/>
          <w:shd w:val="clear" w:color="auto" w:fill="FFFFFF"/>
          <w14:ligatures w14:val="none"/>
        </w:rPr>
        <w:footnoteReference w:id="2"/>
      </w:r>
    </w:p>
    <w:p w14:paraId="01D5A256" w14:textId="702727D4" w:rsidR="000A41EC" w:rsidRPr="00D15041" w:rsidRDefault="00FE38BD" w:rsidP="000A41EC">
      <w:pPr>
        <w:jc w:val="center"/>
        <w:rPr>
          <w:rFonts w:ascii="Times New Roman" w:eastAsia="Times New Roman" w:hAnsi="Times New Roman" w:cs="Times New Roman"/>
          <w:color w:val="000000"/>
          <w:kern w:val="0"/>
          <w:bdr w:val="none" w:sz="0" w:space="0" w:color="auto" w:frame="1"/>
          <w:shd w:val="clear" w:color="auto" w:fill="FFFFFF"/>
          <w:vertAlign w:val="superscript"/>
          <w14:ligatures w14:val="none"/>
        </w:rPr>
      </w:pPr>
      <w:r>
        <w:rPr>
          <w:rFonts w:ascii="Times New Roman" w:eastAsia="Times New Roman" w:hAnsi="Times New Roman" w:cs="Times New Roman"/>
          <w:color w:val="000000"/>
          <w:kern w:val="0"/>
          <w:bdr w:val="none" w:sz="0" w:space="0" w:color="auto" w:frame="1"/>
          <w:shd w:val="clear" w:color="auto" w:fill="FFFFFF"/>
          <w14:ligatures w14:val="none"/>
        </w:rPr>
        <w:t>Michael McCain</w:t>
      </w:r>
      <w:r w:rsidR="000A41EC" w:rsidRPr="00D15041">
        <w:rPr>
          <w:rFonts w:ascii="Times New Roman" w:eastAsia="Times New Roman" w:hAnsi="Times New Roman" w:cs="Times New Roman"/>
          <w:color w:val="000000"/>
          <w:kern w:val="0"/>
          <w:bdr w:val="none" w:sz="0" w:space="0" w:color="auto" w:frame="1"/>
          <w:shd w:val="clear" w:color="auto" w:fill="FFFFFF"/>
          <w:vertAlign w:val="superscript"/>
          <w14:ligatures w14:val="none"/>
        </w:rPr>
        <w:t>2</w:t>
      </w:r>
    </w:p>
    <w:p w14:paraId="7BC15C8F" w14:textId="77777777" w:rsidR="000A41EC" w:rsidRPr="00D15041" w:rsidRDefault="000A41EC" w:rsidP="000A41EC">
      <w:pPr>
        <w:jc w:val="center"/>
        <w:rPr>
          <w:rFonts w:ascii="Times New Roman" w:eastAsia="Times New Roman" w:hAnsi="Times New Roman" w:cs="Times New Roman"/>
          <w:color w:val="000000"/>
          <w:kern w:val="0"/>
          <w:bdr w:val="none" w:sz="0" w:space="0" w:color="auto" w:frame="1"/>
          <w:shd w:val="clear" w:color="auto" w:fill="FFFFFF"/>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Daniel J. Mallinson</w:t>
      </w:r>
      <w:r w:rsidRPr="00D15041">
        <w:rPr>
          <w:rStyle w:val="FootnoteReference"/>
          <w:rFonts w:ascii="Times New Roman" w:eastAsia="Times New Roman" w:hAnsi="Times New Roman" w:cs="Times New Roman"/>
          <w:color w:val="000000"/>
          <w:kern w:val="0"/>
          <w:bdr w:val="none" w:sz="0" w:space="0" w:color="auto" w:frame="1"/>
          <w:shd w:val="clear" w:color="auto" w:fill="FFFFFF"/>
          <w14:ligatures w14:val="none"/>
        </w:rPr>
        <w:footnoteReference w:id="3"/>
      </w:r>
    </w:p>
    <w:p w14:paraId="4408D74F" w14:textId="77777777" w:rsidR="000A41EC" w:rsidRPr="00D15041" w:rsidRDefault="000A41EC" w:rsidP="000A41EC">
      <w:pPr>
        <w:rPr>
          <w:rFonts w:ascii="Times New Roman" w:eastAsia="Times New Roman" w:hAnsi="Times New Roman" w:cs="Times New Roman"/>
          <w:color w:val="000000"/>
          <w:kern w:val="0"/>
          <w:bdr w:val="none" w:sz="0" w:space="0" w:color="auto" w:frame="1"/>
          <w:shd w:val="clear" w:color="auto" w:fill="FFFFFF"/>
          <w14:ligatures w14:val="none"/>
        </w:rPr>
      </w:pPr>
    </w:p>
    <w:p w14:paraId="2238B7C2" w14:textId="77777777" w:rsidR="000A41EC" w:rsidRPr="00D15041" w:rsidRDefault="000A41EC" w:rsidP="000A41EC">
      <w:pPr>
        <w:jc w:val="center"/>
        <w:rPr>
          <w:rFonts w:ascii="Times New Roman" w:eastAsia="Times New Roman" w:hAnsi="Times New Roman" w:cs="Times New Roman"/>
          <w:color w:val="000000"/>
          <w:kern w:val="0"/>
          <w:sz w:val="21"/>
          <w:szCs w:val="21"/>
          <w:bdr w:val="none" w:sz="0" w:space="0" w:color="auto" w:frame="1"/>
          <w:shd w:val="clear" w:color="auto" w:fill="FFFFFF"/>
          <w14:ligatures w14:val="none"/>
        </w:rPr>
      </w:pPr>
    </w:p>
    <w:p w14:paraId="74EE60F2" w14:textId="77777777" w:rsidR="000A41EC" w:rsidRPr="00D15041" w:rsidRDefault="000A41EC" w:rsidP="000A41EC">
      <w:pPr>
        <w:jc w:val="center"/>
        <w:rPr>
          <w:rFonts w:ascii="Times New Roman" w:eastAsia="Times New Roman" w:hAnsi="Times New Roman" w:cs="Times New Roman"/>
          <w:color w:val="000000"/>
          <w:kern w:val="0"/>
          <w:sz w:val="21"/>
          <w:szCs w:val="21"/>
          <w:bdr w:val="none" w:sz="0" w:space="0" w:color="auto" w:frame="1"/>
          <w:shd w:val="clear" w:color="auto" w:fill="FFFFFF"/>
          <w14:ligatures w14:val="none"/>
        </w:rPr>
      </w:pPr>
      <w:r w:rsidRPr="00D15041">
        <w:rPr>
          <w:rFonts w:ascii="Times New Roman" w:eastAsia="Times New Roman" w:hAnsi="Times New Roman" w:cs="Times New Roman"/>
          <w:color w:val="000000"/>
          <w:kern w:val="0"/>
          <w:sz w:val="21"/>
          <w:szCs w:val="21"/>
          <w:bdr w:val="none" w:sz="0" w:space="0" w:color="auto" w:frame="1"/>
          <w:shd w:val="clear" w:color="auto" w:fill="FFFFFF"/>
          <w14:ligatures w14:val="none"/>
        </w:rPr>
        <w:t>ABSTRACT</w:t>
      </w:r>
    </w:p>
    <w:p w14:paraId="780A0B16" w14:textId="77777777" w:rsidR="000A41EC" w:rsidRPr="00D15041" w:rsidRDefault="000A41EC" w:rsidP="000A41EC">
      <w:pPr>
        <w:jc w:val="center"/>
        <w:rPr>
          <w:rFonts w:ascii="Times New Roman" w:eastAsia="Times New Roman" w:hAnsi="Times New Roman" w:cs="Times New Roman"/>
          <w:color w:val="000000"/>
          <w:kern w:val="0"/>
          <w:sz w:val="21"/>
          <w:szCs w:val="21"/>
          <w:bdr w:val="none" w:sz="0" w:space="0" w:color="auto" w:frame="1"/>
          <w:shd w:val="clear" w:color="auto" w:fill="FFFFFF"/>
          <w14:ligatures w14:val="none"/>
        </w:rPr>
      </w:pPr>
    </w:p>
    <w:p w14:paraId="34584FD7" w14:textId="77777777" w:rsidR="000A41EC" w:rsidRPr="00D15041" w:rsidRDefault="000A41EC" w:rsidP="000A41EC">
      <w:pPr>
        <w:rPr>
          <w:rFonts w:ascii="Times New Roman" w:eastAsia="Times New Roman" w:hAnsi="Times New Roman" w:cs="Times New Roman"/>
          <w:color w:val="000000"/>
          <w:kern w:val="0"/>
          <w:bdr w:val="none" w:sz="0" w:space="0" w:color="auto" w:frame="1"/>
          <w:shd w:val="clear" w:color="auto" w:fill="FFFFFF"/>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 xml:space="preserve">Starting in 1996, medical marijuana policies have been passed and adopted in thirty-eight states and the District of Columbia. But these popular and quickly diffusing policies are implemented in myriad ways. Most notably, the percent of residents enrolling as patients in the programs varies markedly. Much of this variation is explained by the extent to which medical cannabis is available and affordable. In this project, we seek to better understand how the physical location of dispensaries impacts access to medical marijuana. This joins two important social determinants of health – built environment and health care access – in explaining unequal access to a stigmatized, but efficacious, treatment.  </w:t>
      </w:r>
    </w:p>
    <w:p w14:paraId="3AFBC6E5" w14:textId="77777777" w:rsidR="000A41EC" w:rsidRPr="00D15041" w:rsidRDefault="000A41EC" w:rsidP="000A41EC">
      <w:pPr>
        <w:rPr>
          <w:rFonts w:ascii="Times New Roman" w:eastAsia="Times New Roman" w:hAnsi="Times New Roman" w:cs="Times New Roman"/>
          <w:color w:val="000000"/>
          <w:kern w:val="0"/>
          <w:bdr w:val="none" w:sz="0" w:space="0" w:color="auto" w:frame="1"/>
          <w:shd w:val="clear" w:color="auto" w:fill="FFFFFF"/>
          <w14:ligatures w14:val="none"/>
        </w:rPr>
      </w:pPr>
    </w:p>
    <w:p w14:paraId="680A0639" w14:textId="77777777" w:rsidR="000A41EC" w:rsidRPr="00D15041" w:rsidRDefault="000A41EC" w:rsidP="000A41EC">
      <w:pPr>
        <w:rPr>
          <w:rFonts w:ascii="Times New Roman" w:eastAsia="Times New Roman" w:hAnsi="Times New Roman" w:cs="Times New Roman"/>
          <w:color w:val="000000"/>
          <w:kern w:val="0"/>
          <w:bdr w:val="none" w:sz="0" w:space="0" w:color="auto" w:frame="1"/>
          <w:shd w:val="clear" w:color="auto" w:fill="FFFFFF"/>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This research project aims to develop a comprehensive digital twin of the state of Ohio, which we call the Ohio-KWG, by adapting key functionalities from KnowWhereGraph (KWG).</w:t>
      </w:r>
    </w:p>
    <w:p w14:paraId="639D9A09"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r w:rsidRPr="00D15041">
        <w:rPr>
          <w:rFonts w:ascii="Times New Roman" w:eastAsia="Times New Roman" w:hAnsi="Times New Roman" w:cs="Times New Roman"/>
          <w:color w:val="000000"/>
          <w:kern w:val="0"/>
          <w:bdr w:val="none" w:sz="0" w:space="0" w:color="auto" w:frame="1"/>
          <w:shd w:val="clear" w:color="auto" w:fill="FFFFFF"/>
          <w14:ligatures w14:val="none"/>
        </w:rPr>
        <w:t xml:space="preserve">The Ohio-KWG is designed to represent Ohio at various levels of abstraction and granularity across geospatially-oriented themes, with a specific focus on addressing critical factors such as social determinants of health, environmental data, transportation dynamics, and so on. Our study of Ohio is a starting point for developing a broader method to analyze the implementation of medical marijuana policies. It also has implications for how other health policy scholars examine the effects of policy choices on health outcomes. Moreover, our analysis can provide insights for lawmakers, caretakers, patients, and members of the industry in better understanding how to effectively implement a medical marijuana program that is equitable and accessible. The choices lawmakers make about how to regulate dispensaries ultimately affect who does and who does not have access to medical marijuana.  </w:t>
      </w:r>
    </w:p>
    <w:p w14:paraId="302B499A"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p>
    <w:p w14:paraId="07B355DE"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p>
    <w:p w14:paraId="05F1CC9D"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p>
    <w:p w14:paraId="284367E5"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p>
    <w:p w14:paraId="3CF59342"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p>
    <w:p w14:paraId="341F275D" w14:textId="39AA1172" w:rsidR="000A41EC" w:rsidRPr="00D15041" w:rsidRDefault="000A41EC" w:rsidP="000A41EC">
      <w:pPr>
        <w:rPr>
          <w:rFonts w:ascii="Times New Roman" w:eastAsia="Times New Roman" w:hAnsi="Times New Roman" w:cs="Times New Roman"/>
          <w:color w:val="242424"/>
          <w:kern w:val="0"/>
          <w:sz w:val="23"/>
          <w:szCs w:val="23"/>
          <w14:ligatures w14:val="none"/>
        </w:rPr>
      </w:pPr>
      <w:r w:rsidRPr="00D15041">
        <w:rPr>
          <w:rFonts w:ascii="Times New Roman" w:eastAsia="Times New Roman" w:hAnsi="Times New Roman" w:cs="Times New Roman"/>
          <w:color w:val="242424"/>
          <w:kern w:val="0"/>
          <w:sz w:val="23"/>
          <w:szCs w:val="23"/>
          <w14:ligatures w14:val="none"/>
        </w:rPr>
        <w:t xml:space="preserve">Manuscript in preparation for the 2024 American Political Science Association Annual Meeting in Philadelphia, Pennsylvania. </w:t>
      </w:r>
      <w:r w:rsidR="00733FD3">
        <w:rPr>
          <w:rFonts w:ascii="Times New Roman" w:eastAsia="Times New Roman" w:hAnsi="Times New Roman" w:cs="Times New Roman"/>
          <w:color w:val="242424"/>
          <w:kern w:val="0"/>
          <w:sz w:val="23"/>
          <w:szCs w:val="23"/>
          <w14:ligatures w14:val="none"/>
        </w:rPr>
        <w:t>September 6, 2024</w:t>
      </w:r>
    </w:p>
    <w:p w14:paraId="2A35F334"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p>
    <w:p w14:paraId="72BFD240"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r w:rsidRPr="00D15041">
        <w:rPr>
          <w:rFonts w:ascii="Times New Roman" w:eastAsia="Times New Roman" w:hAnsi="Times New Roman" w:cs="Times New Roman"/>
          <w:color w:val="242424"/>
          <w:kern w:val="0"/>
          <w:sz w:val="23"/>
          <w:szCs w:val="23"/>
          <w14:ligatures w14:val="none"/>
        </w:rPr>
        <w:t>Title for APSA - Medical Marijuana's Built Environment: Location of Dispensaries and Patient Access</w:t>
      </w:r>
    </w:p>
    <w:p w14:paraId="43F1E294" w14:textId="77777777" w:rsidR="000A41EC" w:rsidRPr="00D15041" w:rsidRDefault="000A41EC" w:rsidP="000A41EC">
      <w:pPr>
        <w:rPr>
          <w:rFonts w:ascii="Times New Roman" w:eastAsia="Times New Roman" w:hAnsi="Times New Roman" w:cs="Times New Roman"/>
          <w:color w:val="242424"/>
          <w:kern w:val="0"/>
          <w:sz w:val="23"/>
          <w:szCs w:val="23"/>
          <w14:ligatures w14:val="none"/>
        </w:rPr>
      </w:pPr>
      <w:r w:rsidRPr="00D15041">
        <w:rPr>
          <w:rFonts w:ascii="Times New Roman" w:eastAsia="Times New Roman" w:hAnsi="Times New Roman" w:cs="Times New Roman"/>
          <w:color w:val="242424"/>
          <w:kern w:val="0"/>
          <w:sz w:val="23"/>
          <w:szCs w:val="23"/>
          <w14:ligatures w14:val="none"/>
        </w:rPr>
        <w:t>KEYWORDS: Regulatory policy; public policy; public administration</w:t>
      </w:r>
    </w:p>
    <w:p w14:paraId="318E0F06" w14:textId="627E42AF" w:rsidR="00D15041" w:rsidRPr="00D15041" w:rsidRDefault="00B416FC">
      <w:pPr>
        <w:rPr>
          <w:rFonts w:ascii="Times New Roman" w:hAnsi="Times New Roman" w:cs="Times New Roman"/>
        </w:rPr>
      </w:pPr>
      <w:r w:rsidRPr="00D15041">
        <w:rPr>
          <w:rFonts w:ascii="Times New Roman" w:hAnsi="Times New Roman" w:cs="Times New Roman"/>
        </w:rPr>
        <w:lastRenderedPageBreak/>
        <w:t>Outline</w:t>
      </w:r>
    </w:p>
    <w:p w14:paraId="11B6EDC2" w14:textId="77777777" w:rsidR="00B416FC" w:rsidRPr="00D15041" w:rsidRDefault="00B416FC">
      <w:pPr>
        <w:rPr>
          <w:rFonts w:ascii="Times New Roman" w:hAnsi="Times New Roman" w:cs="Times New Roman"/>
        </w:rPr>
      </w:pPr>
    </w:p>
    <w:p w14:paraId="3E55D6AC" w14:textId="0BD0282A" w:rsidR="00D15041" w:rsidRPr="00D15041" w:rsidRDefault="00D15041">
      <w:pPr>
        <w:rPr>
          <w:rFonts w:ascii="Times New Roman" w:hAnsi="Times New Roman" w:cs="Times New Roman"/>
        </w:rPr>
      </w:pPr>
      <w:r w:rsidRPr="00D15041">
        <w:rPr>
          <w:rFonts w:ascii="Times New Roman" w:hAnsi="Times New Roman" w:cs="Times New Roman"/>
        </w:rPr>
        <w:t>Methods from recent papers</w:t>
      </w:r>
    </w:p>
    <w:p w14:paraId="0F616479" w14:textId="77777777" w:rsidR="00D15041" w:rsidRDefault="00D15041">
      <w:pPr>
        <w:rPr>
          <w:rFonts w:ascii="Times New Roman" w:hAnsi="Times New Roman" w:cs="Times New Roman"/>
        </w:rPr>
      </w:pPr>
    </w:p>
    <w:p w14:paraId="28EA8CAA" w14:textId="3D1B3ED6" w:rsidR="006676A9" w:rsidRPr="006676A9" w:rsidRDefault="006676A9">
      <w:pPr>
        <w:rPr>
          <w:rFonts w:ascii="Times New Roman" w:hAnsi="Times New Roman" w:cs="Times New Roman"/>
          <w:b/>
          <w:bCs/>
        </w:rPr>
      </w:pPr>
      <w:r w:rsidRPr="006676A9">
        <w:rPr>
          <w:rFonts w:ascii="Times New Roman" w:hAnsi="Times New Roman" w:cs="Times New Roman"/>
          <w:b/>
          <w:bCs/>
        </w:rPr>
        <w:t>Hirsch et al. 2023</w:t>
      </w:r>
    </w:p>
    <w:p w14:paraId="404940FE" w14:textId="54FC7BB7" w:rsidR="00D15041" w:rsidRPr="00D15041" w:rsidRDefault="00D15041" w:rsidP="00D15041">
      <w:pPr>
        <w:rPr>
          <w:rFonts w:ascii="Times New Roman" w:hAnsi="Times New Roman" w:cs="Times New Roman"/>
        </w:rPr>
      </w:pPr>
      <w:r w:rsidRPr="00D15041">
        <w:rPr>
          <w:rFonts w:ascii="Times New Roman" w:hAnsi="Times New Roman" w:cs="Times New Roman"/>
        </w:rPr>
        <w:t>Using data from the Pennsylvania Department of Health, we geocoded MMJ dispensary locations and linked them to U.S. Census Bureau data. We created dispensary access measures from the population-weighted centroid of Zip Code Tabulation Areas (ZCTAs): distance to nearest dispensary and density of dispensaries within a 15-minute drive.</w:t>
      </w:r>
    </w:p>
    <w:p w14:paraId="1DD5E909" w14:textId="3362E6B3" w:rsidR="00D15041" w:rsidRPr="00D15041" w:rsidRDefault="00D15041" w:rsidP="00D15041">
      <w:pPr>
        <w:rPr>
          <w:rFonts w:ascii="Times New Roman" w:hAnsi="Times New Roman" w:cs="Times New Roman"/>
        </w:rPr>
      </w:pPr>
      <w:r w:rsidRPr="00D15041">
        <w:rPr>
          <w:rFonts w:ascii="Times New Roman" w:hAnsi="Times New Roman" w:cs="Times New Roman"/>
        </w:rPr>
        <w:t>We evaluated associations between dispensary access and the proportion of adults who received MMJ certification and the proportion of certifications for insufficient evidence conditions (amyotrophic lateral sclerosis, epilepsy, glaucoma, Huntington’s disease, opioid use disorder, and Parkinson’s disease) using negative binomial modeling, adjusting for community features. To evaluate associations between the proportion of the population that was non-White, Hispanic, or both (NW-H) and distance to nearest dispensary, we used logistic regression to estimate the odds ratios (OR) and 95% confidence intervals (CI), adjusting for median income.</w:t>
      </w:r>
      <w:r w:rsidR="006676A9">
        <w:rPr>
          <w:rFonts w:ascii="Times New Roman" w:hAnsi="Times New Roman" w:cs="Times New Roman"/>
        </w:rPr>
        <w:fldChar w:fldCharType="begin"/>
      </w:r>
      <w:r w:rsidR="006676A9">
        <w:rPr>
          <w:rFonts w:ascii="Times New Roman" w:hAnsi="Times New Roman" w:cs="Times New Roman"/>
        </w:rPr>
        <w:instrText xml:space="preserve"> ADDIN ZOTERO_ITEM CSL_CITATION {"citationID":"WuSgdfdh","properties":{"formattedCitation":"(Hirsch et al., 2023)","plainCitation":"(Hirsch et al., 2023)","noteIndex":0},"citationItems":[{"id":781,"uris":["http://zotero.org/users/9783835/items/C4QN8LZU"],"itemData":{"id":781,"type":"article","abstract":"Abstract\n          \n            Background\n            Pennsylvania opened its first medical marijuana (MMJ) dispensary in 2018. Qualifying conditions include six conditions determined to have insufficient evidence to support or refute MMJ effectiveness. We conducted a study to describe MMJ dispensary access in Pennsylvania and to determine whether dispensary proximity was associated with MMJ certifications and community demographics.\n          \n          \n            Methods\n            Using data from the Pennsylvania Department of Health, we geocoded MMJ dispensary locations and linked them to U.S. Census Bureau data. We created dispensary access measures from the population-weighted centroid of Zip Code Tabulation Areas (ZCTAs): distance to nearest dispensary and density of dispensaries within a 15-minute drive.\n            We evaluated associations between dispensary access and the proportion of adults who received MMJ certification and the proportion of certifications for insufficient evidence conditions (amyotrophic lateral sclerosis, epilepsy, glaucoma, Huntington’s disease, opioid use disorder, and Parkinson’s disease) using negative binomial modeling, adjusting for community features. To evaluate associations between the proportion of the population that was non-White, Hispanic, or both (NW-H) and distance to nearest dispensary, we used logistic regression to estimate the odds ratios (OR) and 95% confidence intervals (CI), adjusting for median income.\n          \n          \n            Results\n            Distance and density of MMJ dispensaries was associated with the proportion of the ZCTA population certified and the proportion of certifications for limited evidence conditions. Compared to ZCTAs with no dispensary within 15 minutes, the proportion of adults certified increased by up to 31% and the proportion of certifications for limited evidence decreased by up to 22% for ZCTAs with two dispensaries. In 2021, the odds of being within five miles of a dispensary was higher in ZCTAs with the highest proportions of NW-H individuals (OR: 26.05, CI: 16.7 - 40.6), compared to ZCTAs with the lowest proportions.\n          \n          \n            Conclusions\n            Greater dispensary access was associated with the proportions of certified residents and certifications for insufficient evidence conditions. Whether these patterns are due to differences in accessibility or demand is unknown. Associations between community demographics and dispensary proximity may indicate MMJ access differences.","DOI":"10.1101/2023.08.14.23294072","language":"en","source":"Addiction Medicine","title":"Dispensaries and medical marijuana certifications and indications: Unveiling the geographic connections in Pennsylvania, USA","title-short":"Dispensaries and medical marijuana certifications and indications","URL":"http://medrxiv.org/lookup/doi/10.1101/2023.08.14.23294072","author":[{"family":"Hirsch","given":"Annemarie G."},{"family":"Wright","given":"Eric A."},{"family":"Nordberg","given":"Cara M."},{"family":"DeWalle","given":"Joseph"},{"family":"Stains","given":"Elana L."},{"family":"Kennalley","given":"Amy L."},{"family":"Zhang","given":"Joy"},{"family":"Tusing","given":"Lorraine D."},{"family":"Piper","given":"Brian J."}],"accessed":{"date-parts":[["2024",5,5]]},"issued":{"date-parts":[["2023",8,16]]}}}],"schema":"https://github.com/citation-style-language/schema/raw/master/csl-citation.json"} </w:instrText>
      </w:r>
      <w:r w:rsidR="006676A9">
        <w:rPr>
          <w:rFonts w:ascii="Times New Roman" w:hAnsi="Times New Roman" w:cs="Times New Roman"/>
        </w:rPr>
        <w:fldChar w:fldCharType="separate"/>
      </w:r>
      <w:r w:rsidR="006676A9">
        <w:rPr>
          <w:rFonts w:ascii="Times New Roman" w:hAnsi="Times New Roman" w:cs="Times New Roman"/>
          <w:noProof/>
        </w:rPr>
        <w:t>(Hirsch et al., 2023)</w:t>
      </w:r>
      <w:r w:rsidR="006676A9">
        <w:rPr>
          <w:rFonts w:ascii="Times New Roman" w:hAnsi="Times New Roman" w:cs="Times New Roman"/>
        </w:rPr>
        <w:fldChar w:fldCharType="end"/>
      </w:r>
    </w:p>
    <w:p w14:paraId="1CF2F83C" w14:textId="1A140209" w:rsidR="00D15041" w:rsidRDefault="00D15041" w:rsidP="00D15041">
      <w:pPr>
        <w:rPr>
          <w:rFonts w:ascii="Times New Roman" w:hAnsi="Times New Roman" w:cs="Times New Roman"/>
        </w:rPr>
      </w:pPr>
    </w:p>
    <w:p w14:paraId="44CAC193" w14:textId="0284273E" w:rsidR="006676A9" w:rsidRPr="006676A9" w:rsidRDefault="006676A9" w:rsidP="00D15041">
      <w:pPr>
        <w:rPr>
          <w:rFonts w:ascii="Times New Roman" w:hAnsi="Times New Roman" w:cs="Times New Roman"/>
          <w:b/>
          <w:bCs/>
        </w:rPr>
      </w:pPr>
      <w:r w:rsidRPr="006676A9">
        <w:rPr>
          <w:rFonts w:ascii="Times New Roman" w:hAnsi="Times New Roman" w:cs="Times New Roman"/>
          <w:b/>
          <w:bCs/>
        </w:rPr>
        <w:t>Yaskewich 2024</w:t>
      </w:r>
    </w:p>
    <w:p w14:paraId="52964080" w14:textId="4E07A5AC" w:rsidR="00D15041" w:rsidRPr="00D15041" w:rsidRDefault="00D15041" w:rsidP="00D15041">
      <w:pPr>
        <w:rPr>
          <w:rFonts w:ascii="Times New Roman" w:hAnsi="Times New Roman" w:cs="Times New Roman"/>
        </w:rPr>
      </w:pPr>
      <w:r w:rsidRPr="00D15041">
        <w:rPr>
          <w:rFonts w:ascii="Times New Roman" w:hAnsi="Times New Roman" w:cs="Times New Roman"/>
        </w:rPr>
        <w:t>During Missouri’s first applicant pool for medical marijuana dispensaries in 2019, a total of 606 census tracts contained the location site of at least one dispensary applicant. Using data from the Missouri Department of Health and Senior Services and the American Community Survey, fractional and binary logistic regression models were used to estimate the relationship between census-tract characteristics and application outcomes.</w:t>
      </w:r>
      <w:r w:rsidR="006676A9">
        <w:rPr>
          <w:rFonts w:ascii="Times New Roman" w:hAnsi="Times New Roman" w:cs="Times New Roman"/>
        </w:rPr>
        <w:fldChar w:fldCharType="begin"/>
      </w:r>
      <w:r w:rsidR="006676A9">
        <w:rPr>
          <w:rFonts w:ascii="Times New Roman" w:hAnsi="Times New Roman" w:cs="Times New Roman"/>
        </w:rPr>
        <w:instrText xml:space="preserve"> ADDIN ZOTERO_ITEM CSL_CITATION {"citationID":"XXDSrH27","properties":{"formattedCitation":"(Yaskewich, 2024)","plainCitation":"(Yaskewich, 2024)","noteIndex":0},"citationItems":[{"id":834,"uris":["http://zotero.org/users/9783835/items/RYQBCYXD"],"itemData":{"id":834,"type":"article-journal","abstract":"Abstract\n            \n              Background\n              When state governments impose quotas on commercial marijuana licenses, regulatory commissions use an application process to assess the feasibility of prospective businesses. Decisions on license applications are often met with formal appeals and legal challenges from rejected applicants. Although prior research has examined substate disparities in the availability of marijuana dispensaries, less attention has been given to the quality of license applications. The present study analyzed the relationship between neighborhood-level characteristics and the quality of prospective dispensary businesses.\n            \n            \n              Methods\n              During Missouri’s first applicant pool for medical marijuana dispensaries in 2019, a total of 606 census tracts contained the location site of at least one dispensary applicant. Using data from the Missouri Department of Health and Senior Services and the American Community Survey, fractional and binary logistic regression models were used to estimate the relationship between census-tract characteristics and application outcomes.\n            \n            \n              Results\n              License applications received higher evaluation scores when proposed dispensary sites were in census tracts with greater population densities and no majority in racial/ethnic composition. Census tracts with poorer socioeconomic conditions attracted a disproportionate share of low-scoring applicants from the bottom quartile of scores. These effects were stronger for certain application subsections, particularly those assessing the quality of an applicant’s business plan and on-site security.\n            \n            \n              Conclusions\n              Some communities tend to attract prospective license holders who possess better quality resources, business practices, and industry experience. State disparities in commercial licensing requirements and application processes may lead to the inequities in legal product access found in some prior studies.","container-title":"Journal of Cannabis Research","DOI":"10.1186/s42238-024-00223-1","ISSN":"2522-5782","issue":"1","journalAbbreviation":"J Cannabis Res","language":"en","page":"17","source":"DOI.org (Crossref)","title":"State licenses for medical marijuana dispensaries: neighborhood-level determinants of applicant quality in Missouri","title-short":"State licenses for medical marijuana dispensaries","URL":"https://jcannabisresearch.biomedcentral.com/articles/10.1186/s42238-024-00223-1","volume":"6","author":[{"family":"Yaskewich","given":"David M."}],"accessed":{"date-parts":[["2024",5,20]]},"issued":{"date-parts":[["2024",3,26]]}}}],"schema":"https://github.com/citation-style-language/schema/raw/master/csl-citation.json"} </w:instrText>
      </w:r>
      <w:r w:rsidR="006676A9">
        <w:rPr>
          <w:rFonts w:ascii="Times New Roman" w:hAnsi="Times New Roman" w:cs="Times New Roman"/>
        </w:rPr>
        <w:fldChar w:fldCharType="separate"/>
      </w:r>
      <w:r w:rsidR="006676A9">
        <w:rPr>
          <w:rFonts w:ascii="Times New Roman" w:hAnsi="Times New Roman" w:cs="Times New Roman"/>
          <w:noProof/>
        </w:rPr>
        <w:t>(Yaskewich, 2024)</w:t>
      </w:r>
      <w:r w:rsidR="006676A9">
        <w:rPr>
          <w:rFonts w:ascii="Times New Roman" w:hAnsi="Times New Roman" w:cs="Times New Roman"/>
        </w:rPr>
        <w:fldChar w:fldCharType="end"/>
      </w:r>
    </w:p>
    <w:p w14:paraId="748B6FF1" w14:textId="68F6585C" w:rsidR="00B416FC" w:rsidRDefault="00B416FC">
      <w:pPr>
        <w:rPr>
          <w:rFonts w:ascii="Times New Roman" w:hAnsi="Times New Roman" w:cs="Times New Roman"/>
        </w:rPr>
      </w:pPr>
    </w:p>
    <w:p w14:paraId="586B80C3" w14:textId="1B2C8295" w:rsidR="006676A9" w:rsidRPr="006676A9" w:rsidRDefault="006676A9">
      <w:pPr>
        <w:rPr>
          <w:rFonts w:ascii="Times New Roman" w:hAnsi="Times New Roman" w:cs="Times New Roman"/>
          <w:b/>
          <w:bCs/>
        </w:rPr>
      </w:pPr>
      <w:r w:rsidRPr="006676A9">
        <w:rPr>
          <w:rFonts w:ascii="Times New Roman" w:hAnsi="Times New Roman" w:cs="Times New Roman"/>
          <w:b/>
          <w:bCs/>
        </w:rPr>
        <w:t>Novak et al</w:t>
      </w:r>
      <w:r>
        <w:rPr>
          <w:rFonts w:ascii="Times New Roman" w:hAnsi="Times New Roman" w:cs="Times New Roman"/>
          <w:b/>
          <w:bCs/>
        </w:rPr>
        <w:t>.</w:t>
      </w:r>
      <w:r w:rsidRPr="006676A9">
        <w:rPr>
          <w:rFonts w:ascii="Times New Roman" w:hAnsi="Times New Roman" w:cs="Times New Roman"/>
          <w:b/>
          <w:bCs/>
        </w:rPr>
        <w:t xml:space="preserve"> 2021</w:t>
      </w:r>
    </w:p>
    <w:p w14:paraId="595BDF5F" w14:textId="2859CFC2" w:rsidR="00B416FC" w:rsidRDefault="00D15041">
      <w:pPr>
        <w:rPr>
          <w:rFonts w:ascii="Times New Roman" w:hAnsi="Times New Roman" w:cs="Times New Roman"/>
        </w:rPr>
      </w:pPr>
      <w:r w:rsidRPr="00D15041">
        <w:rPr>
          <w:rFonts w:ascii="Times New Roman" w:hAnsi="Times New Roman" w:cs="Times New Roman"/>
        </w:rPr>
        <w:t>Objectives: The objective of this study is to examine the racial and income characteristics of communities where licensed dispensaries are located. We quantify the racial and income characteristics of communities where Maryland medical cannabis dispensaries are located and explore whether Maryland medical marijuana dispensaries disproportionately locate in high- income, majority-White zip codes. Method: Using data from the Maryland Medical Cannabis Commission and the American Communities Survey, we create geocodes for each of the operating dispensaries as of December 2019. We examine the distribution of medical cannabis dispensaries by zip code level household income and zip code level racial distribution. The data set encompasses 85 operating cannabis dispensaries in Maryland and 6.1 million Marylanders distributed across 468 zip codes in 2018–2019. Results: The analysis indicates that dispensaries are concentrated in zip codes whose residents are racially diverse, and with higher concentrations of retail establishments. Conclusion: Community level racial or income disparities in access to medical cannabis were not observed in Maryland. Access to medical cannabis, based on ability to pay out of pocket for the product, may be uneven.</w:t>
      </w:r>
      <w:r w:rsidR="006676A9">
        <w:rPr>
          <w:rFonts w:ascii="Times New Roman" w:hAnsi="Times New Roman" w:cs="Times New Roman"/>
        </w:rPr>
        <w:fldChar w:fldCharType="begin"/>
      </w:r>
      <w:r w:rsidR="006676A9">
        <w:rPr>
          <w:rFonts w:ascii="Times New Roman" w:hAnsi="Times New Roman" w:cs="Times New Roman"/>
        </w:rPr>
        <w:instrText xml:space="preserve"> ADDIN ZOTERO_ITEM CSL_CITATION {"citationID":"eD3qu8a7","properties":{"formattedCitation":"(Novak et al., 2021)","plainCitation":"(Novak et al., 2021)","noteIndex":0},"citationItems":[{"id":729,"uris":["http://zotero.org/users/9783835/items/EU7KJ3KD"],"itemData":{"id":729,"type":"article-journal","container-title":"Substance Use &amp; Misuse","DOI":"10.1080/10826084.2020.1868516","ISSN":"1082-6084, 1532-2491","issue":"2","journalAbbreviation":"Substance Use &amp; Misuse","language":"en","page":"318-326","source":"DOI.org (Crossref)","title":"Geolocation of Maryland Medical Marijuana Dispensaries by Community Income and Racial Characteristics: An Ecological Design","title-short":"Geolocation of Maryland Medical Marijuana Dispensaries by Community Income and Racial Characteristics","URL":"https://www.tandfonline.com/doi/full/10.1080/10826084.2020.1868516","volume":"56","author":[{"family":"Novak","given":"Priscilla"},{"family":"Sanmartin","given":"Maria X."},{"family":"Ali","given":"Mir M."}],"accessed":{"date-parts":[["2023",12,2]]},"issued":{"date-parts":[["2021",1,28]]}}}],"schema":"https://github.com/citation-style-language/schema/raw/master/csl-citation.json"} </w:instrText>
      </w:r>
      <w:r w:rsidR="006676A9">
        <w:rPr>
          <w:rFonts w:ascii="Times New Roman" w:hAnsi="Times New Roman" w:cs="Times New Roman"/>
        </w:rPr>
        <w:fldChar w:fldCharType="separate"/>
      </w:r>
      <w:r w:rsidR="006676A9">
        <w:rPr>
          <w:rFonts w:ascii="Times New Roman" w:hAnsi="Times New Roman" w:cs="Times New Roman"/>
          <w:noProof/>
        </w:rPr>
        <w:t>(Novak et al., 2021)</w:t>
      </w:r>
      <w:r w:rsidR="006676A9">
        <w:rPr>
          <w:rFonts w:ascii="Times New Roman" w:hAnsi="Times New Roman" w:cs="Times New Roman"/>
        </w:rPr>
        <w:fldChar w:fldCharType="end"/>
      </w:r>
    </w:p>
    <w:p w14:paraId="66C81419" w14:textId="77777777" w:rsidR="006676A9" w:rsidRDefault="006676A9">
      <w:pPr>
        <w:rPr>
          <w:rFonts w:ascii="Times New Roman" w:hAnsi="Times New Roman" w:cs="Times New Roman"/>
        </w:rPr>
      </w:pPr>
    </w:p>
    <w:p w14:paraId="4096EDE2" w14:textId="31556A91" w:rsidR="006676A9" w:rsidRDefault="006676A9">
      <w:pPr>
        <w:rPr>
          <w:rFonts w:ascii="Times New Roman" w:hAnsi="Times New Roman" w:cs="Times New Roman"/>
        </w:rPr>
      </w:pPr>
      <w:r>
        <w:rPr>
          <w:rFonts w:ascii="Times New Roman" w:hAnsi="Times New Roman" w:cs="Times New Roman"/>
        </w:rPr>
        <w:t>Shi et al 2016</w:t>
      </w:r>
    </w:p>
    <w:p w14:paraId="75600CA5" w14:textId="2025F124" w:rsidR="006676A9" w:rsidRPr="00D15041" w:rsidRDefault="006676A9">
      <w:pPr>
        <w:rPr>
          <w:rFonts w:ascii="Times New Roman" w:hAnsi="Times New Roman" w:cs="Times New Roman"/>
        </w:rPr>
      </w:pPr>
      <w:r w:rsidRPr="006676A9">
        <w:rPr>
          <w:rFonts w:ascii="Times New Roman" w:hAnsi="Times New Roman" w:cs="Times New Roman"/>
        </w:rPr>
        <w:t xml:space="preserve">Objective. To examine the availability of marijuana stores in Colorado and associations with neighborhood characteristics. Methods. The addresses for 650 medical and recreational marijuana stores were geocoded and linked to the characteristics of 1249 census tracts in Colorado. Accounting for spatial autocorrelations, autologistic regressions were used to quantify the associations of census tract socioeconomic characteristics with the availability of marijuana </w:t>
      </w:r>
      <w:r w:rsidRPr="006676A9">
        <w:rPr>
          <w:rFonts w:ascii="Times New Roman" w:hAnsi="Times New Roman" w:cs="Times New Roman"/>
        </w:rPr>
        <w:lastRenderedPageBreak/>
        <w:t>stores. Results. Regardless of store types, marijuana stores were more likely to locate in neighborhoods that had a lower proportion of young people, had a higher proportion of racial and ethnic minority population, had a lower household income, had a higher crime rate, or had a greater density of on-premise alcohol outlets. The availability of medical and recreational marijuana stores was differentially correlated with household income and racial and ethnic composition. Conclusions. Neighborhood disparities existed in the availability of marijuana stores, and associations between availability of stores and neighborhood characteristics varied by store types. This study highlighted the need for regulatory measures to prevent marijuana related outcomes in high risk neighborhoods.</w:t>
      </w:r>
      <w:r>
        <w:rPr>
          <w:rFonts w:ascii="Times New Roman" w:hAnsi="Times New Roman" w:cs="Times New Roman"/>
        </w:rPr>
        <w:fldChar w:fldCharType="begin"/>
      </w:r>
      <w:r>
        <w:rPr>
          <w:rFonts w:ascii="Times New Roman" w:hAnsi="Times New Roman" w:cs="Times New Roman"/>
        </w:rPr>
        <w:instrText xml:space="preserve"> ADDIN ZOTERO_ITEM CSL_CITATION {"citationID":"5PcVsL3N","properties":{"formattedCitation":"(Shi et al., 2016)","plainCitation":"(Shi et al., 2016)","noteIndex":0},"citationItems":[{"id":731,"uris":["http://zotero.org/users/9783835/items/BLKHDGXD"],"itemData":{"id":731,"type":"article-journal","abstract":"Objective\n              . To examine the availability of marijuana stores in Colorado and associations with neighborhood characteristics.\n              Methods\n              . The addresses for 650 medical and recreational marijuana stores were geocoded and linked to the characteristics of 1249 census tracts in Colorado. Accounting for spatial autocorrelations, autologistic regressions were used to quantify the associations of census tract socioeconomic characteristics with the availability of marijuana stores.\n              Results\n              . Regardless of store types, marijuana stores were more likely to locate in neighborhoods that had a lower proportion of young people, had a higher proportion of racial and ethnic minority population, had a lower household income, had a higher crime rate, or had a greater density of on-premise alcohol outlets. The availability of medical and recreational marijuana stores was differentially correlated with household income and racial and ethnic composition.\n              Conclusions\n              . Neighborhood disparities existed in the availability of marijuana stores, and associations between availability of stores and neighborhood characteristics varied by store types. This study highlighted the need for regulatory measures to prevent marijuana related outcomes in high risk neighborhoods.","container-title":"Journal of Addiction","DOI":"10.1155/2016/7193740","ISSN":"2090-7834, 2090-7850","journalAbbreviation":"Journal of Addiction","language":"en","page":"1-7","source":"DOI.org (Crossref)","title":"Availability of Medical and Recreational Marijuana Stores and Neighborhood Characteristics in Colorado","URL":"http://www.hindawi.com/journals/jad/2016/7193740/","volume":"2016","author":[{"family":"Shi","given":"Yuyan"},{"family":"Meseck","given":"Kristin"},{"family":"Jankowska","given":"Marta M."}],"accessed":{"date-parts":[["2023",12,2]]},"issued":{"date-parts":[["2016"]]}}}],"schema":"https://github.com/citation-style-language/schema/raw/master/csl-citation.json"}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(Shi et al., 2016)</w:t>
      </w:r>
      <w:r>
        <w:rPr>
          <w:rFonts w:ascii="Times New Roman" w:hAnsi="Times New Roman" w:cs="Times New Roman"/>
        </w:rPr>
        <w:fldChar w:fldCharType="end"/>
      </w:r>
    </w:p>
    <w:p w14:paraId="58D1CE28" w14:textId="77777777" w:rsidR="00B416FC" w:rsidRPr="00D15041" w:rsidRDefault="00B416FC">
      <w:pPr>
        <w:rPr>
          <w:rFonts w:ascii="Times New Roman" w:hAnsi="Times New Roman" w:cs="Times New Roman"/>
        </w:rPr>
      </w:pPr>
    </w:p>
    <w:p w14:paraId="4EFB1ACA" w14:textId="74D87545" w:rsidR="00D15041" w:rsidRPr="00D15041" w:rsidRDefault="00D15041">
      <w:pPr>
        <w:rPr>
          <w:rFonts w:ascii="Times New Roman" w:hAnsi="Times New Roman" w:cs="Times New Roman"/>
        </w:rPr>
      </w:pPr>
      <w:r w:rsidRPr="00D15041">
        <w:rPr>
          <w:rFonts w:ascii="Times New Roman" w:hAnsi="Times New Roman" w:cs="Times New Roman"/>
        </w:rPr>
        <w:t>DATA</w:t>
      </w:r>
    </w:p>
    <w:p w14:paraId="12F66B9D" w14:textId="2A859C9C" w:rsidR="00B416FC" w:rsidRPr="00D15041" w:rsidRDefault="00B416FC">
      <w:pPr>
        <w:rPr>
          <w:rFonts w:ascii="Times New Roman" w:hAnsi="Times New Roman" w:cs="Times New Roman"/>
        </w:rPr>
      </w:pPr>
      <w:r w:rsidRPr="00D15041">
        <w:rPr>
          <w:rFonts w:ascii="Times New Roman" w:hAnsi="Times New Roman" w:cs="Times New Roman"/>
        </w:rPr>
        <w:t xml:space="preserve">Access = </w:t>
      </w:r>
      <w:r w:rsidRPr="00D15041">
        <w:rPr>
          <w:rFonts w:ascii="Times New Roman" w:hAnsi="Times New Roman" w:cs="Times New Roman"/>
        </w:rPr>
        <w:sym w:font="Symbol" w:char="F061"/>
      </w:r>
      <w:r w:rsidRPr="00D15041">
        <w:rPr>
          <w:rFonts w:ascii="Times New Roman" w:hAnsi="Times New Roman" w:cs="Times New Roman"/>
        </w:rPr>
        <w:t xml:space="preserve"> + Politics + Public Health + Resources</w:t>
      </w:r>
    </w:p>
    <w:p w14:paraId="428CE069" w14:textId="77777777" w:rsidR="00B416FC" w:rsidRPr="00D15041" w:rsidRDefault="00B416FC">
      <w:pPr>
        <w:rPr>
          <w:rFonts w:ascii="Times New Roman" w:hAnsi="Times New Roman" w:cs="Times New Roman"/>
        </w:rPr>
      </w:pPr>
    </w:p>
    <w:p w14:paraId="73F1E23A" w14:textId="51300EBD" w:rsidR="00B416FC" w:rsidRPr="00D15041" w:rsidRDefault="00B416FC">
      <w:pPr>
        <w:rPr>
          <w:rFonts w:ascii="Times New Roman" w:hAnsi="Times New Roman" w:cs="Times New Roman"/>
        </w:rPr>
      </w:pPr>
      <w:r w:rsidRPr="00D15041">
        <w:rPr>
          <w:rFonts w:ascii="Times New Roman" w:hAnsi="Times New Roman" w:cs="Times New Roman"/>
        </w:rPr>
        <w:t>Dependent variable:</w:t>
      </w:r>
    </w:p>
    <w:p w14:paraId="3F15CC89" w14:textId="3A165F31" w:rsidR="00B416FC" w:rsidRPr="00D15041" w:rsidRDefault="00B416FC">
      <w:pPr>
        <w:rPr>
          <w:rFonts w:ascii="Times New Roman" w:hAnsi="Times New Roman" w:cs="Times New Roman"/>
        </w:rPr>
      </w:pPr>
      <w:r w:rsidRPr="00D15041">
        <w:rPr>
          <w:rFonts w:ascii="Times New Roman" w:hAnsi="Times New Roman" w:cs="Times New Roman"/>
        </w:rPr>
        <w:t>Dispensary location – KWG</w:t>
      </w:r>
    </w:p>
    <w:p w14:paraId="1FF26DB3" w14:textId="1E7A2D76" w:rsidR="00B416FC" w:rsidRPr="00D15041" w:rsidRDefault="00FE38BD">
      <w:pPr>
        <w:rPr>
          <w:rFonts w:ascii="Times New Roman" w:hAnsi="Times New Roman" w:cs="Times New Roman"/>
        </w:rPr>
      </w:pPr>
      <w:hyperlink r:id="rId6" w:history="1">
        <w:r w:rsidR="00B416FC" w:rsidRPr="00D15041">
          <w:rPr>
            <w:rStyle w:val="Hyperlink"/>
            <w:rFonts w:ascii="Times New Roman" w:hAnsi="Times New Roman" w:cs="Times New Roman"/>
          </w:rPr>
          <w:t>https://com.ohio.gov/divisions-and-programs/cannabis-control/about-dcc/licenses/what-we-do/medical-marijuana-dispensary-map</w:t>
        </w:r>
      </w:hyperlink>
      <w:r w:rsidR="00B416FC" w:rsidRPr="00D15041">
        <w:rPr>
          <w:rFonts w:ascii="Times New Roman" w:hAnsi="Times New Roman" w:cs="Times New Roman"/>
        </w:rPr>
        <w:t xml:space="preserve"> </w:t>
      </w:r>
    </w:p>
    <w:p w14:paraId="638D5EFD" w14:textId="77777777" w:rsidR="00B416FC" w:rsidRPr="00D15041" w:rsidRDefault="00B416FC">
      <w:pPr>
        <w:rPr>
          <w:rFonts w:ascii="Times New Roman" w:hAnsi="Times New Roman" w:cs="Times New Roman"/>
        </w:rPr>
      </w:pPr>
    </w:p>
    <w:p w14:paraId="41D481CD" w14:textId="10840C90" w:rsidR="00B416FC" w:rsidRPr="00D15041" w:rsidRDefault="00B416FC">
      <w:pPr>
        <w:rPr>
          <w:rFonts w:ascii="Times New Roman" w:hAnsi="Times New Roman" w:cs="Times New Roman"/>
        </w:rPr>
      </w:pPr>
      <w:r w:rsidRPr="00D15041">
        <w:rPr>
          <w:rFonts w:ascii="Times New Roman" w:hAnsi="Times New Roman" w:cs="Times New Roman"/>
        </w:rPr>
        <w:t xml:space="preserve">Independent variables: </w:t>
      </w:r>
    </w:p>
    <w:p w14:paraId="152750CA" w14:textId="58EE1CD2" w:rsidR="00B416FC" w:rsidRPr="00D15041" w:rsidRDefault="00B416FC">
      <w:pPr>
        <w:rPr>
          <w:rFonts w:ascii="Times New Roman" w:hAnsi="Times New Roman" w:cs="Times New Roman"/>
        </w:rPr>
      </w:pPr>
      <w:r w:rsidRPr="00D15041">
        <w:rPr>
          <w:rFonts w:ascii="Times New Roman" w:hAnsi="Times New Roman" w:cs="Times New Roman"/>
        </w:rPr>
        <w:t>Politics (county-level) – Presidential vote; vote on Issue 2 (Rec initiative)</w:t>
      </w:r>
    </w:p>
    <w:p w14:paraId="3C9ED726" w14:textId="77777777" w:rsidR="00B416FC" w:rsidRPr="00D15041" w:rsidRDefault="00B416FC">
      <w:pPr>
        <w:rPr>
          <w:rFonts w:ascii="Times New Roman" w:hAnsi="Times New Roman" w:cs="Times New Roman"/>
        </w:rPr>
      </w:pPr>
    </w:p>
    <w:p w14:paraId="7823D78A" w14:textId="0DAC56F3" w:rsidR="00B416FC" w:rsidRPr="00D15041" w:rsidRDefault="00B416FC">
      <w:pPr>
        <w:rPr>
          <w:rFonts w:ascii="Times New Roman" w:hAnsi="Times New Roman" w:cs="Times New Roman"/>
        </w:rPr>
      </w:pPr>
      <w:r w:rsidRPr="00D15041">
        <w:rPr>
          <w:rFonts w:ascii="Times New Roman" w:hAnsi="Times New Roman" w:cs="Times New Roman"/>
        </w:rPr>
        <w:t xml:space="preserve">List is updated here and downloadable in Excel (updated 6-6-2024) </w:t>
      </w:r>
      <w:hyperlink r:id="rId7" w:history="1">
        <w:r w:rsidRPr="00D15041">
          <w:rPr>
            <w:rStyle w:val="Hyperlink"/>
            <w:rFonts w:ascii="Times New Roman" w:hAnsi="Times New Roman" w:cs="Times New Roman"/>
          </w:rPr>
          <w:t>https://com.ohio.gov/divisions-and-programs/cannabis-control/about-dcc/licenses/dispensaries/dispensary-licenses</w:t>
        </w:r>
      </w:hyperlink>
      <w:r w:rsidRPr="00D15041">
        <w:rPr>
          <w:rFonts w:ascii="Times New Roman" w:hAnsi="Times New Roman" w:cs="Times New Roman"/>
        </w:rPr>
        <w:t xml:space="preserve"> </w:t>
      </w:r>
    </w:p>
    <w:p w14:paraId="0338488A" w14:textId="77777777" w:rsidR="00B416FC" w:rsidRPr="00D15041" w:rsidRDefault="00B416FC">
      <w:pPr>
        <w:rPr>
          <w:rFonts w:ascii="Times New Roman" w:hAnsi="Times New Roman" w:cs="Times New Roman"/>
        </w:rPr>
      </w:pPr>
    </w:p>
    <w:p w14:paraId="355F4A3B" w14:textId="6B382711" w:rsidR="00B416FC" w:rsidRPr="00D15041" w:rsidRDefault="00B416FC">
      <w:pPr>
        <w:rPr>
          <w:rFonts w:ascii="Times New Roman" w:hAnsi="Times New Roman" w:cs="Times New Roman"/>
        </w:rPr>
      </w:pPr>
      <w:r w:rsidRPr="00D15041">
        <w:rPr>
          <w:rFonts w:ascii="Times New Roman" w:hAnsi="Times New Roman" w:cs="Times New Roman"/>
        </w:rPr>
        <w:t xml:space="preserve">Public Health (county-level) – life expectancy; deaths of despair (suicide + overdose); </w:t>
      </w:r>
    </w:p>
    <w:p w14:paraId="1615B625" w14:textId="77777777" w:rsidR="00B416FC" w:rsidRPr="00D15041" w:rsidRDefault="00B416FC">
      <w:pPr>
        <w:rPr>
          <w:rFonts w:ascii="Times New Roman" w:hAnsi="Times New Roman" w:cs="Times New Roman"/>
        </w:rPr>
      </w:pPr>
    </w:p>
    <w:p w14:paraId="480C37B1" w14:textId="72F6E08F" w:rsidR="00B416FC" w:rsidRPr="00D15041" w:rsidRDefault="00B416FC">
      <w:pPr>
        <w:rPr>
          <w:rFonts w:ascii="Times New Roman" w:hAnsi="Times New Roman" w:cs="Times New Roman"/>
        </w:rPr>
      </w:pPr>
      <w:r w:rsidRPr="00D15041">
        <w:rPr>
          <w:rFonts w:ascii="Times New Roman" w:hAnsi="Times New Roman" w:cs="Times New Roman"/>
        </w:rPr>
        <w:t xml:space="preserve">Resources (county-level) – Median income </w:t>
      </w:r>
    </w:p>
    <w:p w14:paraId="3ACAF828" w14:textId="77777777" w:rsidR="00B416FC" w:rsidRPr="00D15041" w:rsidRDefault="00B416FC">
      <w:pPr>
        <w:rPr>
          <w:rFonts w:ascii="Times New Roman" w:hAnsi="Times New Roman" w:cs="Times New Roman"/>
        </w:rPr>
      </w:pPr>
    </w:p>
    <w:p w14:paraId="45D92561" w14:textId="37A6ED0C" w:rsidR="00B416FC" w:rsidRPr="00D15041" w:rsidRDefault="00B416FC" w:rsidP="00B416FC">
      <w:pPr>
        <w:rPr>
          <w:rFonts w:ascii="Times New Roman" w:hAnsi="Times New Roman" w:cs="Times New Roman"/>
        </w:rPr>
      </w:pPr>
      <w:r w:rsidRPr="00D15041">
        <w:rPr>
          <w:rFonts w:ascii="Times New Roman" w:hAnsi="Times New Roman" w:cs="Times New Roman"/>
        </w:rPr>
        <w:t xml:space="preserve">Area Deprivation Index (ADI) </w:t>
      </w:r>
      <w:hyperlink r:id="rId8" w:history="1">
        <w:r w:rsidRPr="00D15041">
          <w:rPr>
            <w:rStyle w:val="Hyperlink"/>
            <w:rFonts w:ascii="Times New Roman" w:hAnsi="Times New Roman" w:cs="Times New Roman"/>
          </w:rPr>
          <w:t>https://www.neighborhoodatlas.medicine.wisc.edu/</w:t>
        </w:r>
      </w:hyperlink>
      <w:r w:rsidRPr="00D15041">
        <w:rPr>
          <w:rFonts w:ascii="Times New Roman" w:hAnsi="Times New Roman" w:cs="Times New Roman"/>
        </w:rPr>
        <w:t xml:space="preserve"> - The Area Deprivation Index (ADI) is based on a measure created by the Health Resources &amp; Services Administration (HRSA) over three decades ago, and has since been refined, adapted, and validated to the Census block group neighborhood level by Amy Kind, MD, PhD and her research team at the University of Wisconsin-Madison. It allows for rankings of neighborhoods by socioeconomic disadvantage in a region of interest (e.g., at the state or national level). It includes factors for the theoretical domains of income, education, employment, and housing quality. It can be used to inform health delivery and policy, especially for the most disadvantaged neighborhood groups.</w:t>
      </w:r>
    </w:p>
    <w:p w14:paraId="367BC70A" w14:textId="77777777" w:rsidR="00B416FC" w:rsidRPr="00D15041" w:rsidRDefault="00B416FC" w:rsidP="00B416FC">
      <w:pPr>
        <w:rPr>
          <w:rFonts w:ascii="Times New Roman" w:hAnsi="Times New Roman" w:cs="Times New Roman"/>
        </w:rPr>
      </w:pPr>
    </w:p>
    <w:p w14:paraId="45E2F06B" w14:textId="458FAB71" w:rsidR="00B416FC" w:rsidRPr="00D15041" w:rsidRDefault="00B416FC" w:rsidP="00B416FC">
      <w:pPr>
        <w:rPr>
          <w:rFonts w:ascii="Times New Roman" w:hAnsi="Times New Roman" w:cs="Times New Roman"/>
        </w:rPr>
      </w:pPr>
      <w:r w:rsidRPr="00D15041">
        <w:rPr>
          <w:rFonts w:ascii="Times New Roman" w:hAnsi="Times New Roman" w:cs="Times New Roman"/>
        </w:rPr>
        <w:t>"Neighborhood" is defined as a Census block group.</w:t>
      </w:r>
    </w:p>
    <w:sectPr w:rsidR="00B416FC" w:rsidRPr="00D15041" w:rsidSect="005027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220CB" w14:textId="77777777" w:rsidR="000A41EC" w:rsidRDefault="000A41EC" w:rsidP="000A41EC">
      <w:r>
        <w:separator/>
      </w:r>
    </w:p>
  </w:endnote>
  <w:endnote w:type="continuationSeparator" w:id="0">
    <w:p w14:paraId="496053AB" w14:textId="77777777" w:rsidR="000A41EC" w:rsidRDefault="000A41EC" w:rsidP="000A4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60D7" w14:textId="77777777" w:rsidR="000A41EC" w:rsidRDefault="000A41EC" w:rsidP="000A41EC">
      <w:r>
        <w:separator/>
      </w:r>
    </w:p>
  </w:footnote>
  <w:footnote w:type="continuationSeparator" w:id="0">
    <w:p w14:paraId="16520E4D" w14:textId="77777777" w:rsidR="000A41EC" w:rsidRDefault="000A41EC" w:rsidP="000A41EC">
      <w:r>
        <w:continuationSeparator/>
      </w:r>
    </w:p>
  </w:footnote>
  <w:footnote w:id="1">
    <w:p w14:paraId="4F3CB5F4" w14:textId="77777777" w:rsidR="000A41EC" w:rsidRPr="00B225D0" w:rsidRDefault="000A41EC" w:rsidP="000A41EC">
      <w:pPr>
        <w:pStyle w:val="FootnoteText"/>
        <w:rPr>
          <w:rFonts w:ascii="Times New Roman" w:hAnsi="Times New Roman" w:cs="Times New Roman"/>
        </w:rPr>
      </w:pPr>
      <w:r w:rsidRPr="00B225D0">
        <w:rPr>
          <w:rStyle w:val="FootnoteReference"/>
          <w:rFonts w:ascii="Times New Roman" w:hAnsi="Times New Roman" w:cs="Times New Roman"/>
        </w:rPr>
        <w:footnoteRef/>
      </w:r>
      <w:r w:rsidRPr="00B225D0">
        <w:rPr>
          <w:rFonts w:ascii="Times New Roman" w:hAnsi="Times New Roman" w:cs="Times New Roman"/>
        </w:rPr>
        <w:t xml:space="preserve"> Wright State University School of Social Sciences and International Studies</w:t>
      </w:r>
    </w:p>
  </w:footnote>
  <w:footnote w:id="2">
    <w:p w14:paraId="671D2F26" w14:textId="77777777" w:rsidR="000A41EC" w:rsidRPr="00B225D0" w:rsidRDefault="000A41EC" w:rsidP="000A41EC">
      <w:pPr>
        <w:pStyle w:val="FootnoteText"/>
        <w:rPr>
          <w:rFonts w:ascii="Times New Roman" w:hAnsi="Times New Roman" w:cs="Times New Roman"/>
        </w:rPr>
      </w:pPr>
      <w:r w:rsidRPr="00B225D0">
        <w:rPr>
          <w:rStyle w:val="FootnoteReference"/>
          <w:rFonts w:ascii="Times New Roman" w:hAnsi="Times New Roman" w:cs="Times New Roman"/>
        </w:rPr>
        <w:footnoteRef/>
      </w:r>
      <w:r w:rsidRPr="00B225D0">
        <w:rPr>
          <w:rFonts w:ascii="Times New Roman" w:hAnsi="Times New Roman" w:cs="Times New Roman"/>
        </w:rPr>
        <w:t xml:space="preserve"> Wright State University Department of Computer Science and Engineering</w:t>
      </w:r>
    </w:p>
  </w:footnote>
  <w:footnote w:id="3">
    <w:p w14:paraId="65A6B904" w14:textId="77777777" w:rsidR="000A41EC" w:rsidRDefault="000A41EC" w:rsidP="000A41EC">
      <w:pPr>
        <w:pStyle w:val="FootnoteText"/>
      </w:pPr>
      <w:r w:rsidRPr="00B225D0">
        <w:rPr>
          <w:rStyle w:val="FootnoteReference"/>
          <w:rFonts w:ascii="Times New Roman" w:hAnsi="Times New Roman" w:cs="Times New Roman"/>
        </w:rPr>
        <w:footnoteRef/>
      </w:r>
      <w:r w:rsidRPr="00B225D0">
        <w:rPr>
          <w:rFonts w:ascii="Times New Roman" w:hAnsi="Times New Roman" w:cs="Times New Roman"/>
        </w:rPr>
        <w:t xml:space="preserve"> Penn State Harrisburg School of Public Affairs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EC"/>
    <w:rsid w:val="000A41EC"/>
    <w:rsid w:val="00266877"/>
    <w:rsid w:val="006676A9"/>
    <w:rsid w:val="00733FD3"/>
    <w:rsid w:val="00967956"/>
    <w:rsid w:val="00B416FC"/>
    <w:rsid w:val="00C54605"/>
    <w:rsid w:val="00D15041"/>
    <w:rsid w:val="00D21038"/>
    <w:rsid w:val="00FE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AAFD8"/>
  <w15:chartTrackingRefBased/>
  <w15:docId w15:val="{9001D3EE-67F1-5A4C-8E00-9A29B2FF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41EC"/>
    <w:rPr>
      <w:sz w:val="20"/>
      <w:szCs w:val="20"/>
    </w:rPr>
  </w:style>
  <w:style w:type="character" w:customStyle="1" w:styleId="FootnoteTextChar">
    <w:name w:val="Footnote Text Char"/>
    <w:basedOn w:val="DefaultParagraphFont"/>
    <w:link w:val="FootnoteText"/>
    <w:uiPriority w:val="99"/>
    <w:semiHidden/>
    <w:rsid w:val="000A41EC"/>
    <w:rPr>
      <w:sz w:val="20"/>
      <w:szCs w:val="20"/>
    </w:rPr>
  </w:style>
  <w:style w:type="character" w:styleId="FootnoteReference">
    <w:name w:val="footnote reference"/>
    <w:basedOn w:val="DefaultParagraphFont"/>
    <w:uiPriority w:val="99"/>
    <w:semiHidden/>
    <w:unhideWhenUsed/>
    <w:rsid w:val="000A41EC"/>
    <w:rPr>
      <w:vertAlign w:val="superscript"/>
    </w:rPr>
  </w:style>
  <w:style w:type="character" w:styleId="Hyperlink">
    <w:name w:val="Hyperlink"/>
    <w:basedOn w:val="DefaultParagraphFont"/>
    <w:uiPriority w:val="99"/>
    <w:unhideWhenUsed/>
    <w:rsid w:val="00B416FC"/>
    <w:rPr>
      <w:color w:val="0563C1" w:themeColor="hyperlink"/>
      <w:u w:val="single"/>
    </w:rPr>
  </w:style>
  <w:style w:type="character" w:styleId="UnresolvedMention">
    <w:name w:val="Unresolved Mention"/>
    <w:basedOn w:val="DefaultParagraphFont"/>
    <w:uiPriority w:val="99"/>
    <w:semiHidden/>
    <w:unhideWhenUsed/>
    <w:rsid w:val="00B41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5822">
      <w:bodyDiv w:val="1"/>
      <w:marLeft w:val="0"/>
      <w:marRight w:val="0"/>
      <w:marTop w:val="0"/>
      <w:marBottom w:val="0"/>
      <w:divBdr>
        <w:top w:val="none" w:sz="0" w:space="0" w:color="auto"/>
        <w:left w:val="none" w:sz="0" w:space="0" w:color="auto"/>
        <w:bottom w:val="none" w:sz="0" w:space="0" w:color="auto"/>
        <w:right w:val="none" w:sz="0" w:space="0" w:color="auto"/>
      </w:divBdr>
      <w:divsChild>
        <w:div w:id="1520772776">
          <w:marLeft w:val="0"/>
          <w:marRight w:val="0"/>
          <w:marTop w:val="0"/>
          <w:marBottom w:val="0"/>
          <w:divBdr>
            <w:top w:val="none" w:sz="0" w:space="0" w:color="auto"/>
            <w:left w:val="none" w:sz="0" w:space="0" w:color="auto"/>
            <w:bottom w:val="none" w:sz="0" w:space="0" w:color="auto"/>
            <w:right w:val="none" w:sz="0" w:space="0" w:color="auto"/>
          </w:divBdr>
          <w:divsChild>
            <w:div w:id="284427907">
              <w:marLeft w:val="0"/>
              <w:marRight w:val="0"/>
              <w:marTop w:val="0"/>
              <w:marBottom w:val="0"/>
              <w:divBdr>
                <w:top w:val="none" w:sz="0" w:space="0" w:color="auto"/>
                <w:left w:val="none" w:sz="0" w:space="0" w:color="auto"/>
                <w:bottom w:val="none" w:sz="0" w:space="0" w:color="auto"/>
                <w:right w:val="none" w:sz="0" w:space="0" w:color="auto"/>
              </w:divBdr>
              <w:divsChild>
                <w:div w:id="9419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ighborhoodatlas.medicine.wisc.edu/" TargetMode="External"/><Relationship Id="rId3" Type="http://schemas.openxmlformats.org/officeDocument/2006/relationships/webSettings" Target="webSettings.xml"/><Relationship Id="rId7" Type="http://schemas.openxmlformats.org/officeDocument/2006/relationships/hyperlink" Target="https://com.ohio.gov/divisions-and-programs/cannabis-control/about-dcc/licenses/dispensaries/dispensary-licen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ohio.gov/divisions-and-programs/cannabis-control/about-dcc/licenses/what-we-do/medical-marijuana-dispensary-ma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Lee</dc:creator>
  <cp:keywords/>
  <dc:description/>
  <cp:lastModifiedBy>Hannah, Lee</cp:lastModifiedBy>
  <cp:revision>5</cp:revision>
  <dcterms:created xsi:type="dcterms:W3CDTF">2024-06-07T16:28:00Z</dcterms:created>
  <dcterms:modified xsi:type="dcterms:W3CDTF">2024-07-01T13:24:00Z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id="sORCnRpC"/&gt;&lt;style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