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The Great Study Abroad Shift 2026: Why the Canada/UK Model Collapsed and Continental Europe Won</w:t>
      </w:r>
    </w:p>
    <w:p>
      <w:r>
        <w:rPr>
          <w:i/>
          <w:b/>
          <w:color w:val="0D9488"/>
        </w:rPr>
        <w:t>FINESSE OVERSEAS EDUCATION • STRATEGIC RESEARCH WHITE-PAPER</w:t>
      </w:r>
    </w:p>
    <w:p>
      <w:r>
        <w:rPr>
          <w:sz w:val="18"/>
          <w:color w:val="64748B"/>
        </w:rPr>
        <w:t>Authors: Rohit Kasture (Senior Placement Strategist) • Jayant Patil (Director, Alumni VJTI &amp; JBIMS)</w:t>
      </w:r>
    </w:p>
    <w:p>
      <w:pPr>
        <w:pBdr>
          <w:left w:val="single" w:sz="24" w:space="15" w:color="0D9488"/>
        </w:pBdr>
        <w:shd w:val="clear" w:color="auto" w:fill="F0FDFA"/>
        <w:ind w:left="360" w:right="360"/>
      </w:pPr>
      <w:r>
        <w:rPr>
          <w:i/>
          <w:color w:val="134E4A"/>
        </w:rPr>
        <w:t>"Education functions as an asymmetric financial asset strictly when its acquisition cost does not exceed the risk-adjusted Net Present Value (NPV) of future wage distributions. When funded via high-coupon unsecured leverage against unranked vocational credentials, it ceases to be human capital accumulation and mutates into a predatory subprime liability."</w:t>
      </w:r>
    </w:p>
    <w:p>
      <w:r>
        <w:t>---</w:t>
      </w:r>
    </w:p>
    <w:p>
      <w:pPr>
        <w:pStyle w:val="Heading1"/>
      </w:pPr>
      <w:r>
        <w:t>⚡ Quick Executive Summary: The 3 Core Truths</w:t>
      </w:r>
    </w:p>
    <w:p>
      <w:pPr>
        <w:ind w:left="480"/>
      </w:pPr>
      <w:r>
        <w:rPr>
          <w:b/>
          <w:color w:val="0D9488"/>
        </w:rPr>
        <w:t>✓ </w:t>
      </w:r>
      <w:r>
        <w:t>The Fallacy of Market Contraction: The perceived "study abroad slowdown" is not a drop in student ambition, but the statutory dismantling of predatory private diploma mills in Canada and the UK that traded immigration speculation for subprime tuition fees.</w:t>
      </w:r>
    </w:p>
    <w:p>
      <w:pPr>
        <w:ind w:left="480"/>
      </w:pPr>
      <w:r>
        <w:rPr>
          <w:b/>
          <w:color w:val="0D9488"/>
        </w:rPr>
        <w:t>✓ </w:t>
      </w:r>
      <w:r>
        <w:t>The Mathematical Ruin Problem: Servicing a ₹50,00,000 unsecured education loan at 13.5% interest requires ₹76,100 per month for 120 months—a repayment liability of ₹91,32,000 that domestic Indian salaries cannot absorb if international sponsorship fails.</w:t>
      </w:r>
    </w:p>
    <w:p>
      <w:pPr>
        <w:ind w:left="480"/>
      </w:pPr>
      <w:r>
        <w:rPr>
          <w:b/>
          <w:color w:val="0D9488"/>
        </w:rPr>
        <w:t>✓ </w:t>
      </w:r>
      <w:r>
        <w:t>The Sovereign European Arbitrage: Germany provides 100% tuition-free public higher education backed by the Skilled Immigration Act and 18-month post-study work authorization, while Italy guarantees statutory 100% tuition fee waivers plus direct annual living stipends of €7,000 to €8,500 under Constitutional Article 34.</w:t>
      </w:r>
    </w:p>
    <w:p>
      <w:r>
        <w:t>---</w:t>
      </w:r>
    </w:p>
    <w:p>
      <w:pPr>
        <w:pStyle w:val="Heading1"/>
      </w:pPr>
      <w:r>
        <w:t>1. The Macroeconomic Realignment: Dismantling the "Demand Collapse" Fallacy</w:t>
      </w:r>
    </w:p>
    <w:p>
      <w:r>
        <w:t>A pervasive narrative has taken root across coaching institutes, local consultancies, and media headlines: "The study abroad trend is over. Visas are drying up, and international job markets have collapsed."</w:t>
      </w:r>
    </w:p>
    <w:p>
      <w:r>
        <w:t>This interpretation is fundamentally flawed. In economic terms, aggregate consumer demand for elite international education has not collapsed; it has undergone a macroeconomic and policy-driven realignment.</w:t>
      </w:r>
    </w:p>
    <w:p>
      <w:r>
        <w:t>For the past decade, the Anglo-Saxon higher education market operated on a commodified "paper-mill arbitrage." Private vocational colleges in Ontario, British Columbia, and regional UK cities functioned essentially as visa brokers. They extracted high-margin international tuition from middle-class Indian families by selling the speculative promise of post-study work permits and eventual permanent residency (PR), despite offering near-zero academic signaling value.</w:t>
      </w:r>
    </w:p>
    <w:p>
      <w:pPr>
        <w:pStyle w:val="Heading2"/>
      </w:pPr>
      <w:r>
        <w:t>The Macro Model Transition: 2024 vs 2026</w:t>
      </w:r>
    </w:p>
    <w:p>
      <w:pPr>
        <w:ind w:left="480"/>
      </w:pPr>
      <w:r>
        <w:rPr>
          <w:b/>
          <w:color w:val="0D9488"/>
        </w:rPr>
        <w:t>✓ </w:t>
      </w:r>
      <w:r>
        <w:t>The Traditional Commercial Model (Pre-2024): High-Interest Private Debt (₹50L–₹70L) $\rightarrow$ Unranked Strip-Mall College $\rightarrow$ PR Speculation $\rightarrow$ Regulatory Crackdown &amp; Financial Trap.</w:t>
      </w:r>
    </w:p>
    <w:p>
      <w:pPr>
        <w:ind w:left="480"/>
      </w:pPr>
      <w:r>
        <w:rPr>
          <w:b/>
          <w:color w:val="0D9488"/>
        </w:rPr>
        <w:t>✓ </w:t>
      </w:r>
      <w:r>
        <w:t>The Sovereign Realignment (2025–2026): Zero Debt / State Subsidies $\rightarrow$ 500-Year-Old Public Research University (TUM / Bologna) $\rightarrow$ High-Demand STEM/Management Discipline $\rightarrow$ Permanent Sovereign Stability.</w:t>
      </w:r>
    </w:p>
    <w:p>
      <w:r>
        <w:t>In 2026, regulatory saturation has brought this debt-fueled speculative cycle to a grinding halt. Outbound Indian students have not stopped pursuing global education; rather, they have rationalized their risk profiles. The market has permanently pivoted from speculative commercial diploma mills to sovereign-subsidized, merit-filtered public universities across Continental Europe.</w:t>
      </w:r>
    </w:p>
    <w:p>
      <w:r>
        <w:t>---</w:t>
      </w:r>
    </w:p>
    <w:p>
      <w:pPr>
        <w:pStyle w:val="Heading1"/>
      </w:pPr>
      <w:r>
        <w:t>2. The Institutional Collapse in Canada (IRCC Statutory Data 2024–2026)</w:t>
      </w:r>
    </w:p>
    <w:p>
      <w:r>
        <w:t>For over a decade, Canada served as the primary destination for volume-driven education agencies. However, the unchecked influx of temporary residents created acute domestic strains on housing inventories, healthcare infrastructure, and entry-level labor markets. In response, Immigration, Refugees and Citizenship Canada (IRCC) enacted aggressive statutory interventions:</w:t>
      </w:r>
    </w:p>
    <w:p>
      <w:pPr>
        <w:pStyle w:val="Heading2"/>
      </w:pPr>
      <w:r>
        <w:t>A. National Study Permit Intake Caps</w:t>
      </w:r>
    </w:p>
    <w:p>
      <w:r>
        <w:t>IRCC executed structural intake caps, enforcing a 35% to 50% net reduction in new study permit issuances across primary destination provinces (notably Ontario and British Columbia). Allocations are now strictly regulated through Provincial Attestation Letters (PALs), establishing a rigid ceiling on institutional admissions.</w:t>
      </w:r>
    </w:p>
    <w:p>
      <w:pPr>
        <w:pStyle w:val="Heading2"/>
      </w:pPr>
      <w:r>
        <w:t>B. Doubling of Upfront Liquidity Requirements ($20,635 CAD)</w:t>
      </w:r>
    </w:p>
    <w:p>
      <w:r>
        <w:t>The mandatory Guaranteed Investment Certificate (GIC) threshold—designed to demonstrate living-expense solvency—was abruptly escalated from $10,225 CAD to $20,635 CAD (approx. ₹13.5 to ₹14.0 Lakhs INR). This capital must be deposited upfront in full into an approved Canadian financial institution prior to visa filing, creating an insurmountable liquidity barrier for leveraged households.</w:t>
      </w:r>
    </w:p>
    <w:p>
      <w:pPr>
        <w:pStyle w:val="Heading2"/>
      </w:pPr>
      <w:r>
        <w:t>C. Revocation of Private Curriculum-Licensing PGWPs</w:t>
      </w:r>
    </w:p>
    <w:p>
      <w:r>
        <w:t>Effective May 2024 and expanded through 2025–2026, Post-Graduation Work Permit (PGWP) eligibility was completely revoked for students enrolled in private colleges operating under public curriculum licensing agreements.</w:t>
      </w:r>
    </w:p>
    <w:p>
      <w:pPr>
        <w:pStyle w:val="Heading2"/>
      </w:pPr>
      <w:r>
        <w:t>📊 Empirical Impact</w:t>
      </w:r>
    </w:p>
    <w:p>
      <w:r>
        <w:t>According to official IRCC data, new study permit applications from India have plummeted by more than 50%. Graduating students who accumulated tens of lakhs in private debt now face an oversaturated low-skill labor market, restricted work authorization, and an immigration points threshold (Comprehensive Ranking System - CRS) that renders PR transition mathematically impossible for non-specialized diploma holders. The Canadian "shortcut diploma trap" has reached regulatory exhaustion.</w:t>
      </w:r>
    </w:p>
    <w:p>
      <w:r>
        <w:t>---</w:t>
      </w:r>
    </w:p>
    <w:p>
      <w:pPr>
        <w:pStyle w:val="Heading1"/>
      </w:pPr>
      <w:r>
        <w:t>3. Regulatory Headwinds and Wage Thresholds in the UK (Home Office HC 590)</w:t>
      </w:r>
    </w:p>
    <w:p>
      <w:r>
        <w:t>The United Kingdom aggressively positioned its one-year taught master’s (MSc/MA) programs as expedited, cost-effective bridges to international corporate mobility. However, consecutive policy revisions enacted by the UK Home Office (Statement of Changes in Immigration Rules - HC 590) have broken the return-on-investment calculus:</w:t>
      </w:r>
    </w:p>
    <w:p>
      <w:pPr>
        <w:pStyle w:val="Heading2"/>
      </w:pPr>
      <w:r>
        <w:t>A. Blanket Prohibition on Family Dependants</w:t>
      </w:r>
    </w:p>
    <w:p>
      <w:r>
        <w:t>Effective January 1, 2024, international students enrolled in non-research taught postgraduate programs were statutorily barred from bringing dependants (spouses and children). Dependant rights are now strictly confined to postgraduate research programs (PhD and research master's).</w:t>
      </w:r>
    </w:p>
    <w:p>
      <w:pPr>
        <w:pStyle w:val="Heading2"/>
      </w:pPr>
      <w:r>
        <w:t>B. The £38,700 Skilled Worker Wage Floor</w:t>
      </w:r>
    </w:p>
    <w:p>
      <w:r>
        <w:t>To transition from the temporary Graduate Route (2-year Post-Study Work visa) to a permanent Skilled Worker Visa (Tier 2 General), hiring employers must now meet a statutory minimum salary threshold of £38,700 per annum (approx. ₹42.5 Lakhs INR), raised from the historic £26,200 baseline.</w:t>
      </w:r>
    </w:p>
    <w:p>
      <w:pPr>
        <w:pStyle w:val="Heading2"/>
      </w:pPr>
      <w:r>
        <w:t>📉 UK Wage Gap &amp; Sponsorship Deficit Matrix</w:t>
      </w:r>
    </w:p>
    <w:p>
      <w:pPr>
        <w:pStyle w:val="Heading2"/>
      </w:pPr>
      <w:r>
        <w:t>📊 Empirical Impact</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Metric Parameter</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Financial Value (GBP / INR)</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Placement Outcome</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Average Entry-Level Master's Salary in UK</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£28,000 – £32,000 / year (~₹30L–₹35L)</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Standard regional corporate hiring offer</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Statutory Home Office Sponsorship Floor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£38,700 / year (~₹42.5 Lakhs INR)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Mandatory threshold for Skilled Worker Visa</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The Sponsorship Deficit Gap</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£6,700 to £10,700 Shortfall</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Sponsorship Denied (Forced Repatriation)</w:t>
            </w:r>
          </w:p>
        </w:tc>
      </w:tr>
    </w:tbl>
    <w:p>
      <w:r>
        <w:t>The vast majority of UK regional enterprises cannot justify entry-level compensation packages exceeding £38,700 for fresh graduates lacking prior European managerial tenure. As a direct consequence, over 85% to 90% of Indian master's graduates are forced to repatriate upon Graduate Route expiration. Incurring ₹35 to ₹45 Lakhs in debt for a single-year credential without employer sponsorship is a statistically flawed proposition.</w:t>
      </w:r>
    </w:p>
    <w:p>
      <w:r>
        <w:t>---</w:t>
      </w:r>
    </w:p>
    <w:p>
      <w:pPr>
        <w:pStyle w:val="Heading1"/>
      </w:pPr>
      <w:r>
        <w:t>4. The Mathematics of the ₹50-Lakh Unsecured Debt Trap: The Ruin Problem</w:t>
      </w:r>
    </w:p>
    <w:p>
      <w:r>
        <w:t>In behavioral finance, the "Ruin Problem" describes a scenario where an adverse sequence of events permanently depletes an individual's capital base, preventing recovery. When Indian middle-class households secure high-interest, non-collateralized loans from Non-Banking Financial Companies (NBFCs) to finance commercial degrees, they enter this exact mathematical condition.</w:t>
      </w:r>
    </w:p>
    <w:p>
      <w:pPr>
        <w:pStyle w:val="Heading2"/>
      </w:pPr>
      <w:r>
        <w:t>🧮 Quantitative Amortization Model: ₹50 Lakh Private Loan</w:t>
      </w:r>
    </w:p>
    <w:p>
      <w:r>
        <w:t>Consider the standard borrowing profile for an overseas master's program via private non-collateralized NBFC financing:</w:t>
      </w:r>
    </w:p>
    <w:p>
      <w:pPr>
        <w:pStyle w:val="Heading2"/>
      </w:pPr>
      <w:r>
        <w:t>The Downside Distribution &amp; Balance-Sheet Exposure</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Loan Metric (Unsecured Private Debt)</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Quantitative Exposure</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Principal Loan Amount ($P$)</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₹50,00,000</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Floating Interest Rate ($r$)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13.5% per annum</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Repayment Tenure ($n$)</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10 Years (120 Months)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Monthly Amortization (EMI)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₹76,100 / month</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Cumulative Outlay Over Tenure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₹91,32,000</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Total Interest Serviced ($I$)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₹41,32,000 (82.6% of Principal!)</w:t>
            </w:r>
          </w:p>
        </w:tc>
      </w:tr>
    </w:tbl>
    <w:p>
      <w:r>
        <w:t>If an international graduate encounters an extended hiring freeze abroad or is forced to return due to visa expiration, they re-enter the domestic Indian labor market with a starting salary distribution of ₹6,00,000 to ₹12,00,000 per annum (₹50,000 to ₹1,00,000 gross monthly).</w:t>
      </w:r>
    </w:p>
    <w:p>
      <w:r>
        <w:t>A monthly EMI obligation of ₹76,100 exceeds 100% of the candidate's net domestic take-home compensation. The debt burden inevitably falls upon the co-borrowing parents, requiring liquidation of retirement corpora, agricultural holdings, or primary residential assets. This is not education; it is catastrophic balance-sheet leverage.</w:t>
      </w:r>
    </w:p>
    <w:p>
      <w:r>
        <w:t>---</w:t>
      </w:r>
    </w:p>
    <w:p>
      <w:pPr>
        <w:pStyle w:val="Heading1"/>
      </w:pPr>
      <w:r>
        <w:t>5. The Humboldtian Alternative: Sovereign Public Higher Education in Germany</w:t>
      </w:r>
    </w:p>
    <w:p>
      <w:r>
        <w:t>Continental Europe rejects the commodification of tertiary education. Operating on the Humboldtian model of higher education, nations such as Germany treat advanced training as public social infrastructure and an industrial imperative.</w:t>
      </w:r>
    </w:p>
    <w:p>
      <w:pPr>
        <w:pStyle w:val="Heading2"/>
      </w:pPr>
      <w:r>
        <w:t>The German Industrial-Academic Framework</w:t>
      </w:r>
    </w:p>
    <w:p>
      <w:pPr>
        <w:ind w:left="480"/>
      </w:pPr>
      <w:r>
        <w:rPr>
          <w:b/>
          <w:color w:val="0D9488"/>
        </w:rPr>
        <w:t>✓ </w:t>
      </w:r>
      <w:r>
        <w:t>100% Tuition Fee Waivers: State-funded research universities (TUM, RWTH Aachen, TU Berlin) charge zero tuition.</w:t>
      </w:r>
    </w:p>
    <w:p>
      <w:pPr>
        <w:ind w:left="480"/>
      </w:pPr>
      <w:r>
        <w:rPr>
          <w:b/>
          <w:color w:val="0D9488"/>
        </w:rPr>
        <w:t>✓ </w:t>
      </w:r>
      <w:r>
        <w:t>Statutory Labor Integration: Fachkräfteeinwanderungsgesetz 2.0 &amp; the Opportunity Card (Chancenkarte).</w:t>
      </w:r>
    </w:p>
    <w:p>
      <w:pPr>
        <w:ind w:left="480"/>
      </w:pPr>
      <w:r>
        <w:rPr>
          <w:b/>
          <w:color w:val="0D9488"/>
        </w:rPr>
        <w:t>✓ </w:t>
      </w:r>
      <w:r>
        <w:t>Extended Post-Study Rights: 18-month legal job search authorization across all German industrial hubs.</w:t>
      </w:r>
    </w:p>
    <w:p>
      <w:pPr>
        <w:ind w:left="480"/>
      </w:pPr>
      <w:r>
        <w:rPr>
          <w:b/>
          <w:color w:val="0D9488"/>
        </w:rPr>
        <w:t>✓ </w:t>
      </w:r>
      <w:r>
        <w:t>Result: Zero Student Debt + World-Class STEM Credentials $\rightarrow$ Direct integration into global corporations (BMW, Siemens, Bosch, SAP).</w:t>
      </w:r>
    </w:p>
    <w:p>
      <w:pPr>
        <w:pStyle w:val="Heading2"/>
      </w:pPr>
      <w:r>
        <w:t>A. Demographics &amp; Institutional Standing (DAAD &amp; Destatis)</w:t>
      </w:r>
    </w:p>
    <w:p>
      <w:r>
        <w:t>Official data published by the Statistisches Bundesamt (Destatis) and the Deutscher Akademischer Austauschdienst (DAAD) confirms that Indian nationals have surpassed all other global demographics to become the #1 international student cohort in Germany (&gt;45,000 enrolled candidates).</w:t>
      </w:r>
    </w:p>
    <w:p>
      <w:pPr>
        <w:pStyle w:val="Heading2"/>
      </w:pPr>
      <w:r>
        <w:t>B. 100% Tuition Fee Waivers</w:t>
      </w:r>
    </w:p>
    <w:p>
      <w:r>
        <w:t>In 15 out of 16 German federal states, public universities (Staatliche Hochschulen) charge zero tuition fees for international candidates enrolled in undergraduate and postgraduate disciplines. Candidates pay merely a nominal administrative semester contribution (Semesterbeitrag) of €150 to €350, which includes a comprehensive regional transit pass (Semesterticket) providing free state-wide public transportation.</w:t>
      </w:r>
    </w:p>
    <w:p>
      <w:pPr>
        <w:pStyle w:val="Heading2"/>
      </w:pPr>
      <w:r>
        <w:t>C. Statutory Labor Integration (*Fachkräfteeinwanderungsgesetz*)</w:t>
      </w:r>
    </w:p>
    <w:p>
      <w:r>
        <w:t>Germany’s updated Skilled Immigration Act (Fachkräfteeinwanderungsgesetz) provides international graduates with:</w:t>
      </w:r>
    </w:p>
    <w:p>
      <w:pPr>
        <w:ind w:left="480"/>
      </w:pPr>
      <w:r>
        <w:rPr>
          <w:b/>
          <w:color w:val="0D9488"/>
        </w:rPr>
        <w:t>✓ </w:t>
      </w:r>
      <w:r>
        <w:t>An 18-Month Job Seeker Visa immediately post-graduation.</w:t>
      </w:r>
    </w:p>
    <w:p>
      <w:pPr>
        <w:ind w:left="480"/>
      </w:pPr>
      <w:r>
        <w:rPr>
          <w:b/>
          <w:color w:val="0D9488"/>
        </w:rPr>
        <w:t>✓ </w:t>
      </w:r>
      <w:r>
        <w:t>An expanded part-time employment allowance of 140 full days (or 280 half days) per calendar year.</w:t>
      </w:r>
    </w:p>
    <w:p>
      <w:pPr>
        <w:ind w:left="480"/>
      </w:pPr>
      <w:r>
        <w:rPr>
          <w:b/>
          <w:color w:val="0D9488"/>
        </w:rPr>
        <w:t>✓ </w:t>
      </w:r>
      <w:r>
        <w:t>A streamlined pathway to Permanent Residency (Niederlassungserlaubnis) within 21 to 24 months of skilled employment.</w:t>
      </w:r>
    </w:p>
    <w:p>
      <w:r>
        <w:t>---</w:t>
      </w:r>
    </w:p>
    <w:p>
      <w:pPr>
        <w:pStyle w:val="Heading1"/>
      </w:pPr>
      <w:r>
        <w:t>6. The Constitutional Welfare Arbitrage: Italy’s DSU &amp; ISEE Parificato Model</w:t>
      </w:r>
    </w:p>
    <w:p>
      <w:r>
        <w:t>The Italian republic provides one of the most progressive and legally protected higher-education funding architectures in the world.</w:t>
      </w:r>
    </w:p>
    <w:p>
      <w:pPr>
        <w:pStyle w:val="Heading2"/>
      </w:pPr>
      <w:r>
        <w:t>A. Constitutional Protection (Article 34)</w:t>
      </w:r>
    </w:p>
    <w:p>
      <w:r>
        <w:t>Under Article 34 of the Italian Constitution (Costituzione della Repubblica Italiana), higher education is a protected civil right:</w:t>
      </w:r>
    </w:p>
    <w:p>
      <w:pPr>
        <w:pBdr>
          <w:left w:val="single" w:sz="24" w:space="15" w:color="0D9488"/>
        </w:pBdr>
        <w:shd w:val="clear" w:color="auto" w:fill="F0FDFA"/>
        <w:ind w:left="360" w:right="360"/>
      </w:pPr>
      <w:r>
        <w:rPr>
          <w:i/>
          <w:color w:val="134E4A"/>
        </w:rPr>
        <w:t>"Capable and deserving pupils, including those without adequate financial means, have the constitutional right to attain the highest grades of academic instruction."</w:t>
      </w:r>
    </w:p>
    <w:p>
      <w:pPr>
        <w:pStyle w:val="Heading2"/>
      </w:pPr>
      <w:r>
        <w:t>B. The DSU System &amp; ISEE Parificato Calculation</w:t>
      </w:r>
    </w:p>
    <w:p>
      <w:r>
        <w:t>Pursuant to Decreto Legislativo 68/2012, higher-education regional boards—such as DiscoLazio (Lazio), ER.GO (Emilia-Romagna), and EDISU (Piedmont)—administer statutory grants based on financial evaluation known as the ISEE Parificato (Equivalent Economic Situation Indicator).</w:t>
      </w:r>
    </w:p>
    <w:p>
      <w:pPr>
        <w:pStyle w:val="Heading2"/>
      </w:pPr>
      <w:r>
        <w:t>📋 ISEE Parificato Statutory Formula &amp; Thresholds</w:t>
      </w:r>
    </w:p>
    <w:p>
      <w:pPr>
        <w:pStyle w:val="Heading2"/>
      </w:pPr>
      <w:r>
        <w:t>C. Comprehensive Welfare Package (Up to €8,500 Annual Cash Grant)</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Calculation Parameter</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Valuation Metric</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Statutory Benefit Trigger</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Household Income ($ISR$)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Cumulative annual gross family earnings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Verified via Indian income tax records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Asset Valuation ($ISP$)</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20% real estate &amp; movable asset equity</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Verified via official bank and property records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Equivalence Scale ($VSE$)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Adjusted family size coefficient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Standard factor (2.04 to 2.85)</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Statutory Eligibility Threshold</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Total ISEE Value &amp;lt; €23,000 / year (~₹21L–₹23L)</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100% Full Tuition Waiver + €8,500 Cash Grant</w:t>
            </w:r>
          </w:p>
        </w:tc>
      </w:tr>
    </w:tbl>
    <w:p>
      <w:r>
        <w:t>For Indian students whose cumulative family income falls below the €23,000 ceiling:</w:t>
      </w:r>
    </w:p>
    <w:p>
      <w:r>
        <w:t>1. 100% Gross Tuition Fee Waiver: Total annual academic tuition is statutorily waived across public universities (e.g., Sapienza University of Rome, University of Bologna, University of Padua).</w:t>
      </w:r>
    </w:p>
    <w:p>
      <w:r>
        <w:t>2. Direct Living Allowance Disbursements: Qualifying scholars receive up to €7,000 to €8,500 per year (approx. ₹7.0 to ₹8.5 Lakhs INR) disbursed directly into their European bank accounts to offset living expenditures.</w:t>
      </w:r>
    </w:p>
    <w:p>
      <w:r>
        <w:t>3. Dining and Housing Subsidies: Grantees receive daily Canteen Dining Passes (Tessera Mensa) for free or highly subsidized meals, alongside merit-allocated university housing.</w:t>
      </w:r>
    </w:p>
    <w:p>
      <w:r>
        <w:t>---</w:t>
      </w:r>
    </w:p>
    <w:p>
      <w:pPr>
        <w:pStyle w:val="Heading1"/>
      </w:pPr>
      <w:r>
        <w:t>7. Master Comparison Matrix: Anglo-Saxon Debt vs. Sovereign European Model</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Evaluation Metric</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Anglo-Saxon Model (Canada / UK)</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Sovereign European Model (Germany / Italy)</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Gross Tuition Cost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₹20 Lakhs to ₹45 Lakhs / year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(100% Statutorily Free / Waived)</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Required Educational Debt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 Lakhs to ₹70 Lakhs (at 13.5% Floating)</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to ₹10 Lakhs (Debt-Free Education)</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Direct Living Grants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Negligible / None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€7,000 to €8,500 Cash Stipend (Italy DSU)</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Institutional Age &amp; Pedigree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Commercial strip-mall / private career colleges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500–800 Year Old Elite Public State Universities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Monthly Amortization (EMI)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₹60,000 to ₹76,100 / month (10-year term)</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 month (Preserves family balance sheet)</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Post-Study Visa Framework</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Restrictive caps, wage floors (£38,700), PR barrier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18–24 Month Legal Job Search, Chancenkarte</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Risk-Adjusted Expected Value (EV)</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Negative EV (High Downside Tail Risk)</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Asymmetric Positive Payoff (Zero Downside)</w:t>
            </w:r>
          </w:p>
        </w:tc>
      </w:tr>
    </w:tbl>
    <w:p>
      <w:r>
        <w:t>---</w:t>
      </w:r>
    </w:p>
    <w:p>
      <w:pPr>
        <w:pStyle w:val="Heading1"/>
      </w:pPr>
      <w:r>
        <w:t>8. The 2026 Strategic Candidate Allocation Protocol</w:t>
      </w:r>
    </w:p>
    <w:p>
      <w:r>
        <w:t>To maximize human capital value while neutralizing balance-sheet exposure, outbound candidates in 2026 should align their academic profiles using the following decision framework:</w:t>
      </w:r>
    </w:p>
    <w:p>
      <w:pPr>
        <w:pStyle w:val="Heading2"/>
      </w:pPr>
      <w:r>
        <w:t>🎯 Primary Discipline Allocation Roadmap:</w:t>
      </w:r>
    </w:p>
    <w:p>
      <w:r>
        <w:t>1. Path 1: STEM, Engineering, AI &amp; Data Science $\rightarrow$ Target Germany</w:t>
      </w:r>
    </w:p>
    <w:p>
      <w:pPr>
        <w:ind w:left="480"/>
      </w:pPr>
      <w:r>
        <w:rPr>
          <w:b/>
          <w:color w:val="0D9488"/>
        </w:rPr>
        <w:t>✓ </w:t>
      </w:r>
      <w:r>
        <w:t>Leverage zero-tuition public engineering institutions (TU9, Excellence Universities).</w:t>
      </w:r>
    </w:p>
    <w:p>
      <w:pPr>
        <w:ind w:left="480"/>
      </w:pPr>
      <w:r>
        <w:rPr>
          <w:b/>
          <w:color w:val="0D9488"/>
        </w:rPr>
        <w:t>✓ </w:t>
      </w:r>
      <w:r>
        <w:t>Clear the mandatory Akademische Prüfstelle (APS New Delhi) verification gate.</w:t>
      </w:r>
    </w:p>
    <w:p>
      <w:pPr>
        <w:ind w:left="480"/>
      </w:pPr>
      <w:r>
        <w:rPr>
          <w:b/>
          <w:color w:val="0D9488"/>
        </w:rPr>
        <w:t>✓ </w:t>
      </w:r>
      <w:r>
        <w:t>Utilize the 18-month post-study work visa for seamless transition into German industrial corridors.</w:t>
      </w:r>
    </w:p>
    <w:p>
      <w:r>
        <w:t>2. Path 2: Management, Economics, Humanities &amp; Design $\rightarrow$ Target Italy</w:t>
      </w:r>
    </w:p>
    <w:p>
      <w:pPr>
        <w:ind w:left="480"/>
      </w:pPr>
      <w:r>
        <w:rPr>
          <w:b/>
          <w:color w:val="0D9488"/>
        </w:rPr>
        <w:t>✓ </w:t>
      </w:r>
      <w:r>
        <w:t>Target centuries-old public research institutions (University of Bologna, Sapienza Rome, Politecnico di Milano).</w:t>
      </w:r>
    </w:p>
    <w:p>
      <w:pPr>
        <w:ind w:left="480"/>
      </w:pPr>
      <w:r>
        <w:rPr>
          <w:b/>
          <w:color w:val="0D9488"/>
        </w:rPr>
        <w:t>✓ </w:t>
      </w:r>
      <w:r>
        <w:t>Access 100% tuition fee waivers and up to €8,500 annual living stipends via the DSU ISEE Parificato framework.</w:t>
      </w:r>
    </w:p>
    <w:p>
      <w:pPr>
        <w:ind w:left="480"/>
      </w:pPr>
      <w:r>
        <w:rPr>
          <w:b/>
          <w:color w:val="0D9488"/>
        </w:rPr>
        <w:t>✓ </w:t>
      </w:r>
      <w:r>
        <w:t>Graduate debt-free with internationally recognized European ECTS master's credentials.</w:t>
      </w:r>
    </w:p>
    <w:p>
      <w:r>
        <w:t>3. Path 3: Medical Sciences (MBBS Abroad) $\rightarrow$ Target Continental European State Universities</w:t>
      </w:r>
    </w:p>
    <w:p>
      <w:pPr>
        <w:ind w:left="480"/>
      </w:pPr>
      <w:r>
        <w:rPr>
          <w:b/>
          <w:color w:val="0D9488"/>
        </w:rPr>
        <w:t>✓ </w:t>
      </w:r>
      <w:r>
        <w:t>Bypass predatory commercial agencies and avoid bilingual degree traps.</w:t>
      </w:r>
    </w:p>
    <w:p>
      <w:pPr>
        <w:ind w:left="480"/>
      </w:pPr>
      <w:r>
        <w:rPr>
          <w:b/>
          <w:color w:val="0D9488"/>
        </w:rPr>
        <w:t>✓ </w:t>
      </w:r>
      <w:r>
        <w:t>Select strictly NMC FMGL 2021-compliant (54-month academic + 12-month integrated institutional internship) single-cycle programs in European government universities.</w:t>
      </w:r>
    </w:p>
    <w:p>
      <w:pPr>
        <w:ind w:left="480"/>
      </w:pPr>
      <w:r>
        <w:rPr>
          <w:b/>
          <w:color w:val="0D9488"/>
        </w:rPr>
        <w:t>✓ </w:t>
      </w:r>
      <w:r>
        <w:t>Cap all-inclusive 6-year programmatic expenditure at ₹25 to ₹35 Lakhs total.</w:t>
      </w:r>
    </w:p>
    <w:p>
      <w:r>
        <w:t>---</w:t>
      </w:r>
    </w:p>
    <w:p>
      <w:pPr>
        <w:pStyle w:val="Heading1"/>
      </w:pPr>
      <w:r>
        <w:t>9. Institutional Integrity: The Finesse Overseas Advisory Protocol</w:t>
      </w:r>
    </w:p>
    <w:p>
      <w:r>
        <w:t>Finesse Overseas Education does not maintain commercial partnerships with unaccredited private diploma providers. Every applicant’s academic profile is processed directly through verified sovereign channels:</w:t>
      </w:r>
    </w:p>
    <w:p>
      <w:pPr>
        <w:ind w:left="480"/>
      </w:pPr>
      <w:r>
        <w:rPr>
          <w:b/>
          <w:color w:val="0D9488"/>
        </w:rPr>
        <w:t>✓ </w:t>
      </w:r>
      <w:r>
        <w:t>Akademische Prüfstelle (APS): Authorized processing for German academic verification.</w:t>
      </w:r>
    </w:p>
    <w:p>
      <w:pPr>
        <w:ind w:left="480"/>
      </w:pPr>
      <w:r>
        <w:rPr>
          <w:b/>
          <w:color w:val="0D9488"/>
        </w:rPr>
        <w:t>✓ </w:t>
      </w:r>
      <w:r>
        <w:t>Declaration of Value (DOV) &amp; CIMEA: Certified Italian consular and diplomatic legalization.</w:t>
      </w:r>
    </w:p>
    <w:p>
      <w:pPr>
        <w:ind w:left="480"/>
      </w:pPr>
      <w:r>
        <w:rPr>
          <w:b/>
          <w:color w:val="0D9488"/>
        </w:rPr>
        <w:t>✓ </w:t>
      </w:r>
      <w:r>
        <w:t>Regional DSU Portals: Direct submission of ISEE Parificato dossiers to regional Italian scholarship boards (DiscoLazio, ER.GO, EDISU).</w:t>
      </w:r>
    </w:p>
    <w:p>
      <w:pPr>
        <w:ind w:left="480"/>
      </w:pPr>
      <w:r>
        <w:rPr>
          <w:b/>
          <w:color w:val="0D9488"/>
        </w:rPr>
        <w:t>✓ </w:t>
      </w:r>
      <w:r>
        <w:t>NMC FMGL 2021 Gazette Auditing: Legal compliance verification for international medical curricula.</w:t>
      </w:r>
    </w:p>
    <w:p>
      <w:pPr>
        <w:pStyle w:val="Heading2"/>
      </w:pPr>
      <w:r>
        <w:t>🏁 Final Concluding Summary</w:t>
      </w:r>
    </w:p>
    <w:p>
      <w:r>
        <w:t>The international education sector is not contracting; it is correcting toward fiscal sustainability and academic rigor. Incurring ₹50 Lakhs in high-interest debt for low-tier commercial diplomas represents an unacceptable financial risk in the 2026 macroeconomic landscape.</w:t>
      </w:r>
    </w:p>
    <w:p>
      <w:r>
        <w:t>By anchoring academic migration in zero-tuition sovereign infrastructure, constitutional scholarships, and verified public universities, Indian students and parents can secure world-class international careers with absolute financial security.</w:t>
      </w:r>
    </w:p>
    <w:p>
      <w:r>
        <w:t>---</w:t>
      </w:r>
    </w:p>
    <w:p>
      <w:pPr>
        <w:pStyle w:val="Heading2"/>
      </w:pPr>
      <w:r>
        <w:t>📚 Sovereign Regulatory &amp; Academic Citations</w:t>
      </w:r>
    </w:p>
    <w:p>
      <w:r>
        <w:t>1. IRCC (Immigration, Refugees and Citizenship Canada): Ministerial Instructions on Study Permit Allocations and GIC Solvency Thresholds, Gazette of Canada, 2024–2026.</w:t>
      </w:r>
    </w:p>
    <w:p>
      <w:r>
        <w:t>2. UK Home Office: Statement of Changes in Immigration Rules (HC 590) &amp; Skilled Worker Minimum Salary Thresholds, UK Parliamentary Archives, 2024.</w:t>
      </w:r>
    </w:p>
    <w:p>
      <w:r>
        <w:t>3. DAAD &amp; Destatis: Wissenschaft weltoffen 2026: Facts and Figures on the International Nature of Studies and Research in Germany, German Academic Exchange Service, Bonn.</w:t>
      </w:r>
    </w:p>
    <w:p>
      <w:r>
        <w:t>4. Costituzione della Repubblica Italiana: Articolo 34 (Diritto allo Studio Universitario) &amp; Decreto Legislativo 29 marzo 2012, n. 68, Gazzetta Ufficiale della Repubblica Italiana.</w:t>
      </w:r>
    </w:p>
    <w:p>
      <w:r>
        <w:t>5. National Medical Commission (NMC): Foreign Medical Graduate Licentiate (FMGL) Regulations 2021, The Gazette of India: Extraordinary, Part III—Sec. 4.</w:t>
      </w:r>
    </w:p>
    <w:p>
      <w:pPr>
        <w:pBdr>
          <w:top w:val="single" w:sz="12" w:space="10" w:color="0D9488"/>
        </w:pBdr>
        <w:spacing w:before="300"/>
      </w:pPr>
      <w:r>
        <w:rPr>
          <w:b/>
          <w:sz w:val="18"/>
          <w:color w:val="0D9488"/>
        </w:rPr>
        <w:t>FINESSE OVERSEAS EDUCATION</w:t>
      </w:r>
      <w:r>
        <w:rPr>
          <w:sz w:val="18"/>
          <w:color w:val="64748B"/>
        </w:rPr>
        <w:t> | Samarth Sakshi Plaza, 1st Floor, Rajarampuri 4th Lane, Kolhapur - 416008 | Direct Line: +91-9850069600 | Web: finesseoverseas.com</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after="160"/>
      </w:pPr>
    </w:pPrDefault>
  </w:docDefaults>
  <w:style w:type="paragraph" w:styleId="Title">
    <w:name w:val="Title"/>
    <w:rPr>
      <w:rFonts w:ascii="Calibri" w:hAnsi="Calibri"/>
      <w:b/>
      <w:sz w:val="38"/>
      <w:color w:val="042F2E"/>
    </w:rPr>
  </w:style>
  <w:style w:type="paragraph" w:styleId="Heading1">
    <w:name w:val="heading 1"/>
    <w:pPr>
      <w:spacing w:before="280" w:after="140"/>
    </w:pPr>
    <w:rPr>
      <w:rFonts w:ascii="Calibri" w:hAnsi="Calibri"/>
      <w:b/>
      <w:sz w:val="28"/>
      <w:color w:val="0F766E"/>
    </w:rPr>
  </w:style>
  <w:style w:type="paragraph" w:styleId="Heading2">
    <w:name w:val="heading 2"/>
    <w:pPr>
      <w:spacing w:before="200" w:after="100"/>
    </w:pPr>
    <w:rPr>
      <w:rFonts w:ascii="Calibri" w:hAnsi="Calibri"/>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